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76F93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sz w:val="22"/>
        </w:rPr>
      </w:pPr>
      <w:r w:rsidRPr="0062606A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306D0CD7" wp14:editId="62926BEB">
            <wp:simplePos x="0" y="0"/>
            <wp:positionH relativeFrom="margin">
              <wp:align>center</wp:align>
            </wp:positionH>
            <wp:positionV relativeFrom="paragraph">
              <wp:posOffset>26104</wp:posOffset>
            </wp:positionV>
            <wp:extent cx="4334773" cy="3674262"/>
            <wp:effectExtent l="0" t="0" r="8890" b="2540"/>
            <wp:wrapNone/>
            <wp:docPr id="5" name="图表 5">
              <a:extLst xmlns:a="http://schemas.openxmlformats.org/drawingml/2006/main">
                <a:ext uri="{FF2B5EF4-FFF2-40B4-BE49-F238E27FC236}">
                  <a16:creationId xmlns:a16="http://schemas.microsoft.com/office/drawing/2014/main" id="{15F15B11-D632-4FBF-827C-A7701E23FD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326017C5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2B7CB157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69AC2919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0CB1A3C3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15E43719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6F2289F4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1B13479C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4DAEE9C9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4A4BB41D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55498C2F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0193C424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1CD83D1F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2EAD8FE7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53765464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7D905CC0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264320CC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784DED13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608CF03B" w14:textId="77777777" w:rsidR="00B65CD4" w:rsidRPr="0062606A" w:rsidRDefault="00B65CD4" w:rsidP="00B65CD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09D1DE01" w14:textId="0148EA1E" w:rsidR="000260A5" w:rsidRPr="00B979A4" w:rsidRDefault="00B65CD4">
      <w:pPr>
        <w:rPr>
          <w:rFonts w:ascii="Times New Roman" w:hAnsi="Times New Roman" w:cs="Times New Roman"/>
          <w:sz w:val="22"/>
        </w:rPr>
      </w:pPr>
      <w:r w:rsidRPr="0062606A">
        <w:rPr>
          <w:rFonts w:ascii="Times New Roman" w:hAnsi="Times New Roman" w:cs="Times New Roman"/>
          <w:b/>
          <w:bCs/>
          <w:sz w:val="22"/>
        </w:rPr>
        <w:t xml:space="preserve">Supplemental Fig. </w:t>
      </w:r>
      <w:r w:rsidR="006F4131">
        <w:rPr>
          <w:rFonts w:ascii="Times New Roman" w:hAnsi="Times New Roman" w:cs="Times New Roman"/>
          <w:b/>
          <w:bCs/>
          <w:sz w:val="22"/>
        </w:rPr>
        <w:t>4</w:t>
      </w:r>
      <w:r w:rsidRPr="0062606A">
        <w:rPr>
          <w:rFonts w:ascii="Times New Roman" w:hAnsi="Times New Roman" w:cs="Times New Roman"/>
          <w:sz w:val="22"/>
        </w:rPr>
        <w:t xml:space="preserve"> Median of household income over waves </w:t>
      </w:r>
      <w:bookmarkStart w:id="0" w:name="_Hlk65625126"/>
      <w:r w:rsidRPr="0062606A">
        <w:rPr>
          <w:rFonts w:ascii="Times New Roman" w:hAnsi="Times New Roman" w:cs="Times New Roman"/>
          <w:sz w:val="22"/>
        </w:rPr>
        <w:t>by identified diet quality trajectory groups</w:t>
      </w:r>
      <w:bookmarkStart w:id="1" w:name="_GoBack"/>
      <w:bookmarkEnd w:id="0"/>
      <w:bookmarkEnd w:id="1"/>
    </w:p>
    <w:sectPr w:rsidR="000260A5" w:rsidRPr="00B97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3E27A" w14:textId="77777777" w:rsidR="00210C57" w:rsidRDefault="00210C57" w:rsidP="00B65CD4">
      <w:r>
        <w:separator/>
      </w:r>
    </w:p>
  </w:endnote>
  <w:endnote w:type="continuationSeparator" w:id="0">
    <w:p w14:paraId="6412F228" w14:textId="77777777" w:rsidR="00210C57" w:rsidRDefault="00210C57" w:rsidP="00B6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48D41" w14:textId="77777777" w:rsidR="00210C57" w:rsidRDefault="00210C57" w:rsidP="00B65CD4">
      <w:r>
        <w:separator/>
      </w:r>
    </w:p>
  </w:footnote>
  <w:footnote w:type="continuationSeparator" w:id="0">
    <w:p w14:paraId="1E319F7E" w14:textId="77777777" w:rsidR="00210C57" w:rsidRDefault="00210C57" w:rsidP="00B65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0tDAyMjI2Njc0tjBW0lEKTi0uzszPAykwqgUA3TzqPSwAAAA="/>
  </w:docVars>
  <w:rsids>
    <w:rsidRoot w:val="003D1F67"/>
    <w:rsid w:val="000260A5"/>
    <w:rsid w:val="00210C57"/>
    <w:rsid w:val="003D1F67"/>
    <w:rsid w:val="006F4131"/>
    <w:rsid w:val="00815AB8"/>
    <w:rsid w:val="00B65CD4"/>
    <w:rsid w:val="00B9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1B4D9"/>
  <w15:chartTrackingRefBased/>
  <w15:docId w15:val="{9CB7C315-3AF4-43F8-9B41-7EAA008F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5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5C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5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5C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io\Documents\Manuscripts\CHNS_traject\Backup\income_median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12612239259567"/>
          <c:y val="3.8394415357766144E-2"/>
          <c:w val="0.8297101349173458"/>
          <c:h val="0.74712564070852405"/>
        </c:manualLayout>
      </c:layout>
      <c:lineChart>
        <c:grouping val="standar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Group 1 (n=1469, 22.96%)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0">
                <a:solidFill>
                  <a:schemeClr val="tx1">
                    <a:alpha val="98000"/>
                  </a:schemeClr>
                </a:solidFill>
              </a:ln>
              <a:effectLst/>
            </c:spPr>
          </c:marker>
          <c:cat>
            <c:numRef>
              <c:f>Sheet1!$A$3:$A$12</c:f>
              <c:numCache>
                <c:formatCode>General</c:formatCode>
                <c:ptCount val="10"/>
                <c:pt idx="0">
                  <c:v>1997</c:v>
                </c:pt>
                <c:pt idx="3">
                  <c:v>2000</c:v>
                </c:pt>
                <c:pt idx="7">
                  <c:v>2004</c:v>
                </c:pt>
                <c:pt idx="9">
                  <c:v>2006</c:v>
                </c:pt>
              </c:numCache>
            </c:numRef>
          </c:cat>
          <c:val>
            <c:numRef>
              <c:f>Sheet1!$B$3:$B$12</c:f>
              <c:numCache>
                <c:formatCode>General</c:formatCode>
                <c:ptCount val="10"/>
                <c:pt idx="0" formatCode="0">
                  <c:v>14.33671</c:v>
                </c:pt>
                <c:pt idx="3" formatCode="0">
                  <c:v>16.457709999999999</c:v>
                </c:pt>
                <c:pt idx="7" formatCode="0">
                  <c:v>16.919350000000001</c:v>
                </c:pt>
                <c:pt idx="9" formatCode="0">
                  <c:v>18.974360000000001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E19-4FFE-B33E-A4422540F1E5}"/>
            </c:ext>
          </c:extLst>
        </c:ser>
        <c:ser>
          <c:idx val="1"/>
          <c:order val="1"/>
          <c:tx>
            <c:strRef>
              <c:f>Sheet1!$C$2</c:f>
              <c:strCache>
                <c:ptCount val="1"/>
                <c:pt idx="0">
                  <c:v>Group 2 (n=1649, 25.77%)</c:v>
                </c:pt>
              </c:strCache>
            </c:strRef>
          </c:tx>
          <c:spPr>
            <a:ln w="952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0">
                <a:solidFill>
                  <a:schemeClr val="tx1"/>
                </a:solidFill>
              </a:ln>
              <a:effectLst/>
            </c:spPr>
          </c:marker>
          <c:cat>
            <c:numRef>
              <c:f>Sheet1!$A$3:$A$12</c:f>
              <c:numCache>
                <c:formatCode>General</c:formatCode>
                <c:ptCount val="10"/>
                <c:pt idx="0">
                  <c:v>1997</c:v>
                </c:pt>
                <c:pt idx="3">
                  <c:v>2000</c:v>
                </c:pt>
                <c:pt idx="7">
                  <c:v>2004</c:v>
                </c:pt>
                <c:pt idx="9">
                  <c:v>2006</c:v>
                </c:pt>
              </c:numCache>
            </c:numRef>
          </c:cat>
          <c:val>
            <c:numRef>
              <c:f>Sheet1!$C$3:$C$12</c:f>
              <c:numCache>
                <c:formatCode>General</c:formatCode>
                <c:ptCount val="10"/>
                <c:pt idx="0" formatCode="0">
                  <c:v>12.29766</c:v>
                </c:pt>
                <c:pt idx="3" formatCode="0">
                  <c:v>14.283329999999999</c:v>
                </c:pt>
                <c:pt idx="7" formatCode="0">
                  <c:v>14.503170000000001</c:v>
                </c:pt>
                <c:pt idx="9" formatCode="0">
                  <c:v>16.266670000000001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19-4FFE-B33E-A4422540F1E5}"/>
            </c:ext>
          </c:extLst>
        </c:ser>
        <c:ser>
          <c:idx val="2"/>
          <c:order val="2"/>
          <c:tx>
            <c:strRef>
              <c:f>Sheet1!$D$2</c:f>
              <c:strCache>
                <c:ptCount val="1"/>
                <c:pt idx="0">
                  <c:v>Group 3 (n=1434, 22.41%)</c:v>
                </c:pt>
              </c:strCache>
            </c:strRef>
          </c:tx>
          <c:spPr>
            <a:ln w="158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cat>
            <c:numRef>
              <c:f>Sheet1!$A$3:$A$12</c:f>
              <c:numCache>
                <c:formatCode>General</c:formatCode>
                <c:ptCount val="10"/>
                <c:pt idx="0">
                  <c:v>1997</c:v>
                </c:pt>
                <c:pt idx="3">
                  <c:v>2000</c:v>
                </c:pt>
                <c:pt idx="7">
                  <c:v>2004</c:v>
                </c:pt>
                <c:pt idx="9">
                  <c:v>2006</c:v>
                </c:pt>
              </c:numCache>
            </c:numRef>
          </c:cat>
          <c:val>
            <c:numRef>
              <c:f>Sheet1!$D$3:$D$12</c:f>
              <c:numCache>
                <c:formatCode>General</c:formatCode>
                <c:ptCount val="10"/>
                <c:pt idx="0" formatCode="0">
                  <c:v>14.74286</c:v>
                </c:pt>
                <c:pt idx="3" formatCode="0">
                  <c:v>17.69811</c:v>
                </c:pt>
                <c:pt idx="7" formatCode="0">
                  <c:v>19.29279</c:v>
                </c:pt>
                <c:pt idx="9" formatCode="0">
                  <c:v>22.37443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E19-4FFE-B33E-A4422540F1E5}"/>
            </c:ext>
          </c:extLst>
        </c:ser>
        <c:ser>
          <c:idx val="3"/>
          <c:order val="3"/>
          <c:tx>
            <c:strRef>
              <c:f>Sheet1!$E$2</c:f>
              <c:strCache>
                <c:ptCount val="1"/>
                <c:pt idx="0">
                  <c:v>Group 4 (n=1846, 28.85%)</c:v>
                </c:pt>
              </c:strCache>
            </c:strRef>
          </c:tx>
          <c:spPr>
            <a:ln w="952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numRef>
              <c:f>Sheet1!$A$3:$A$12</c:f>
              <c:numCache>
                <c:formatCode>General</c:formatCode>
                <c:ptCount val="10"/>
                <c:pt idx="0">
                  <c:v>1997</c:v>
                </c:pt>
                <c:pt idx="3">
                  <c:v>2000</c:v>
                </c:pt>
                <c:pt idx="7">
                  <c:v>2004</c:v>
                </c:pt>
                <c:pt idx="9">
                  <c:v>2006</c:v>
                </c:pt>
              </c:numCache>
            </c:numRef>
          </c:cat>
          <c:val>
            <c:numRef>
              <c:f>Sheet1!$E$3:$E$12</c:f>
              <c:numCache>
                <c:formatCode>General</c:formatCode>
                <c:ptCount val="10"/>
                <c:pt idx="0" formatCode="0">
                  <c:v>15.328430000000001</c:v>
                </c:pt>
                <c:pt idx="3" formatCode="0">
                  <c:v>18.670269999999999</c:v>
                </c:pt>
                <c:pt idx="7" formatCode="0">
                  <c:v>22.460319999999999</c:v>
                </c:pt>
                <c:pt idx="9" formatCode="0">
                  <c:v>23.880600000000001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E19-4FFE-B33E-A4422540F1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0362400"/>
        <c:axId val="1131105024"/>
      </c:lineChart>
      <c:catAx>
        <c:axId val="123036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131105024"/>
        <c:crosses val="autoZero"/>
        <c:auto val="1"/>
        <c:lblAlgn val="ctr"/>
        <c:lblOffset val="100"/>
        <c:noMultiLvlLbl val="0"/>
      </c:catAx>
      <c:valAx>
        <c:axId val="1131105024"/>
        <c:scaling>
          <c:orientation val="minMax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230362400"/>
        <c:crosses val="autoZero"/>
        <c:crossBetween val="between"/>
      </c:valAx>
      <c:spPr>
        <a:noFill/>
        <a:ln w="635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3488243395593025"/>
          <c:y val="0.89087035643253243"/>
          <c:w val="0.82965050421328912"/>
          <c:h val="0.1055854667381237"/>
        </c:manualLayout>
      </c:layout>
      <c:overlay val="0"/>
      <c:spPr>
        <a:noFill/>
        <a:ln w="6350"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span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0.11701</cdr:y>
    </cdr:from>
    <cdr:to>
      <cdr:x>0.0731</cdr:x>
      <cdr:y>0.69858</cdr:y>
    </cdr:to>
    <cdr:sp macro="" textlink="">
      <cdr:nvSpPr>
        <cdr:cNvPr id="2" name="文本框 1">
          <a:extLst xmlns:a="http://schemas.openxmlformats.org/drawingml/2006/main">
            <a:ext uri="{FF2B5EF4-FFF2-40B4-BE49-F238E27FC236}">
              <a16:creationId xmlns:a16="http://schemas.microsoft.com/office/drawing/2014/main" id="{435C6FC0-FEC5-4F5D-8744-A0E49F8F6EFB}"/>
            </a:ext>
          </a:extLst>
        </cdr:cNvPr>
        <cdr:cNvSpPr txBox="1"/>
      </cdr:nvSpPr>
      <cdr:spPr>
        <a:xfrm xmlns:a="http://schemas.openxmlformats.org/drawingml/2006/main" rot="10800000">
          <a:off x="-1" y="429907"/>
          <a:ext cx="316853" cy="21367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eaVert" wrap="square" rtlCol="0"/>
        <a:lstStyle xmlns:a="http://schemas.openxmlformats.org/drawingml/2006/main"/>
        <a:p xmlns:a="http://schemas.openxmlformats.org/drawingml/2006/main">
          <a:r>
            <a:rPr lang="en-US" altLang="zh-CN" sz="1100">
              <a:effectLst/>
              <a:latin typeface="+mn-lt"/>
              <a:ea typeface="+mn-ea"/>
              <a:cs typeface="+mn-cs"/>
            </a:rPr>
            <a:t>Household income (1k yuan/year)</a:t>
          </a:r>
          <a:endParaRPr lang="zh-CN" altLang="en-US" sz="1100"/>
        </a:p>
      </cdr:txBody>
    </cdr:sp>
  </cdr:relSizeAnchor>
  <cdr:relSizeAnchor xmlns:cdr="http://schemas.openxmlformats.org/drawingml/2006/chartDrawing">
    <cdr:from>
      <cdr:x>0.49696</cdr:x>
      <cdr:y>0.82199</cdr:y>
    </cdr:from>
    <cdr:to>
      <cdr:x>0.60222</cdr:x>
      <cdr:y>0.89529</cdr:y>
    </cdr:to>
    <cdr:sp macro="" textlink="">
      <cdr:nvSpPr>
        <cdr:cNvPr id="3" name="文本框 2">
          <a:extLst xmlns:a="http://schemas.openxmlformats.org/drawingml/2006/main">
            <a:ext uri="{FF2B5EF4-FFF2-40B4-BE49-F238E27FC236}">
              <a16:creationId xmlns:a16="http://schemas.microsoft.com/office/drawing/2014/main" id="{8A24DA42-5F5B-4876-8977-07CD270EA520}"/>
            </a:ext>
          </a:extLst>
        </cdr:cNvPr>
        <cdr:cNvSpPr txBox="1"/>
      </cdr:nvSpPr>
      <cdr:spPr>
        <a:xfrm xmlns:a="http://schemas.openxmlformats.org/drawingml/2006/main">
          <a:off x="2148040" y="2945489"/>
          <a:ext cx="454975" cy="2626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altLang="zh-CN" sz="1100"/>
            <a:t>Time</a:t>
          </a:r>
          <a:endParaRPr lang="zh-CN" alt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Ming-wei</dc:creator>
  <cp:keywords/>
  <dc:description/>
  <cp:lastModifiedBy>Liu Ming-wei</cp:lastModifiedBy>
  <cp:revision>4</cp:revision>
  <dcterms:created xsi:type="dcterms:W3CDTF">2021-03-23T18:37:00Z</dcterms:created>
  <dcterms:modified xsi:type="dcterms:W3CDTF">2021-03-23T20:46:00Z</dcterms:modified>
</cp:coreProperties>
</file>