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713CC2" w14:textId="1AD7C57B" w:rsidR="00D871C1" w:rsidRPr="00D871C1" w:rsidRDefault="00D871C1">
      <w:pPr>
        <w:rPr>
          <w:b/>
          <w:bCs/>
        </w:rPr>
      </w:pPr>
      <w:r w:rsidRPr="00D871C1">
        <w:rPr>
          <w:b/>
          <w:bCs/>
        </w:rPr>
        <w:t>Sample recruitment</w:t>
      </w:r>
    </w:p>
    <w:p w14:paraId="62BFBB53" w14:textId="28AEA498" w:rsidR="00D871C1" w:rsidRDefault="00D871C1" w:rsidP="003620CB">
      <w:pPr>
        <w:spacing w:line="360" w:lineRule="auto"/>
        <w:jc w:val="both"/>
      </w:pPr>
      <w:r w:rsidRPr="00D32033">
        <w:t xml:space="preserve">Eligible participants were recruited via social media, posters, flyers at supermarkets and local events, advertisements in local and regional newspapers, and </w:t>
      </w:r>
      <w:r>
        <w:t xml:space="preserve">via </w:t>
      </w:r>
      <w:r w:rsidRPr="00D32033">
        <w:t>personalized mailing</w:t>
      </w:r>
      <w:r>
        <w:t>s</w:t>
      </w:r>
      <w:r w:rsidRPr="00D32033">
        <w:t xml:space="preserve"> to a random sample of the inhabitants.</w:t>
      </w:r>
      <w:r>
        <w:t xml:space="preserve"> This broad recruitment strategy allowed </w:t>
      </w:r>
      <w:r w:rsidR="00E77181">
        <w:t>us to recruit</w:t>
      </w:r>
      <w:r>
        <w:t xml:space="preserve"> individuals from different </w:t>
      </w:r>
      <w:r w:rsidR="00CA47E6">
        <w:t>age groups,</w:t>
      </w:r>
      <w:r>
        <w:t xml:space="preserve"> and </w:t>
      </w:r>
      <w:r w:rsidR="00CA47E6">
        <w:t>individuals</w:t>
      </w:r>
      <w:r>
        <w:t xml:space="preserve"> </w:t>
      </w:r>
      <w:r w:rsidR="00E77181">
        <w:t>with and without</w:t>
      </w:r>
      <w:r>
        <w:t xml:space="preserve"> access to the internet</w:t>
      </w:r>
      <w:r w:rsidR="00E77181">
        <w:t>.</w:t>
      </w:r>
    </w:p>
    <w:p w14:paraId="1DFB170D" w14:textId="1CA93028" w:rsidR="00D871C1" w:rsidRDefault="00D871C1" w:rsidP="00D871C1">
      <w:pPr>
        <w:rPr>
          <w:b/>
          <w:bCs/>
        </w:rPr>
      </w:pPr>
      <w:r w:rsidRPr="00D871C1">
        <w:rPr>
          <w:b/>
          <w:bCs/>
        </w:rPr>
        <w:t>Representativeness of recruited group from target group</w:t>
      </w:r>
    </w:p>
    <w:p w14:paraId="68592D8A" w14:textId="46507F6F" w:rsidR="00D871C1" w:rsidRDefault="00FD501F" w:rsidP="003620CB">
      <w:pPr>
        <w:spacing w:line="360" w:lineRule="auto"/>
        <w:jc w:val="both"/>
      </w:pPr>
      <w:r>
        <w:t xml:space="preserve">The mean age </w:t>
      </w:r>
      <w:r w:rsidR="00616261">
        <w:t>of t</w:t>
      </w:r>
      <w:r>
        <w:t xml:space="preserve">he </w:t>
      </w:r>
      <w:r w:rsidR="00616261">
        <w:t xml:space="preserve">recruited sample was higher than the mean age of the (adult) population of the target group. On baseline, the mean age in the no exposure group was 54.2 while the mean age of adults </w:t>
      </w:r>
      <w:r w:rsidR="00CA47E6">
        <w:t xml:space="preserve">in </w:t>
      </w:r>
      <w:r w:rsidR="00616261">
        <w:t xml:space="preserve">the target group was 50.1. For the minimal exposure group, this was 60.9 vs. 49.7, and for the maximal exposure group 54.7 vs. 47.1, respectively. In terms of gender, the recruited group is similar to the target group for the no exposure group (50% male in the recruited sample vs. 50% male in the target population) and minimal exposure group (47.5% male in the recruited sample vs. 47.3% male in the target population). </w:t>
      </w:r>
      <w:r w:rsidR="00CA47E6">
        <w:t xml:space="preserve">In </w:t>
      </w:r>
      <w:r w:rsidR="00616261">
        <w:t>the maximal exposure group</w:t>
      </w:r>
      <w:r w:rsidR="00CA47E6">
        <w:t xml:space="preserve">, </w:t>
      </w:r>
      <w:r w:rsidR="00616261">
        <w:t>42.4%</w:t>
      </w:r>
      <w:r w:rsidR="00CA47E6">
        <w:t xml:space="preserve"> of the recruited group was</w:t>
      </w:r>
      <w:r w:rsidR="00616261">
        <w:t xml:space="preserve"> male, relative to 48.1% in the target population. </w:t>
      </w:r>
      <w:r w:rsidR="00E77181">
        <w:t xml:space="preserve">Also, about </w:t>
      </w:r>
      <w:r w:rsidR="0057405B">
        <w:t>46</w:t>
      </w:r>
      <w:r w:rsidR="00E77181">
        <w:t xml:space="preserve">% of the recruited sample was higher educated, while the percentage of higher educated individuals in the target population is about 30%. </w:t>
      </w:r>
      <w:r w:rsidR="00CA47E6">
        <w:t>These</w:t>
      </w:r>
      <w:r w:rsidR="00E77181">
        <w:t xml:space="preserve"> variables were added as covariates to the final statistical models and the consequences for generalizability are discussed in the discussion paragraph.</w:t>
      </w:r>
    </w:p>
    <w:p w14:paraId="4D72BF65" w14:textId="6F9BB4DA" w:rsidR="00D871C1" w:rsidRDefault="00D871C1" w:rsidP="00D871C1">
      <w:pPr>
        <w:rPr>
          <w:b/>
          <w:bCs/>
        </w:rPr>
      </w:pPr>
      <w:r w:rsidRPr="00D871C1">
        <w:rPr>
          <w:b/>
          <w:bCs/>
        </w:rPr>
        <w:t xml:space="preserve">How </w:t>
      </w:r>
      <w:r w:rsidR="00DE3CEB" w:rsidRPr="00D871C1">
        <w:rPr>
          <w:b/>
          <w:bCs/>
        </w:rPr>
        <w:t>analyzed</w:t>
      </w:r>
      <w:r w:rsidRPr="00D871C1">
        <w:rPr>
          <w:b/>
          <w:bCs/>
        </w:rPr>
        <w:t xml:space="preserve"> sample differed from recruited sample</w:t>
      </w:r>
    </w:p>
    <w:p w14:paraId="1253F9D3" w14:textId="3E1E4E92" w:rsidR="003620CB" w:rsidRPr="00D32033" w:rsidRDefault="003620CB" w:rsidP="009B1846">
      <w:pPr>
        <w:spacing w:line="360" w:lineRule="auto"/>
        <w:jc w:val="both"/>
      </w:pPr>
      <w:r w:rsidRPr="00D32033">
        <w:t xml:space="preserve">At baseline, 757 participants were recruited, of which 642 provided valid data at </w:t>
      </w:r>
      <w:r>
        <w:t>baseline. In total, 37 participants were excluded for analyses because they did not provide a valid questionnaire</w:t>
      </w:r>
      <w:r w:rsidR="0057405B">
        <w:t>. Other dropouts at baseline did not provided valid accelerometry or GPS data. On average, the</w:t>
      </w:r>
      <w:r>
        <w:t xml:space="preserve"> analyzed sample was </w:t>
      </w:r>
      <w:r w:rsidR="0057405B">
        <w:t xml:space="preserve">57.3 year old, compared to 56.4 years of the total recruited sample (that provided a valid questionnaire to provide age). </w:t>
      </w:r>
      <w:r>
        <w:t xml:space="preserve"> </w:t>
      </w:r>
      <w:r w:rsidR="0057405B">
        <w:t xml:space="preserve">Of the analyzed sample, 46.2% was male, compared to 46.5% in the recruited sample. Regarding educational level, 52.5% was higher educated in the analyzed sample, compared to 48.5% in the recruited sample. In summary, the analyzed sample was similar to the recruited sample regarding age and gender. For educational level, the </w:t>
      </w:r>
      <w:r w:rsidR="009B1846">
        <w:t>percentage of higher educated individuals was slightly higher in the analyzed sample compared to the recruited sample.</w:t>
      </w:r>
    </w:p>
    <w:p w14:paraId="3BDA4085" w14:textId="121FDDC1" w:rsidR="00D871C1" w:rsidRPr="00D871C1" w:rsidRDefault="00D871C1" w:rsidP="00D871C1">
      <w:pPr>
        <w:rPr>
          <w:b/>
          <w:bCs/>
        </w:rPr>
      </w:pPr>
      <w:r w:rsidRPr="00D871C1">
        <w:rPr>
          <w:b/>
          <w:bCs/>
        </w:rPr>
        <w:t>How missing data was handled</w:t>
      </w:r>
    </w:p>
    <w:p w14:paraId="708A002D" w14:textId="62377B70" w:rsidR="00616261" w:rsidRDefault="00DE3CEB" w:rsidP="00C7641B">
      <w:pPr>
        <w:spacing w:line="360" w:lineRule="auto"/>
        <w:jc w:val="both"/>
      </w:pPr>
      <w:r>
        <w:t xml:space="preserve">Participants who had missing data for both the questionnaire and device-based measurements were excluded for the analysis. To account for missing data in the follow-up, a linear mixed model was used. Linear mixed models are able to handle missing data when the covariates (at baseline) are present. Two steps were taken: we performed drop-out analysis to explore the characteristics of the participants that dropped out between T0 and T1. There were some differences between those two </w:t>
      </w:r>
      <w:r>
        <w:lastRenderedPageBreak/>
        <w:t xml:space="preserve">groups, which emphasized the importance of adding covariates into the models to account for this. Second, we performed sensitivity analyses on the group that provided data on both measurement moments. </w:t>
      </w:r>
      <w:r w:rsidR="00C7641B">
        <w:t>These models showed trends that were similar to the main analyses.</w:t>
      </w:r>
    </w:p>
    <w:p w14:paraId="1A63C102" w14:textId="7FF0322E" w:rsidR="00616261" w:rsidRDefault="00616261" w:rsidP="00D871C1"/>
    <w:p w14:paraId="3CC2015A" w14:textId="79BAB03C" w:rsidR="00616261" w:rsidRDefault="00616261" w:rsidP="00D871C1"/>
    <w:p w14:paraId="0A07E623" w14:textId="77777777" w:rsidR="00616261" w:rsidRDefault="00616261" w:rsidP="00D871C1"/>
    <w:sectPr w:rsidR="00616261" w:rsidSect="005F06C9">
      <w:type w:val="continuous"/>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3224ED"/>
    <w:multiLevelType w:val="hybridMultilevel"/>
    <w:tmpl w:val="E102A4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C1"/>
    <w:rsid w:val="0000343A"/>
    <w:rsid w:val="003620CB"/>
    <w:rsid w:val="0057405B"/>
    <w:rsid w:val="005F06C9"/>
    <w:rsid w:val="00616261"/>
    <w:rsid w:val="009B1846"/>
    <w:rsid w:val="00AC13B2"/>
    <w:rsid w:val="00BC7939"/>
    <w:rsid w:val="00C7641B"/>
    <w:rsid w:val="00C93903"/>
    <w:rsid w:val="00CA47E6"/>
    <w:rsid w:val="00D45910"/>
    <w:rsid w:val="00D871C1"/>
    <w:rsid w:val="00DE3CEB"/>
    <w:rsid w:val="00E43F4B"/>
    <w:rsid w:val="00E77181"/>
    <w:rsid w:val="00F0609F"/>
    <w:rsid w:val="00FD50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BD09B"/>
  <w15:chartTrackingRefBased/>
  <w15:docId w15:val="{2C094365-9E33-4E83-9FDC-79DB166D6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871C1"/>
    <w:pPr>
      <w:ind w:left="720"/>
      <w:contextualSpacing/>
    </w:pPr>
  </w:style>
  <w:style w:type="table" w:styleId="Tabelraster">
    <w:name w:val="Table Grid"/>
    <w:basedOn w:val="Standaardtabel"/>
    <w:uiPriority w:val="39"/>
    <w:rsid w:val="00616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2719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Stappers</dc:creator>
  <cp:keywords/>
  <dc:description/>
  <cp:lastModifiedBy>Nicole Stappers</cp:lastModifiedBy>
  <cp:revision>2</cp:revision>
  <dcterms:created xsi:type="dcterms:W3CDTF">2021-02-10T09:18:00Z</dcterms:created>
  <dcterms:modified xsi:type="dcterms:W3CDTF">2021-02-10T09:18:00Z</dcterms:modified>
</cp:coreProperties>
</file>