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242B8" w14:textId="44A2E268" w:rsidR="00A2497A" w:rsidRPr="00D27D32" w:rsidRDefault="00FC333F" w:rsidP="00D27D32">
      <w:pPr>
        <w:rPr>
          <w:b/>
          <w:bCs/>
        </w:rPr>
      </w:pPr>
      <w:r w:rsidRPr="00FC333F">
        <w:rPr>
          <w:b/>
          <w:bCs/>
        </w:rPr>
        <w:t xml:space="preserve">Supplementary File </w:t>
      </w:r>
      <w:r w:rsidR="00B34EE7">
        <w:rPr>
          <w:b/>
          <w:bCs/>
        </w:rPr>
        <w:t>3</w:t>
      </w:r>
      <w:r w:rsidRPr="00FC333F">
        <w:rPr>
          <w:b/>
          <w:bCs/>
        </w:rPr>
        <w:t xml:space="preserve">. </w:t>
      </w:r>
      <w:r w:rsidR="00997369" w:rsidRPr="00FC333F">
        <w:rPr>
          <w:b/>
          <w:bCs/>
        </w:rPr>
        <w:t xml:space="preserve">Risk of </w:t>
      </w:r>
      <w:r w:rsidRPr="00FC333F">
        <w:rPr>
          <w:b/>
          <w:bCs/>
        </w:rPr>
        <w:t>B</w:t>
      </w:r>
      <w:r w:rsidR="00997369" w:rsidRPr="00FC333F">
        <w:rPr>
          <w:b/>
          <w:bCs/>
        </w:rPr>
        <w:t xml:space="preserve">ias </w:t>
      </w:r>
      <w:r w:rsidRPr="00FC333F">
        <w:rPr>
          <w:b/>
          <w:bCs/>
        </w:rPr>
        <w:t>A</w:t>
      </w:r>
      <w:r w:rsidR="00997369" w:rsidRPr="00FC333F">
        <w:rPr>
          <w:b/>
          <w:bCs/>
        </w:rPr>
        <w:t xml:space="preserve">ssessment </w:t>
      </w:r>
      <w:r w:rsidR="00D27D32">
        <w:rPr>
          <w:b/>
          <w:bCs/>
        </w:rPr>
        <w:t>for R</w:t>
      </w:r>
      <w:r w:rsidR="00A2497A" w:rsidRPr="00D27D32">
        <w:rPr>
          <w:b/>
          <w:bCs/>
        </w:rPr>
        <w:t xml:space="preserve">andomized Controlled Trials </w:t>
      </w:r>
    </w:p>
    <w:tbl>
      <w:tblPr>
        <w:tblW w:w="7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0"/>
        <w:gridCol w:w="715"/>
        <w:gridCol w:w="720"/>
        <w:gridCol w:w="787"/>
        <w:gridCol w:w="540"/>
        <w:gridCol w:w="653"/>
        <w:gridCol w:w="450"/>
        <w:gridCol w:w="450"/>
      </w:tblGrid>
      <w:tr w:rsidR="00D82DB9" w:rsidRPr="00D82DB9" w14:paraId="1DC95409" w14:textId="77777777" w:rsidTr="0084409D">
        <w:trPr>
          <w:cantSplit/>
          <w:trHeight w:val="3590"/>
          <w:tblHeader/>
        </w:trPr>
        <w:tc>
          <w:tcPr>
            <w:tcW w:w="2700" w:type="dxa"/>
            <w:vAlign w:val="bottom"/>
          </w:tcPr>
          <w:p w14:paraId="36345CA9" w14:textId="0076DDF5" w:rsidR="00B142A5" w:rsidRPr="00D82DB9" w:rsidRDefault="00D82DB9" w:rsidP="00D82DB9">
            <w:pPr>
              <w:spacing w:after="0"/>
              <w:jc w:val="both"/>
              <w:rPr>
                <w:rFonts w:asciiTheme="majorHAnsi" w:eastAsia="Times New Roman" w:hAnsiTheme="majorHAnsi" w:cs="Times New Roman"/>
                <w:b/>
                <w:bCs/>
                <w:color w:val="000000" w:themeColor="text1"/>
                <w:sz w:val="20"/>
                <w:szCs w:val="20"/>
                <w:lang w:val="en-GB"/>
              </w:rPr>
            </w:pPr>
            <w:r w:rsidRPr="00D82DB9">
              <w:rPr>
                <w:rFonts w:asciiTheme="majorHAnsi" w:eastAsia="Times New Roman" w:hAnsiTheme="majorHAnsi" w:cs="Times New Roman"/>
                <w:b/>
                <w:bCs/>
                <w:color w:val="000000" w:themeColor="text1"/>
                <w:sz w:val="20"/>
                <w:szCs w:val="20"/>
                <w:lang w:val="en-GB"/>
              </w:rPr>
              <w:t>Study</w:t>
            </w:r>
          </w:p>
        </w:tc>
        <w:tc>
          <w:tcPr>
            <w:tcW w:w="715" w:type="dxa"/>
            <w:textDirection w:val="btLr"/>
          </w:tcPr>
          <w:p w14:paraId="11D39B42" w14:textId="13E53582" w:rsidR="00B142A5" w:rsidRPr="00D82DB9" w:rsidRDefault="00E869BF" w:rsidP="00675D5B">
            <w:pPr>
              <w:spacing w:after="0" w:line="240" w:lineRule="auto"/>
              <w:ind w:left="115" w:right="113"/>
              <w:rPr>
                <w:rFonts w:asciiTheme="majorHAnsi" w:eastAsia="Times New Roman" w:hAnsiTheme="majorHAnsi" w:cs="Times New Roman"/>
                <w:color w:val="000000" w:themeColor="text1"/>
                <w:sz w:val="20"/>
                <w:szCs w:val="20"/>
                <w:lang w:val="en-GB"/>
              </w:rPr>
            </w:pPr>
            <w:r w:rsidRPr="00D82DB9">
              <w:rPr>
                <w:color w:val="000000" w:themeColor="text1"/>
              </w:rPr>
              <w:t xml:space="preserve">Domain 1a. </w:t>
            </w:r>
            <w:r w:rsidR="00515981" w:rsidRPr="00D82DB9">
              <w:rPr>
                <w:color w:val="000000" w:themeColor="text1"/>
              </w:rPr>
              <w:t>Randomization Process</w:t>
            </w:r>
          </w:p>
        </w:tc>
        <w:tc>
          <w:tcPr>
            <w:tcW w:w="720" w:type="dxa"/>
            <w:textDirection w:val="btLr"/>
          </w:tcPr>
          <w:p w14:paraId="7DF800F9" w14:textId="769F873D" w:rsidR="00B142A5" w:rsidRPr="00D82DB9" w:rsidRDefault="00E869BF" w:rsidP="00675D5B">
            <w:pPr>
              <w:spacing w:after="0" w:line="240" w:lineRule="auto"/>
              <w:ind w:left="115" w:right="113"/>
              <w:rPr>
                <w:rFonts w:asciiTheme="majorHAnsi" w:eastAsia="Times New Roman" w:hAnsiTheme="majorHAnsi" w:cs="Times New Roman"/>
                <w:color w:val="000000" w:themeColor="text1"/>
                <w:sz w:val="20"/>
                <w:szCs w:val="20"/>
                <w:lang w:val="en-GB"/>
              </w:rPr>
            </w:pPr>
            <w:r w:rsidRPr="00D82DB9">
              <w:rPr>
                <w:color w:val="000000" w:themeColor="text1"/>
              </w:rPr>
              <w:t xml:space="preserve">Domain 1b. </w:t>
            </w:r>
            <w:r w:rsidR="00515981" w:rsidRPr="00D82DB9">
              <w:rPr>
                <w:color w:val="000000" w:themeColor="text1"/>
              </w:rPr>
              <w:t xml:space="preserve">Timing of identification or recruitment of participants </w:t>
            </w:r>
          </w:p>
        </w:tc>
        <w:tc>
          <w:tcPr>
            <w:tcW w:w="787" w:type="dxa"/>
            <w:textDirection w:val="btLr"/>
          </w:tcPr>
          <w:p w14:paraId="1957EBF7" w14:textId="6E85B7CF" w:rsidR="00B142A5" w:rsidRPr="00D82DB9" w:rsidRDefault="00E869BF" w:rsidP="00675D5B">
            <w:pPr>
              <w:spacing w:after="0" w:line="240" w:lineRule="auto"/>
              <w:ind w:left="115" w:right="113"/>
              <w:rPr>
                <w:color w:val="000000" w:themeColor="text1"/>
              </w:rPr>
            </w:pPr>
            <w:r w:rsidRPr="00D82DB9">
              <w:rPr>
                <w:color w:val="000000" w:themeColor="text1"/>
              </w:rPr>
              <w:t>Domain 2. Deviations from intended interventions</w:t>
            </w:r>
          </w:p>
          <w:p w14:paraId="2E4A5408" w14:textId="77777777" w:rsidR="00B142A5" w:rsidRPr="00D82DB9" w:rsidRDefault="00B142A5" w:rsidP="00675D5B">
            <w:pPr>
              <w:spacing w:after="0" w:line="240" w:lineRule="auto"/>
              <w:ind w:left="115" w:right="113"/>
              <w:rPr>
                <w:rFonts w:asciiTheme="majorHAnsi" w:eastAsia="Times New Roman" w:hAnsiTheme="majorHAnsi" w:cs="Times New Roman"/>
                <w:color w:val="000000" w:themeColor="text1"/>
                <w:sz w:val="20"/>
                <w:szCs w:val="20"/>
                <w:lang w:val="en-GB"/>
              </w:rPr>
            </w:pPr>
          </w:p>
        </w:tc>
        <w:tc>
          <w:tcPr>
            <w:tcW w:w="540" w:type="dxa"/>
            <w:textDirection w:val="btLr"/>
          </w:tcPr>
          <w:p w14:paraId="59BF414D" w14:textId="10753ED4" w:rsidR="00890C21" w:rsidRPr="00D82DB9" w:rsidRDefault="00E869BF" w:rsidP="00675D5B">
            <w:pPr>
              <w:spacing w:after="0" w:line="240" w:lineRule="auto"/>
              <w:ind w:left="115"/>
              <w:rPr>
                <w:color w:val="000000" w:themeColor="text1"/>
              </w:rPr>
            </w:pPr>
            <w:r w:rsidRPr="00D82DB9">
              <w:rPr>
                <w:color w:val="000000" w:themeColor="text1"/>
              </w:rPr>
              <w:t>Domain 3. Missing Outcome data</w:t>
            </w:r>
          </w:p>
          <w:p w14:paraId="74868F3E" w14:textId="77777777" w:rsidR="00B142A5" w:rsidRPr="00D82DB9" w:rsidRDefault="00B142A5" w:rsidP="00675D5B">
            <w:pPr>
              <w:spacing w:after="0" w:line="240" w:lineRule="auto"/>
              <w:ind w:left="115" w:right="113"/>
              <w:rPr>
                <w:rFonts w:asciiTheme="majorHAnsi" w:eastAsia="Times New Roman" w:hAnsiTheme="majorHAnsi" w:cs="Times New Roman"/>
                <w:color w:val="000000" w:themeColor="text1"/>
                <w:sz w:val="20"/>
                <w:szCs w:val="20"/>
                <w:lang w:val="en-GB"/>
              </w:rPr>
            </w:pPr>
          </w:p>
        </w:tc>
        <w:tc>
          <w:tcPr>
            <w:tcW w:w="653" w:type="dxa"/>
            <w:textDirection w:val="btLr"/>
          </w:tcPr>
          <w:p w14:paraId="46AE235B" w14:textId="516C971E" w:rsidR="00890C21" w:rsidRPr="00D82DB9" w:rsidRDefault="00E869BF" w:rsidP="00675D5B">
            <w:pPr>
              <w:spacing w:after="0" w:line="240" w:lineRule="auto"/>
              <w:ind w:left="115"/>
              <w:rPr>
                <w:color w:val="000000" w:themeColor="text1"/>
              </w:rPr>
            </w:pPr>
            <w:r w:rsidRPr="00D82DB9">
              <w:rPr>
                <w:color w:val="000000" w:themeColor="text1"/>
              </w:rPr>
              <w:t>Domain 4. Measures of Outcome</w:t>
            </w:r>
          </w:p>
          <w:p w14:paraId="693243A5" w14:textId="77777777" w:rsidR="00B142A5" w:rsidRPr="00D82DB9" w:rsidRDefault="00B142A5" w:rsidP="00675D5B">
            <w:pPr>
              <w:spacing w:after="0" w:line="240" w:lineRule="auto"/>
              <w:ind w:left="115" w:right="113"/>
              <w:rPr>
                <w:rFonts w:asciiTheme="majorHAnsi" w:eastAsia="Times New Roman" w:hAnsiTheme="majorHAnsi" w:cs="Times New Roman"/>
                <w:color w:val="000000" w:themeColor="text1"/>
                <w:sz w:val="20"/>
                <w:szCs w:val="20"/>
                <w:lang w:val="en-GB"/>
              </w:rPr>
            </w:pPr>
          </w:p>
        </w:tc>
        <w:tc>
          <w:tcPr>
            <w:tcW w:w="450" w:type="dxa"/>
            <w:textDirection w:val="btLr"/>
          </w:tcPr>
          <w:p w14:paraId="4859F02D" w14:textId="20452994" w:rsidR="00B142A5" w:rsidRPr="00D82DB9" w:rsidRDefault="00E869BF" w:rsidP="00675D5B">
            <w:pPr>
              <w:spacing w:after="0" w:line="240" w:lineRule="auto"/>
              <w:ind w:left="115"/>
              <w:rPr>
                <w:rFonts w:asciiTheme="majorHAnsi" w:eastAsia="Times New Roman" w:hAnsiTheme="majorHAnsi" w:cs="Times New Roman"/>
                <w:color w:val="000000" w:themeColor="text1"/>
                <w:sz w:val="20"/>
                <w:szCs w:val="20"/>
                <w:lang w:val="en-GB"/>
              </w:rPr>
            </w:pPr>
            <w:r w:rsidRPr="00D82DB9">
              <w:rPr>
                <w:color w:val="000000" w:themeColor="text1"/>
              </w:rPr>
              <w:t>Domain 5. Selection of reported result</w:t>
            </w:r>
          </w:p>
        </w:tc>
        <w:tc>
          <w:tcPr>
            <w:tcW w:w="450" w:type="dxa"/>
            <w:textDirection w:val="btLr"/>
          </w:tcPr>
          <w:p w14:paraId="3D5FC304" w14:textId="33676AB3" w:rsidR="00B142A5" w:rsidRPr="00D82DB9" w:rsidRDefault="00E869BF" w:rsidP="00675D5B">
            <w:pPr>
              <w:spacing w:after="0" w:line="240" w:lineRule="auto"/>
              <w:ind w:left="115"/>
              <w:rPr>
                <w:rFonts w:asciiTheme="majorHAnsi" w:eastAsia="Times New Roman" w:hAnsiTheme="majorHAnsi" w:cs="Times New Roman"/>
                <w:color w:val="000000" w:themeColor="text1"/>
                <w:sz w:val="20"/>
                <w:szCs w:val="20"/>
                <w:lang w:val="en-GB"/>
              </w:rPr>
            </w:pPr>
            <w:r w:rsidRPr="00D82DB9">
              <w:rPr>
                <w:color w:val="000000" w:themeColor="text1"/>
              </w:rPr>
              <w:t xml:space="preserve">Overall bias </w:t>
            </w:r>
          </w:p>
        </w:tc>
      </w:tr>
      <w:tr w:rsidR="00D82DB9" w:rsidRPr="00D82DB9" w14:paraId="5DB94484" w14:textId="53973AFC" w:rsidTr="0084409D">
        <w:trPr>
          <w:trHeight w:val="67"/>
          <w:tblHeader/>
        </w:trPr>
        <w:tc>
          <w:tcPr>
            <w:tcW w:w="2700" w:type="dxa"/>
            <w:hideMark/>
          </w:tcPr>
          <w:p w14:paraId="0D930CE7" w14:textId="4822F752" w:rsidR="000D40CA" w:rsidRPr="00D82DB9" w:rsidRDefault="000D40CA" w:rsidP="00997369">
            <w:pPr>
              <w:spacing w:after="0"/>
              <w:rPr>
                <w:rFonts w:asciiTheme="majorHAnsi" w:eastAsia="Times New Roman" w:hAnsiTheme="majorHAnsi" w:cs="Times New Roman"/>
                <w:b/>
                <w:bCs/>
                <w:color w:val="000000" w:themeColor="text1"/>
                <w:sz w:val="20"/>
                <w:szCs w:val="20"/>
                <w:lang w:val="en-GB"/>
              </w:rPr>
            </w:pPr>
          </w:p>
        </w:tc>
        <w:tc>
          <w:tcPr>
            <w:tcW w:w="715" w:type="dxa"/>
          </w:tcPr>
          <w:p w14:paraId="1F6273ED" w14:textId="2BC477D1" w:rsidR="000D40CA" w:rsidRPr="00D82DB9" w:rsidRDefault="000D40CA" w:rsidP="00997369">
            <w:pPr>
              <w:spacing w:after="0"/>
              <w:rPr>
                <w:rFonts w:asciiTheme="majorHAnsi" w:eastAsia="Times New Roman" w:hAnsiTheme="majorHAnsi" w:cs="Times New Roman"/>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A</w:t>
            </w:r>
          </w:p>
        </w:tc>
        <w:tc>
          <w:tcPr>
            <w:tcW w:w="720" w:type="dxa"/>
          </w:tcPr>
          <w:p w14:paraId="56E641C5" w14:textId="2B35692A" w:rsidR="000D40CA" w:rsidRPr="00D82DB9" w:rsidRDefault="000D40CA" w:rsidP="00997369">
            <w:pPr>
              <w:spacing w:after="0"/>
              <w:rPr>
                <w:rFonts w:asciiTheme="majorHAnsi" w:eastAsia="Times New Roman" w:hAnsiTheme="majorHAnsi" w:cs="Times New Roman"/>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B</w:t>
            </w:r>
          </w:p>
        </w:tc>
        <w:tc>
          <w:tcPr>
            <w:tcW w:w="787" w:type="dxa"/>
          </w:tcPr>
          <w:p w14:paraId="24A0CBA6" w14:textId="3B103ABD" w:rsidR="000D40CA" w:rsidRPr="00D82DB9" w:rsidRDefault="000D40CA" w:rsidP="00997369">
            <w:pPr>
              <w:spacing w:after="0"/>
              <w:rPr>
                <w:rFonts w:asciiTheme="majorHAnsi" w:eastAsia="Times New Roman" w:hAnsiTheme="majorHAnsi" w:cs="Times New Roman"/>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C</w:t>
            </w:r>
          </w:p>
        </w:tc>
        <w:tc>
          <w:tcPr>
            <w:tcW w:w="540" w:type="dxa"/>
          </w:tcPr>
          <w:p w14:paraId="47B1704D" w14:textId="78AA2D43" w:rsidR="000D40CA" w:rsidRPr="00D82DB9" w:rsidRDefault="000D40CA" w:rsidP="00997369">
            <w:pPr>
              <w:spacing w:after="0"/>
              <w:rPr>
                <w:rFonts w:asciiTheme="majorHAnsi" w:eastAsia="Times New Roman" w:hAnsiTheme="majorHAnsi" w:cs="Times New Roman"/>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D</w:t>
            </w:r>
          </w:p>
        </w:tc>
        <w:tc>
          <w:tcPr>
            <w:tcW w:w="653" w:type="dxa"/>
          </w:tcPr>
          <w:p w14:paraId="4C21265B" w14:textId="339763EB" w:rsidR="000D40CA" w:rsidRPr="00D82DB9" w:rsidRDefault="000D40CA" w:rsidP="00997369">
            <w:pPr>
              <w:spacing w:after="0"/>
              <w:rPr>
                <w:rFonts w:asciiTheme="majorHAnsi" w:eastAsia="Times New Roman" w:hAnsiTheme="majorHAnsi" w:cs="Times New Roman"/>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E</w:t>
            </w:r>
          </w:p>
        </w:tc>
        <w:tc>
          <w:tcPr>
            <w:tcW w:w="450" w:type="dxa"/>
          </w:tcPr>
          <w:p w14:paraId="2EC93E3C" w14:textId="51E0FC85" w:rsidR="000D40CA" w:rsidRPr="00D82DB9" w:rsidRDefault="000D40CA" w:rsidP="00997369">
            <w:pPr>
              <w:spacing w:after="0"/>
              <w:rPr>
                <w:rFonts w:asciiTheme="majorHAnsi" w:eastAsia="Times New Roman" w:hAnsiTheme="majorHAnsi" w:cs="Times New Roman"/>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F</w:t>
            </w:r>
          </w:p>
        </w:tc>
        <w:tc>
          <w:tcPr>
            <w:tcW w:w="450" w:type="dxa"/>
          </w:tcPr>
          <w:p w14:paraId="79656114" w14:textId="3F446577" w:rsidR="000D40CA" w:rsidRPr="00D82DB9" w:rsidRDefault="000D40CA" w:rsidP="00997369">
            <w:pPr>
              <w:spacing w:after="0"/>
              <w:rPr>
                <w:rFonts w:asciiTheme="majorHAnsi" w:eastAsia="Times New Roman" w:hAnsiTheme="majorHAnsi" w:cs="Times New Roman"/>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G</w:t>
            </w:r>
          </w:p>
        </w:tc>
      </w:tr>
      <w:tr w:rsidR="00D82DB9" w:rsidRPr="00D82DB9" w14:paraId="261D7E27" w14:textId="4C422305" w:rsidTr="0084409D">
        <w:trPr>
          <w:trHeight w:val="80"/>
        </w:trPr>
        <w:tc>
          <w:tcPr>
            <w:tcW w:w="2700" w:type="dxa"/>
          </w:tcPr>
          <w:p w14:paraId="27865AD0" w14:textId="0B158D0F" w:rsidR="00826CA0" w:rsidRPr="00D82DB9" w:rsidRDefault="00826CA0" w:rsidP="00826CA0">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Anzaldo </w:t>
            </w:r>
            <w:r w:rsidRPr="00D82DB9">
              <w:rPr>
                <w:rFonts w:asciiTheme="majorHAnsi" w:eastAsia="Times New Roman" w:hAnsiTheme="majorHAnsi" w:cs="Times New Roman"/>
                <w:i/>
                <w:color w:val="000000" w:themeColor="text1"/>
                <w:sz w:val="20"/>
                <w:szCs w:val="20"/>
                <w:lang w:val="en-GB"/>
              </w:rPr>
              <w:t xml:space="preserve">et al. </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{"citationItems":[{"id":"ITEM-1","itemData":{"DOI":"10.1089/dia.2015.0283","ISSN":"15578593","PMID":"26914371","abstract":"Background: The global epidemic of diabetes calls for innovative interventions. This study evaluated the effectiveness of the Project Dulce model, with and without wireless technology, on glycemic control and other clinical and self-reported outcomes in patients with poorly controlled type 2 diabetes in Mexico. Subjects and Methods: Adults with type 2 diabetes and a glycated hemoglobin A1c (HbA1c) level of ≥8% were recruited from Family Medical Unit #27 of the Instituto Mexicano del Seguro Social (IMSS) in Tijuana, México, and randomly assigned to one of three groups: Project Dulce-only (PD); Project Dulce technology-enhanced with mobile tools (PD-TE); or IMSS standard of care/control group (CG). Clinical and self-reported outcomes were assessed at baseline, Month 4, and Month 10. Time-by-group interactions and within-group changes were analyzed. Results: HbA1c reductions from baseline to Month 10 were significantly greater in PD-TE (-3.0% [-33 mmol/mol]) and PD (-2.6% [-28.7 mmol/mol]) compared with CG (-1.3% [-14.2 mmol/mol]) (P = 0.009 and 0.001, respectively). PD-TE and PD also exhibited significant improvement in diabetes knowledge when compared with CG (P &lt; 0.05 for both). No statistically significant differences were detected between PD and PD-TE on these indicators (P = 0.54 and 0.86, respectively). Several within-group improvements were observed on other clinical and self-report indicators but did not vary significantly across groups. Conclusions: Project Dulce with and without wireless technology substantially improved glycemic control and diabetes knowledge in high-risk patients with type 2 diabetes in a Mexican family medical unit, suggesting that integrating peer-led education, nurse coordination, and 3G wireless technology is an effective approach for improving diabetes outcomes in high-risk populations.","author":[{"dropping-particle":"","family":"Anzaldo-Campos","given":"María Cecilia","non-dropping-particle":"","parse-names":false,"suffix":""},{"dropping-particle":"","family":"Contreras","given":"Sonia","non-dropping-particle":"","parse-names":false,"suffix":""},{"dropping-particle":"","family":"Vargas-Ojeda","given":"Adriana","non-dropping-particle":"","parse-names":false,"suffix":""},{"dropping-particle":"","family":"Menchaca-Díaz","given":"Rufino","non-dropping-particle":"","parse-names":false,"suffix":""},{"dropping-particle":"","family":"Fortmann","given":"Addie","non-dropping-particle":"","parse-names":false,"suffix":""},{"dropping-particle":"","family":"Philis-Tsimikas","given":"Athena","non-dropping-particle":"","parse-names":false,"suffix":""}],"container-title":"Diabetes Technology and Therapeutics","id":"ITEM-1","issue":"4","issued":{"date-parts":[["2016"]]},"page":"240-251","title":"Dulce wireless Tijuana: A randomized control trial evaluating the impact of project Dulce and short-term mobile technology on glycemic control in a family medicine clinic in Northern Mexico","type":"article-journal","volume":"18"},"uris":["http://www.mendeley.com/documents/?uuid=3bdb0e86-bdf0-46a5-a896-b1f37f6b4a83"]}],"mendeley":{"formattedCitation":"(66)","plainTextFormattedCitation":"(66)","previouslyFormattedCitation":"(73)"},"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(66)</w:t>
            </w:r>
            <w:r w:rsidRPr="00D82DB9">
              <w:rPr>
                <w:rFonts w:asciiTheme="majorHAnsi" w:eastAsia="Times New Roman" w:hAnsiTheme="majorHAnsi" w:cs="Times New Roman"/>
                <w:color w:val="000000" w:themeColor="text1"/>
                <w:sz w:val="20"/>
                <w:szCs w:val="20"/>
                <w:lang w:val="en-GB"/>
              </w:rPr>
              <w:fldChar w:fldCharType="end"/>
            </w:r>
          </w:p>
        </w:tc>
        <w:tc>
          <w:tcPr>
            <w:tcW w:w="715" w:type="dxa"/>
          </w:tcPr>
          <w:p w14:paraId="44FE33D3" w14:textId="19F4C044" w:rsidR="00826CA0" w:rsidRPr="00D82DB9" w:rsidRDefault="00826CA0" w:rsidP="00826CA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D80BD34" wp14:editId="2EE75F30">
                  <wp:extent cx="161778" cy="16177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20" w:type="dxa"/>
          </w:tcPr>
          <w:p w14:paraId="7D482D91" w14:textId="018D319E" w:rsidR="00826CA0" w:rsidRPr="00D82DB9" w:rsidRDefault="00826CA0" w:rsidP="00826CA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0B52EB3" wp14:editId="61CD5AA0">
                  <wp:extent cx="161778" cy="1617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6DC32CD3" w14:textId="09F84D88" w:rsidR="00826CA0" w:rsidRPr="00D82DB9" w:rsidRDefault="00826CA0" w:rsidP="00826CA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5C31035" wp14:editId="775184C3">
                  <wp:extent cx="189297" cy="1828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540" w:type="dxa"/>
          </w:tcPr>
          <w:p w14:paraId="739B8978" w14:textId="0D5F1FEF" w:rsidR="00826CA0" w:rsidRPr="00D82DB9" w:rsidRDefault="00826CA0" w:rsidP="00826CA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558C74E" wp14:editId="09E2A6A6">
                  <wp:extent cx="189297" cy="1828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653" w:type="dxa"/>
          </w:tcPr>
          <w:p w14:paraId="4F5ED11C" w14:textId="13E91E3A" w:rsidR="00826CA0" w:rsidRPr="00D82DB9" w:rsidRDefault="00826CA0" w:rsidP="00826CA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71395615" wp14:editId="3FA85A9E">
                  <wp:extent cx="189297" cy="18288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450" w:type="dxa"/>
          </w:tcPr>
          <w:p w14:paraId="038908C0" w14:textId="38A923F5" w:rsidR="00826CA0" w:rsidRPr="00D82DB9" w:rsidRDefault="00826CA0" w:rsidP="00826CA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BD54F8F" wp14:editId="515A0DD2">
                  <wp:extent cx="189297" cy="18288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450" w:type="dxa"/>
          </w:tcPr>
          <w:p w14:paraId="3B215E9B" w14:textId="6D48C1A2" w:rsidR="00826CA0" w:rsidRPr="00D82DB9" w:rsidRDefault="00826CA0" w:rsidP="00826CA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B396182" wp14:editId="035E833C">
                  <wp:extent cx="189297" cy="18288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r>
      <w:tr w:rsidR="00D82DB9" w:rsidRPr="00D82DB9" w14:paraId="1B037727" w14:textId="5047A661" w:rsidTr="0084409D">
        <w:trPr>
          <w:trHeight w:val="50"/>
        </w:trPr>
        <w:tc>
          <w:tcPr>
            <w:tcW w:w="2700" w:type="dxa"/>
            <w:hideMark/>
          </w:tcPr>
          <w:p w14:paraId="6ACD258B" w14:textId="77E810C2" w:rsidR="000D40CA" w:rsidRPr="00D82DB9" w:rsidRDefault="000D40CA" w:rsidP="00997369">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Chao et al </w:t>
            </w:r>
            <w:bookmarkStart w:id="0" w:name="_Hlk40837171"/>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{"citationItems":[{"id":"ITEM-1","itemData":{"DOI":"10.2196/11017","ISSN":"14388871","abstract":"Background: The prevalence of chronic disease is increasing rapidly. Health promotion models have shifted toward patient-centered care and self-efficacy. Devices and mobile app in the Internet of Things (IoT) have become critical self-management tools for collecting and analyzing personal data to improve individual health outcomes. However, the precise effects of Web-based interventions on self-efficacy and the related motivation factors behind individuals' behavioral changes have not been determined. Objective: The objective of this study was to gain insight into patients' self-efficacy with newly diagnosed diabetes (type 2 diabetes mellitus) and analyze the association of patient-centered health promotion behavior and to examine the implications of the results for IoT and mobile health mobile app features. Methods: The study used data from the electronic health database (n=3128). An experimental design (n=121) and randomized controlled trials were employed to determine patient preferences in the health promotion program (n=62) and mobile self-management education (n=28). The transtheoretical model was used as a framework for observing self-management behavior for the improvement of individual health, and the theory of planned behavior was used to evaluate personal goals, execution, outcome, and personal preferences. A mobile app was used to determine individualized health promotion interventions and to apply these interventions to improve patients' self-management and self-efficacy. Results: Mobile questionnaires were administered for pre- and postintervention assessment through mobile app. A dynamic questionnaire allocation method was used to follow up and monitor patient behavioral changes in the subsequent 6 to 18 months. Participants at a high risk of problems related to blood pressure (systolic blood pressure ≥120 mm Hg) and body mass index (≥23 kg/m2) indicated high motivation to change and to achieve high scores in the self-care knowledge assessment (n=49, 95% CI -0.26% to -0.24%, P=.052). The associated clinical outcomes in the case group with the mobile-based intervention were slightly better than in the control group (glycated hemoglobin mean -1.25%, 95% CI 6.36 to 7.47, P=.002). In addition, 86% (42/49) of the participants improved their health knowledge through the mobile-based app and information and communications technology. The behavior-change compliance rate was higher among the women than among the men. In addition, the personal char…","author":[{"dropping-particle":"","family":"Chao","given":"Dyna Y.P.","non-dropping-particle":"","parse-names":false,"suffix":""},{"dropping-particle":"","family":"Lin","given":"Tom M.Y.","non-dropping-particle":"","parse-names":false,"suffix":""},{"dropping-particle":"","family":"Ma","given":"Wen Ya","non-dropping-particle":"","parse-names":false,"suffix":""}],"container-title":"Journal of Medical Internet Research","id":"ITEM-1","issue":"5","issued":{"date-parts":[["2019"]]},"title":"Enhanced self-efficacy and behavioral changes among patients with diabetes: Cloud-based mobile health platform and mobile app service","type":"article-journal","volume":"21"},"uris":["http://www.mendeley.com/documents/?uuid=8f0f15e9-812c-4ee0-a87e-4b3f21be73af"]}],"mendeley":{"formattedCitation":"(57)","plainTextFormattedCitation":"(57)","previouslyFormattedCitation":"(56)"},"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(57)</w:t>
            </w:r>
            <w:r w:rsidRPr="00D82DB9">
              <w:rPr>
                <w:rFonts w:asciiTheme="majorHAnsi" w:eastAsia="Times New Roman" w:hAnsiTheme="majorHAnsi" w:cs="Times New Roman"/>
                <w:color w:val="000000" w:themeColor="text1"/>
                <w:sz w:val="20"/>
                <w:szCs w:val="20"/>
                <w:lang w:val="en-GB"/>
              </w:rPr>
              <w:fldChar w:fldCharType="end"/>
            </w:r>
            <w:r w:rsidRPr="00D82DB9">
              <w:rPr>
                <w:rFonts w:asciiTheme="majorHAnsi" w:eastAsia="Times New Roman" w:hAnsiTheme="majorHAnsi" w:cs="Times New Roman"/>
                <w:color w:val="000000" w:themeColor="text1"/>
                <w:sz w:val="20"/>
                <w:szCs w:val="20"/>
                <w:lang w:val="en-GB"/>
              </w:rPr>
              <w:t xml:space="preserve"> </w:t>
            </w:r>
            <w:bookmarkEnd w:id="0"/>
          </w:p>
          <w:p w14:paraId="5B2644A6" w14:textId="77777777" w:rsidR="000D40CA" w:rsidRPr="00D82DB9" w:rsidRDefault="000D40CA" w:rsidP="00997369">
            <w:pPr>
              <w:spacing w:after="0"/>
              <w:rPr>
                <w:rFonts w:asciiTheme="majorHAnsi" w:eastAsia="Times New Roman" w:hAnsiTheme="majorHAnsi" w:cs="Times New Roman"/>
                <w:bCs/>
                <w:color w:val="000000" w:themeColor="text1"/>
                <w:sz w:val="20"/>
                <w:szCs w:val="20"/>
                <w:lang w:val="en-GB"/>
              </w:rPr>
            </w:pPr>
          </w:p>
        </w:tc>
        <w:tc>
          <w:tcPr>
            <w:tcW w:w="715" w:type="dxa"/>
          </w:tcPr>
          <w:p w14:paraId="7287541A" w14:textId="63422447" w:rsidR="000D40CA" w:rsidRPr="00D82DB9" w:rsidRDefault="009E500A"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7B769BAB" wp14:editId="103EF432">
                  <wp:extent cx="168812" cy="16881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003" cy="171003"/>
                          </a:xfrm>
                          <a:prstGeom prst="rect">
                            <a:avLst/>
                          </a:prstGeom>
                          <a:noFill/>
                          <a:ln>
                            <a:noFill/>
                          </a:ln>
                        </pic:spPr>
                      </pic:pic>
                    </a:graphicData>
                  </a:graphic>
                </wp:inline>
              </w:drawing>
            </w:r>
          </w:p>
        </w:tc>
        <w:tc>
          <w:tcPr>
            <w:tcW w:w="720" w:type="dxa"/>
          </w:tcPr>
          <w:p w14:paraId="19EF2381" w14:textId="03D4DBFA" w:rsidR="000D40CA" w:rsidRPr="00D82DB9" w:rsidRDefault="009E500A"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807B1E2" wp14:editId="7A3FD715">
                  <wp:extent cx="161778" cy="16177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733DAB07" w14:textId="3EC175C3" w:rsidR="000D40CA" w:rsidRPr="00D82DB9" w:rsidRDefault="009E500A"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ECFA165" wp14:editId="1E6F5438">
                  <wp:extent cx="189297" cy="1828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540" w:type="dxa"/>
          </w:tcPr>
          <w:p w14:paraId="1FD7198A" w14:textId="33513081" w:rsidR="000D40CA" w:rsidRPr="00D82DB9" w:rsidRDefault="009E500A"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CBE999B" wp14:editId="4717B9DB">
                  <wp:extent cx="161778" cy="16177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4270AE47" w14:textId="7441EBA2" w:rsidR="000D40CA" w:rsidRPr="00D82DB9" w:rsidRDefault="009E500A"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FF9A754" wp14:editId="4795168F">
                  <wp:extent cx="161778" cy="16177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77DAB820" w14:textId="3D8F4C02" w:rsidR="000D40CA" w:rsidRPr="00D82DB9" w:rsidRDefault="009E500A"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3D63BD52" wp14:editId="3662CF67">
                  <wp:extent cx="161778" cy="16177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1CD697C4" w14:textId="324F4D98" w:rsidR="000D40CA" w:rsidRPr="00D82DB9" w:rsidRDefault="009E500A"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76099AF" wp14:editId="3FF4A3C5">
                  <wp:extent cx="189297" cy="1828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r>
      <w:tr w:rsidR="00D82DB9" w:rsidRPr="00D82DB9" w14:paraId="586827A4" w14:textId="157529E7" w:rsidTr="0084409D">
        <w:trPr>
          <w:trHeight w:val="50"/>
        </w:trPr>
        <w:tc>
          <w:tcPr>
            <w:tcW w:w="2700" w:type="dxa"/>
            <w:hideMark/>
          </w:tcPr>
          <w:p w14:paraId="6EFEC3DE" w14:textId="1F28F584" w:rsidR="000D40CA" w:rsidRPr="00D82DB9" w:rsidRDefault="000D40CA" w:rsidP="00997369">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Dong </w:t>
            </w:r>
            <w:r w:rsidRPr="00D82DB9">
              <w:rPr>
                <w:rFonts w:asciiTheme="majorHAnsi" w:eastAsia="Times New Roman" w:hAnsiTheme="majorHAnsi" w:cs="Times New Roman"/>
                <w:i/>
                <w:color w:val="000000" w:themeColor="text1"/>
                <w:sz w:val="20"/>
                <w:szCs w:val="20"/>
                <w:lang w:val="en-GB"/>
              </w:rPr>
              <w:t xml:space="preserve">et al  </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{"citationItems":[{"id":"ITEM-1","itemData":{"DOI":"10.1097/MD.0000000000013632","ISBN":"0000000000","ISSN":"15365964","abstract":"Background: Health education has been considered as the effectiveness method to increase the self-care skills of diabetes patients. However, limited studies to investigate the association of health education via Wechat platform on increased the basic selfcare skills and glycemic control rate in patients with type 2 diabetes. Methods: A total number of 120 type 2 diabetes patients were randomized into intervention (health education by Wechat platform plus usual care) and the control group (usual care). Biochemical parameters including fasting plasma glucose (FPG), 2-hour plasma glucose (2hPG), glycosylated hemoglobin A1c (HbA1c) were measured among the 2 groups at baseline 6-month and 12-month. Diabetes Management Self-Efficacy (SE) Scale was completed at baseline 6-month and 12-month. Results: Significant difference of HbA1c concentration and SE were found between intervention and control groups at 6-month and 12-month (P&lt;.05). The effect of groups and health education duration times was found on reduced HbA1c concentration and increased the total score of SE (P&lt;.05). No significant difference of FPG and 2hPG concentrations were found between intervention and control groups at 6 months and 12 months (P&gt;.05). Conclusion: Health education of diabetic individuals via Wechat platform in conjunction with conventional diabetes treatment could improve glycemic control and positively influence other aspects of diabetes self-care skills.","author":[{"dropping-particle":"","family":"Dong","given":"Yonghui","non-dropping-particle":"","parse-names":false,"suffix":""},{"dropping-particle":"","family":"Wang","given":"Ping","non-dropping-particle":"","parse-names":false,"suffix":""},{"dropping-particle":"","family":"Dai","given":"Zhipeng","non-dropping-particle":"","parse-names":false,"suffix":""},{"dropping-particle":"","family":"Liu","given":"Ke","non-dropping-particle":"","parse-names":false,"suffix":""},{"dropping-particle":"","family":"Jin","given":"Yi","non-dropping-particle":"","parse-names":false,"suffix":""},{"dropping-particle":"","family":"Li","given":"Ang","non-dropping-particle":"","parse-names":false,"suffix":""},{"dropping-particle":"","family":"Wang","given":"Shengji","non-dropping-particle":"","parse-names":false,"suffix":""},{"dropping-particle":"","family":"Zheng","given":"Jia","non-dropping-particle":"","parse-names":false,"suffix":""}],"container-title":"Medicine (United States)","id":"ITEM-1","issue":"50","issued":{"date-parts":[["2018"]]},"page":"1-5","title":"Increased self-care activities and glycemic control rate in relation to health education via Wechat among diabetes patients: A randomized clinical trial","type":"article-journal","volume":"97"},"uris":["http://www.mendeley.com/documents/?uuid=9611b267-96ff-4bf3-b7a0-2f8996d6dba9"]}],"mendeley":{"formattedCitation":"(58)","plainTextFormattedCitation":"(58)","previouslyFormattedCitation":"(57)"},"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(58)</w:t>
            </w:r>
            <w:r w:rsidRPr="00D82DB9">
              <w:rPr>
                <w:rFonts w:asciiTheme="majorHAnsi" w:eastAsia="Times New Roman" w:hAnsiTheme="majorHAnsi" w:cs="Times New Roman"/>
                <w:color w:val="000000" w:themeColor="text1"/>
                <w:sz w:val="20"/>
                <w:szCs w:val="20"/>
                <w:lang w:val="en-GB"/>
              </w:rPr>
              <w:fldChar w:fldCharType="end"/>
            </w:r>
          </w:p>
          <w:p w14:paraId="3EAD1E66" w14:textId="77777777" w:rsidR="000D40CA" w:rsidRPr="00D82DB9" w:rsidRDefault="000D40CA" w:rsidP="00997369">
            <w:pPr>
              <w:spacing w:after="0"/>
              <w:rPr>
                <w:rFonts w:asciiTheme="majorHAnsi" w:eastAsia="Times New Roman" w:hAnsiTheme="majorHAnsi" w:cs="Times New Roman"/>
                <w:bCs/>
                <w:color w:val="000000" w:themeColor="text1"/>
                <w:sz w:val="20"/>
                <w:szCs w:val="20"/>
                <w:lang w:val="en-GB"/>
              </w:rPr>
            </w:pPr>
          </w:p>
        </w:tc>
        <w:tc>
          <w:tcPr>
            <w:tcW w:w="715" w:type="dxa"/>
          </w:tcPr>
          <w:p w14:paraId="725E1BA2" w14:textId="210C291C" w:rsidR="000D40CA" w:rsidRPr="00D82DB9" w:rsidRDefault="00695E1F"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6A91D4E9" wp14:editId="77A1E241">
                  <wp:extent cx="189297" cy="18288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720" w:type="dxa"/>
          </w:tcPr>
          <w:p w14:paraId="418E2FD9" w14:textId="14F32A68" w:rsidR="000D40CA" w:rsidRPr="00D82DB9" w:rsidRDefault="00695E1F"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FAEA3E8" wp14:editId="79D2EA19">
                  <wp:extent cx="161778" cy="16177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62BC6568" w14:textId="7DA82805" w:rsidR="000D40CA" w:rsidRPr="00D82DB9" w:rsidRDefault="00695E1F"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3714403A" wp14:editId="1EF0C704">
                  <wp:extent cx="168812" cy="16881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003" cy="171003"/>
                          </a:xfrm>
                          <a:prstGeom prst="rect">
                            <a:avLst/>
                          </a:prstGeom>
                          <a:noFill/>
                          <a:ln>
                            <a:noFill/>
                          </a:ln>
                        </pic:spPr>
                      </pic:pic>
                    </a:graphicData>
                  </a:graphic>
                </wp:inline>
              </w:drawing>
            </w:r>
          </w:p>
        </w:tc>
        <w:tc>
          <w:tcPr>
            <w:tcW w:w="540" w:type="dxa"/>
          </w:tcPr>
          <w:p w14:paraId="708B2D0E" w14:textId="35E35394" w:rsidR="000D40CA" w:rsidRPr="00D82DB9" w:rsidRDefault="00695E1F"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6D0A20F7" wp14:editId="389F9985">
                  <wp:extent cx="161778" cy="16177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57A67207" w14:textId="5DD14B79" w:rsidR="000D40CA" w:rsidRPr="00D82DB9" w:rsidRDefault="00695E1F"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14937B9" wp14:editId="30EB9B16">
                  <wp:extent cx="161778" cy="16177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27714897" w14:textId="7168BFD5" w:rsidR="000D40CA" w:rsidRPr="00D82DB9" w:rsidRDefault="00695E1F"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A94424B" wp14:editId="04C01117">
                  <wp:extent cx="189297" cy="18288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450" w:type="dxa"/>
          </w:tcPr>
          <w:p w14:paraId="3FFA9EB9" w14:textId="575C4AAA" w:rsidR="000D40CA" w:rsidRPr="00D82DB9" w:rsidRDefault="00695E1F"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0AA93527" wp14:editId="1868C108">
                  <wp:extent cx="189297" cy="18288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r>
      <w:tr w:rsidR="00D82DB9" w:rsidRPr="00D82DB9" w14:paraId="6C0093BC" w14:textId="4A19D461" w:rsidTr="0084409D">
        <w:trPr>
          <w:trHeight w:val="50"/>
        </w:trPr>
        <w:tc>
          <w:tcPr>
            <w:tcW w:w="2700" w:type="dxa"/>
            <w:hideMark/>
          </w:tcPr>
          <w:p w14:paraId="0C9A6C16" w14:textId="4BBBC584" w:rsidR="00E413F7" w:rsidRPr="00D82DB9" w:rsidRDefault="00E413F7" w:rsidP="00E413F7">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Fottrell et al. </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{"citationItems":[{"id":"ITEM-1","itemData":{"DOI":"10.1016/S2213-8587(19)30001-4","ISSN":"22138595","abstract":"Background: Strategies are needed to prevent and control type 2 diabetes and intermediate hyperglycaemia, which together affect roughly a third of adults in Bangladesh. We aimed to assess the effects of mHealth and community mobilisation on the prevalence of intermediate hyperglycaemia and diabetes among the general adult population in rural Bangladesh, and to assess the effect of these interventions on the incidence of type 2 diabetes among people with intermediate hyperglycaemia within the study population. Methods: DMagic was a three-arm, cluster-randomised trial of participatory community mobilisation, mHealth mobile phone messaging, and usual care (control) in 96 villages (population roughly 125 000) in Bangladesh. Community mobilisation involved 18 monthly group meetings, led by lay facilitators, applying a participatory learning and action (PLA) cycle focused on diabetes prevention and control. mHealth involved twice-weekly voice messages over 14 months promoting behaviour change to reduce diabetes risk. The primary outcomes were the combined prevalence of type 2 diabetes and intermediate hyperglycaemia in the overall population at the end of the intervention implementation period, and 2-year cumulative incidence of type 2 diabetes in a cohort with intermediate hyperglycaemia at baseline. Primary outcomes were assessed through fasting blood glucose concentrations and 2-h oral glucose tolerance tests among a cross-section of adults aged 30 years and older and a cohort of individuals identified with intermediate hyperglycaemia. Prevalence findings are based on a cross-sectional survey at the end of the study; incidence findings are based on 2-year follow-up survey of a cohort of individuals identified with intermediate hyperglycaemia through a cross-sectional survey at baseline. We also assessed the cost-effectiveness of the interventions. This trial is registered with the ISRCTN registry, number ISRCTN41083256, and is completed. Findings: The study took place between June 27, 2015, and June 28, 2018, with the PLA intervention running in 32 villages from June, 2016, to December, 2017, and the mHealth intervention running in 32 villages from Oct 21, 2016, to Dec 24, 2017. End-of study prevalence was assessed in 11 454 individuals and incidence in 2100 individuals. There was a large reduction in the combined prevalence of type 2 diabetes and intermediate hyperglycaemia in the PLA group compared with the control group at the end of the study (adjusted…","author":[{"dropping-particle":"","family":"Fottrell","given":"Edward","non-dropping-particle":"","parse-names":false,"suffix":""},{"dropping-particle":"","family":"Ahmed","given":"Naveed","non-dropping-particle":"","parse-names":false,"suffix":""},{"dropping-particle":"","family":"Morrison","given":"Joanna","non-dropping-particle":"","parse-names":false,"suffix":""},{"dropping-particle":"","family":"Kuddus","given":"Abdul","non-dropping-particle":"","parse-names":false,"suffix":""},{"dropping-particle":"","family":"Shaha","given":"Sanjit Kumer","non-dropping-particle":"","parse-names":false,"suffix":""},{"dropping-particle":"","family":"King","given":"Carina","non-dropping-particle":"","parse-names":false,"suffix":""},{"dropping-particle":"","family":"Jennings","given":"Hannah","non-dropping-particle":"","parse-names":false,"suffix":""},{"dropping-particle":"","family":"Akter","given":"Kohenour","non-dropping-particle":"","parse-names":false,"suffix":""},{"dropping-particle":"","family":"Nahar","given":"Tasmin","non-dropping-particle":"","parse-names":false,"suffix":""},{"dropping-particle":"","family":"Haghparast-Bidgoli","given":"Hassan","non-dropping-particle":"","parse-names":false,"suffix":""},{"dropping-particle":"","family":"Khan","given":"A. K.Azad","non-dropping-particle":"","parse-names":false,"suffix":""},{"dropping-particle":"","family":"Costello","given":"Anthony","non-dropping-particle":"","parse-names":false,"suffix":""},{"dropping-particle":"","family":"Azad","given":"Kishwar","non-dropping-particle":"","parse-names":false,"suffix":""}],"container-title":"The Lancet Diabetes and Endocrinology","id":"ITEM-1","issue":"3","issued":{"date-parts":[["2019"]]},"page":"200-212","publisher":"The Author(s). Published by Elsevier Ltd. This is an Open Access article under the CC BY 4.0 license","title":"Community groups or mobile phone messaging to prevent and control type 2 diabetes and intermediate hyperglycaemia in Bangladesh (DMagic): a cluster-randomised controlled trial","type":"article-journal","volume":"7"},"uris":["http://www.mendeley.com/documents/?uuid=c6949983-3b8c-429c-a3d3-5e9d719bc835"]}],"mendeley":{"formattedCitation":"(67)","plainTextFormattedCitation":"(67)","previouslyFormattedCitation":"(58)"},"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(67)</w:t>
            </w:r>
            <w:r w:rsidRPr="00D82DB9">
              <w:rPr>
                <w:rFonts w:asciiTheme="majorHAnsi" w:eastAsia="Times New Roman" w:hAnsiTheme="majorHAnsi" w:cs="Times New Roman"/>
                <w:color w:val="000000" w:themeColor="text1"/>
                <w:sz w:val="20"/>
                <w:szCs w:val="20"/>
                <w:lang w:val="en-GB"/>
              </w:rPr>
              <w:fldChar w:fldCharType="end"/>
            </w:r>
          </w:p>
        </w:tc>
        <w:tc>
          <w:tcPr>
            <w:tcW w:w="715" w:type="dxa"/>
          </w:tcPr>
          <w:p w14:paraId="20835829" w14:textId="3AA62DCE" w:rsidR="00E413F7" w:rsidRPr="00D82DB9" w:rsidRDefault="00E413F7" w:rsidP="00E413F7">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4381294" wp14:editId="462D69F8">
                  <wp:extent cx="161778" cy="16177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20" w:type="dxa"/>
          </w:tcPr>
          <w:p w14:paraId="4D77CFF6" w14:textId="455FCAC8" w:rsidR="00E413F7" w:rsidRPr="00D82DB9" w:rsidRDefault="00E413F7" w:rsidP="00E413F7">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06F34642" wp14:editId="3DDAFF29">
                  <wp:extent cx="161778" cy="16177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377F4EAD" w14:textId="157B8FAE" w:rsidR="00E413F7" w:rsidRPr="00D82DB9" w:rsidRDefault="00E413F7" w:rsidP="00E413F7">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043BA23" wp14:editId="0148A5D6">
                  <wp:extent cx="161778" cy="16177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540" w:type="dxa"/>
          </w:tcPr>
          <w:p w14:paraId="29FA016A" w14:textId="5B0EC367" w:rsidR="00E413F7" w:rsidRPr="00D82DB9" w:rsidRDefault="00E413F7" w:rsidP="00E413F7">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606B3D41" wp14:editId="0D19CF11">
                  <wp:extent cx="161778" cy="16177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3697B329" w14:textId="32297A98" w:rsidR="00E413F7" w:rsidRPr="00D82DB9" w:rsidRDefault="00E413F7" w:rsidP="00E413F7">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7C50F4A1" wp14:editId="48C5B568">
                  <wp:extent cx="161778" cy="16177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74C10043" w14:textId="63CD266E" w:rsidR="00E413F7" w:rsidRPr="00D82DB9" w:rsidRDefault="00E413F7" w:rsidP="00E413F7">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0482705" wp14:editId="7B0DDB95">
                  <wp:extent cx="161778" cy="16177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2B33F869" w14:textId="5DADCB21" w:rsidR="00E413F7" w:rsidRPr="00D82DB9" w:rsidRDefault="00E413F7" w:rsidP="00E413F7">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6F568F52" wp14:editId="66C530ED">
                  <wp:extent cx="161778" cy="16177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r>
      <w:tr w:rsidR="00D82DB9" w:rsidRPr="00D82DB9" w14:paraId="1BBD7242" w14:textId="31A505E2" w:rsidTr="0084409D">
        <w:trPr>
          <w:trHeight w:val="50"/>
        </w:trPr>
        <w:tc>
          <w:tcPr>
            <w:tcW w:w="2700" w:type="dxa"/>
          </w:tcPr>
          <w:p w14:paraId="6D308BDB" w14:textId="5E0CE6ED" w:rsidR="000D40CA" w:rsidRPr="00D82DB9" w:rsidRDefault="000D40CA" w:rsidP="00997369">
            <w:pPr>
              <w:spacing w:after="0"/>
              <w:rPr>
                <w:rFonts w:asciiTheme="majorHAnsi" w:eastAsia="Times New Roman" w:hAnsiTheme="majorHAnsi" w:cs="Times New Roman"/>
                <w:bCs/>
                <w:i/>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Gunawardena </w:t>
            </w:r>
            <w:r w:rsidRPr="00D82DB9">
              <w:rPr>
                <w:rFonts w:asciiTheme="majorHAnsi" w:eastAsia="Times New Roman" w:hAnsiTheme="majorHAnsi" w:cs="Times New Roman"/>
                <w:i/>
                <w:color w:val="000000" w:themeColor="text1"/>
                <w:sz w:val="20"/>
                <w:szCs w:val="20"/>
                <w:lang w:val="en-GB"/>
              </w:rPr>
              <w:t xml:space="preserve">et al. </w:t>
            </w:r>
            <w:r w:rsidRPr="00D82DB9">
              <w:rPr>
                <w:rFonts w:asciiTheme="majorHAnsi" w:eastAsia="Times New Roman" w:hAnsiTheme="majorHAnsi" w:cs="Times New Roman"/>
                <w:i/>
                <w:color w:val="000000" w:themeColor="text1"/>
                <w:sz w:val="20"/>
                <w:szCs w:val="20"/>
                <w:lang w:val="en-GB"/>
              </w:rPr>
              <w:fldChar w:fldCharType="begin" w:fldLock="1"/>
            </w:r>
            <w:r w:rsidRPr="00D82DB9">
              <w:rPr>
                <w:rFonts w:asciiTheme="majorHAnsi" w:eastAsia="Times New Roman" w:hAnsiTheme="majorHAnsi" w:cs="Times New Roman"/>
                <w:bCs/>
                <w:i/>
                <w:color w:val="000000" w:themeColor="text1"/>
                <w:sz w:val="20"/>
                <w:szCs w:val="20"/>
                <w:lang w:val="en-GB"/>
              </w:rPr>
              <w:instrText>ADDIN CSL_CITATION {"citationItems":[{"id":"ITEM-1","itemData":{"DOI":"10.1177/1932296818804522","author":[{"dropping-particle":"","family":"Gunawardena","given":"Kasun C","non-dropping-particle":"","parse-names":false,"suffix":""},{"dropping-particle":"","family":"Jackson","given":"Renee","non-dropping-particle":"","parse-names":false,"suffix":""},{"dropping-particle":"","family":"Robinett","given":"Iva","non-dropping-particle":"","parse-names":false,"suffix":""},{"dropping-particle":"","family":"Dhaniska","given":"Lahiru","non-dropping-particle":"","parse-names":false,"suffix":""},{"dropping-particle":"","family":"Eng","given":"B","non-dropping-particle":"","parse-names":false,"suffix":""},{"dropping-particle":"","family":"Jayamanne","given":"Shaluka","non-dropping-particle":"","parse-names":false,"suffix":""}],"id":"ITEM-1","issued":{"date-parts":[["2019"]]},"title":"The Influence of the Smart Glucose Manager Mobile Application on Diabetes Management","type":"article-journal"},"uris":["http://www.mendeley.com/documents/?uuid=ae7ae310-61ac-4829-8b01-195c19c0dc7b"]}],"mendeley":{"formattedCitation":"(72)","plainTextFormattedCitation":"(72)","previouslyFormattedCitation":"(63)"},"properties":{"noteIndex":0},"schema":"https://github.com/citation-style-language/schema/raw/master/csl-citation.json"}</w:instrText>
            </w:r>
            <w:r w:rsidRPr="00D82DB9">
              <w:rPr>
                <w:rFonts w:asciiTheme="majorHAnsi" w:eastAsia="Times New Roman" w:hAnsiTheme="majorHAnsi" w:cs="Times New Roman"/>
                <w:i/>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(72)</w:t>
            </w:r>
            <w:r w:rsidRPr="00D82DB9">
              <w:rPr>
                <w:rFonts w:asciiTheme="majorHAnsi" w:eastAsia="Times New Roman" w:hAnsiTheme="majorHAnsi" w:cs="Times New Roman"/>
                <w:i/>
                <w:color w:val="000000" w:themeColor="text1"/>
                <w:sz w:val="20"/>
                <w:szCs w:val="20"/>
                <w:lang w:val="en-GB"/>
              </w:rPr>
              <w:fldChar w:fldCharType="end"/>
            </w:r>
          </w:p>
        </w:tc>
        <w:tc>
          <w:tcPr>
            <w:tcW w:w="715" w:type="dxa"/>
          </w:tcPr>
          <w:p w14:paraId="67B654AB" w14:textId="1055C9E2" w:rsidR="000D40CA" w:rsidRPr="00D82DB9" w:rsidRDefault="005775CD"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62E92C2" wp14:editId="03C0E409">
                  <wp:extent cx="161778" cy="16177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20" w:type="dxa"/>
          </w:tcPr>
          <w:p w14:paraId="138C37F1" w14:textId="4B568FD0" w:rsidR="000D40CA" w:rsidRPr="00D82DB9" w:rsidRDefault="005775CD"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2D7FEB2" wp14:editId="4352CE3A">
                  <wp:extent cx="161778" cy="16177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7D9472DB" w14:textId="71F8F545" w:rsidR="000D40CA" w:rsidRPr="00D82DB9" w:rsidRDefault="005775CD"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76E65483" wp14:editId="7D450B44">
                  <wp:extent cx="189297" cy="18288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540" w:type="dxa"/>
          </w:tcPr>
          <w:p w14:paraId="4307414E" w14:textId="14BF4C39" w:rsidR="000D40CA" w:rsidRPr="00D82DB9" w:rsidRDefault="005775CD"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09DBDEE8" wp14:editId="53032699">
                  <wp:extent cx="161778" cy="16177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5B21A123" w14:textId="2B9A313F" w:rsidR="000D40CA" w:rsidRPr="00D82DB9" w:rsidRDefault="005775CD"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5601793" wp14:editId="62754C80">
                  <wp:extent cx="161778" cy="16177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342F9016" w14:textId="48ED2822" w:rsidR="000D40CA" w:rsidRPr="00D82DB9" w:rsidRDefault="005775CD"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D296D61" wp14:editId="4955F196">
                  <wp:extent cx="161778" cy="161778"/>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1FB763B3" w14:textId="2A570615" w:rsidR="000D40CA" w:rsidRPr="00D82DB9" w:rsidRDefault="005775CD"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6791266C" wp14:editId="467BF26C">
                  <wp:extent cx="189297" cy="1828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r>
      <w:tr w:rsidR="00D82DB9" w:rsidRPr="00D82DB9" w14:paraId="64001BBA" w14:textId="7AE5EED0" w:rsidTr="0084409D">
        <w:trPr>
          <w:trHeight w:val="134"/>
        </w:trPr>
        <w:tc>
          <w:tcPr>
            <w:tcW w:w="2700" w:type="dxa"/>
            <w:hideMark/>
          </w:tcPr>
          <w:p w14:paraId="4DD50486" w14:textId="23F78B69" w:rsidR="000D40CA" w:rsidRPr="00D82DB9" w:rsidRDefault="000D40CA" w:rsidP="00997369">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Goodarzi et al. </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{"citationItems":[{"id":"ITEM-1","itemData":{"DOI":"10.1186/2251-6581-11-10","ISSN":"22516581","abstract":"Objective: To evaluate the impacts of using SMS on improving laboratory test levels and Knowledge, Attitude, Practice (KAP) and Self Efficacy (SE) of patients with type 2 diabetes mellitus (DM) in Iran. Materials and methods: In this randomized controlled trial study, a total of 81 type 2 diabetes patients were randomly assigned into two groups exp. group (n = 43) and cont. group (n = 38). Only exp. group received 4 messages weekly consisted of diet, exercise, medication taking and. The researchers provided the intervention for 12 weeks. Data were collected with results of laboratory tests and KAP, SE reliable and valid questionnaires and demographic characteristics list. Data gathering at the baseline of the study and after 3 months intervention and was analyzed by SPSS11.5 software using descriptive and inferential statistics methods. Results: The results of this study showed that exp. group compared with cont. group improved significantly in HbA 1C (p = 0.024), LDL (p = 0.019), cholesterol (p = 0.002), BUN (p ≤ 0.001), micro albumin (p ≤ 0.001), knowledge (p ≤ 0.001), practice (p ≤ 0.001) and self efficacy (p ≤ 0.001). Conclusion: The finding of this study demonstrate the effectiveness of intervention using SMS via mobile phone in the management of type 2 diabetes mellitus (DM). Thus, further studies are recommended for wide usage of distance education with mobile phone utilization. © 2012 Goodarzi et al.","author":[{"dropping-particle":"","family":"Goodarzi","given":"Mandana","non-dropping-particle":"","parse-names":false,"suffix":""},{"dropping-particle":"","family":"Ebrahimzadeh","given":"Issa","non-dropping-particle":"","parse-names":false,"suffix":""},{"dropping-particle":"","family":"Rabi","given":"Alireza","non-dropping-particle":"","parse-names":false,"suffix":""},{"dropping-particle":"","family":"Saedipoor","given":"Bahman","non-dropping-particle":"","parse-names":false,"suffix":""},{"dropping-particle":"","family":"Jafarabadi","given":"Mohammad Asghari","non-dropping-particle":"","parse-names":false,"suffix":""}],"container-title":"Journal of Diabetes and Metabolic Disorders","id":"ITEM-1","issue":"1","issued":{"date-parts":[["2012"]]},"page":"1-8","title":"Impact of distance education via mobile phone text messaging on knowledge, attitude, practice and self efficacy of patients with type 2 diabetes mellitus in Iran","type":"article-journal","volume":"11"},"uris":["http://www.mendeley.com/documents/?uuid=3e62d6f8-46b9-49cc-9610-e90c1de49f98"]}],"mendeley":{"formattedCitation":"(74)","plainTextFormattedCitation":"(74)","previouslyFormattedCitation":"(65)"},"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(74)</w:t>
            </w:r>
            <w:r w:rsidRPr="00D82DB9">
              <w:rPr>
                <w:rFonts w:asciiTheme="majorHAnsi" w:eastAsia="Times New Roman" w:hAnsiTheme="majorHAnsi" w:cs="Times New Roman"/>
                <w:color w:val="000000" w:themeColor="text1"/>
                <w:sz w:val="20"/>
                <w:szCs w:val="20"/>
                <w:lang w:val="en-GB"/>
              </w:rPr>
              <w:fldChar w:fldCharType="end"/>
            </w:r>
          </w:p>
          <w:p w14:paraId="001B6B84" w14:textId="77777777" w:rsidR="000D40CA" w:rsidRPr="00D82DB9" w:rsidRDefault="000D40CA" w:rsidP="00997369">
            <w:pPr>
              <w:spacing w:after="0"/>
              <w:rPr>
                <w:rFonts w:asciiTheme="majorHAnsi" w:eastAsia="Times New Roman" w:hAnsiTheme="majorHAnsi" w:cs="Times New Roman"/>
                <w:bCs/>
                <w:color w:val="000000" w:themeColor="text1"/>
                <w:sz w:val="20"/>
                <w:szCs w:val="20"/>
                <w:lang w:val="en-GB"/>
              </w:rPr>
            </w:pPr>
          </w:p>
        </w:tc>
        <w:tc>
          <w:tcPr>
            <w:tcW w:w="715" w:type="dxa"/>
          </w:tcPr>
          <w:p w14:paraId="6736168B" w14:textId="261BD978" w:rsidR="000D40CA" w:rsidRPr="00D82DB9" w:rsidRDefault="00445FA1"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572A32B" wp14:editId="69EA628A">
                  <wp:extent cx="189297" cy="18288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720" w:type="dxa"/>
          </w:tcPr>
          <w:p w14:paraId="203D28D5" w14:textId="3F3F5641" w:rsidR="000D40CA" w:rsidRPr="00D82DB9" w:rsidRDefault="00445FA1"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7BDCC304" wp14:editId="5F3274A0">
                  <wp:extent cx="161778" cy="161778"/>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137BEBC3" w14:textId="22D5D65F" w:rsidR="000D40CA" w:rsidRPr="00D82DB9" w:rsidRDefault="00445FA1"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008DCC1D" wp14:editId="5ADC2097">
                  <wp:extent cx="168812" cy="168812"/>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003" cy="171003"/>
                          </a:xfrm>
                          <a:prstGeom prst="rect">
                            <a:avLst/>
                          </a:prstGeom>
                          <a:noFill/>
                          <a:ln>
                            <a:noFill/>
                          </a:ln>
                        </pic:spPr>
                      </pic:pic>
                    </a:graphicData>
                  </a:graphic>
                </wp:inline>
              </w:drawing>
            </w:r>
          </w:p>
        </w:tc>
        <w:tc>
          <w:tcPr>
            <w:tcW w:w="540" w:type="dxa"/>
          </w:tcPr>
          <w:p w14:paraId="1410574F" w14:textId="4FBCC11D" w:rsidR="000D40CA" w:rsidRPr="00D82DB9" w:rsidRDefault="00445FA1"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7494E41" wp14:editId="724BC97C">
                  <wp:extent cx="161778" cy="161778"/>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453C1FB1" w14:textId="632BA1C7" w:rsidR="000D40CA" w:rsidRPr="00D82DB9" w:rsidRDefault="00445FA1"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BEA3293" wp14:editId="02A2FEBB">
                  <wp:extent cx="189297" cy="18288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450" w:type="dxa"/>
          </w:tcPr>
          <w:p w14:paraId="2E989D4D" w14:textId="6A70B3B0" w:rsidR="000D40CA" w:rsidRPr="00D82DB9" w:rsidRDefault="00445FA1"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00AA5A55" wp14:editId="225817DE">
                  <wp:extent cx="189297" cy="18288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450" w:type="dxa"/>
          </w:tcPr>
          <w:p w14:paraId="2FD74ED7" w14:textId="072D2BE6" w:rsidR="000D40CA" w:rsidRPr="00D82DB9" w:rsidRDefault="00445FA1" w:rsidP="0099736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6AF9B7E5" wp14:editId="0910C5E1">
                  <wp:extent cx="168812" cy="168812"/>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003" cy="171003"/>
                          </a:xfrm>
                          <a:prstGeom prst="rect">
                            <a:avLst/>
                          </a:prstGeom>
                          <a:noFill/>
                          <a:ln>
                            <a:noFill/>
                          </a:ln>
                        </pic:spPr>
                      </pic:pic>
                    </a:graphicData>
                  </a:graphic>
                </wp:inline>
              </w:drawing>
            </w:r>
          </w:p>
        </w:tc>
      </w:tr>
      <w:tr w:rsidR="00D82DB9" w:rsidRPr="00D82DB9" w14:paraId="2A803163" w14:textId="55A4D124" w:rsidTr="0084409D">
        <w:trPr>
          <w:trHeight w:val="50"/>
        </w:trPr>
        <w:tc>
          <w:tcPr>
            <w:tcW w:w="2700" w:type="dxa"/>
            <w:hideMark/>
          </w:tcPr>
          <w:p w14:paraId="277AAC91" w14:textId="3743219C" w:rsidR="0095243C" w:rsidRPr="00D82DB9" w:rsidRDefault="0095243C" w:rsidP="0095243C">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Huo </w:t>
            </w:r>
            <w:r w:rsidRPr="00D82DB9">
              <w:rPr>
                <w:rFonts w:asciiTheme="majorHAnsi" w:eastAsia="Times New Roman" w:hAnsiTheme="majorHAnsi" w:cs="Times New Roman"/>
                <w:i/>
                <w:color w:val="000000" w:themeColor="text1"/>
                <w:sz w:val="20"/>
                <w:szCs w:val="20"/>
                <w:lang w:val="en-GB"/>
              </w:rPr>
              <w:t xml:space="preserve">et al  </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{"citationItems":[{"id":"ITEM-1","itemData":{"DOI":"10.1161/CIRCOUTCOMES.119.005805","ISSN":"19417705","abstract":"BACKGROUND: Mobile health interventions may support risk factor management and are readily scalable in healthcare systems. We aim to evaluate the efficacy of a text messaging-based intervention to improve glycemic control in patients with coronary heart disease and diabetes mellitus in China. METHODS AND RESULTS: The CHAT-DM study (Cardiovascular Health and Texting-Diabetes Mellitus) was a parallel-group, single-blind, randomized clinical trial that included 502 patients with both coronary heart disease and diabetes mellitus from 34 hospitals in China. The intervention group (n=251) received 6 text messages per week for 6 months in addition to usual care. Messages were theory driven and culturally tailored to provide educational and motivational information on glucose monitoring, blood pressure control, medication adherence, physical activity, and lifestyle. The control group (n=251) received usual care and 2 thank you messages per month. The primary outcome was change in glycated hemoglobin (HbA1C [hemoglobin A1C]) from baseline to 6 months. Secondary outcomes were change in proportion of patients achieving HbA1C &lt;7%, fasting blood glucose, systolic blood pressure, LDL (low-density lipoprotein) cholesterol, body mass index, and physical activity from baseline to 6 months. The end points were assessed using analyses of covariance. The follow-up rate was 99%. When compared with control group at 6 months, the intervention group had a greater reduction in HbA1C (-0.2% versus 0.1%; P=0.003) and a greater proportion of participants who achieved HbA1C &lt;7% (69.3% versus 52.6%; P=0.004). Change in fasting blood glucose was larger in the intervention group (between-group difference: -0.6 mmol/L; 95% CI, -1.1 to -0.2; P=0.011), but no other outcome differences were observed. Nearly all participants reported that messages were easy to understand (97.1%) and useful (94.1%). CONCLUSIONS: A text message intervention resulted in better glycemic control in patients with diabetes mellitus and coronary heart disease. While the mechanism of this benefit remains to be determined, the results suggest that a simple, culturally sensitive mobile text messaging program may provide an effective and feasible way to improve disease self-management. CLINICAL TRIAL REGISTRATION: URL: http://www.clinicaltrials.gov. Unique identifier: NCT02883842.","author":[{"dropping-particle":"","family":"Huo","given":"Xiqian","non-dropping-particle":"","parse-names":false,"suffix":""},{"dropping-particle":"","family":"Krumholz","given":"Harlan M.","non-dropping-particle":"","parse-names":false,"suffix":""},{"dropping-particle":"","family":"Bai","given":"Xueke","non-dropping-particle":"","parse-names":false,"suffix":""},{"dropping-particle":"","family":"Spatz","given":"Erica S.","non-dropping-particle":"","parse-names":false,"suffix":""},{"dropping-particle":"","family":"Ding","given":"Qinglan","non-dropping-particle":"","parse-names":false,"suffix":""},{"dropping-particle":"","family":"Horak","given":"Paul","non-dropping-particle":"","parse-names":false,"suffix":""},{"dropping-particle":"","family":"Zhao","given":"Weigang","non-dropping-particle":"","parse-names":false,"suffix":""},{"dropping-particle":"","family":"Gong","given":"Qiuhong","non-dropping-particle":"","parse-names":false,"suffix":""},{"dropping-particle":"","family":"Zhang","given":"Haibo","non-dropping-particle":"","parse-names":false,"suffix":""},{"dropping-particle":"","family":"Yan","given":"Xiaofang","non-dropping-particle":"","parse-names":false,"suffix":""},{"dropping-particle":"","family":"Sun","given":"Ying","non-dropping-particle":"","parse-names":false,"suffix":""},{"dropping-particle":"","family":"Liu","given":"Jiamin","non-dropping-particle":"","parse-names":false,"suffix":""},{"dropping-particle":"","family":"Wu","given":"Xuekun","non-dropping-particle":"","parse-names":false,"suffix":""},{"dropping-particle":"","family":"Guan","given":"Wenchi","non-dropping-particle":"","parse-names":false,"suffix":""},{"dropping-particle":"","family":"Wang","given":"Xiuling","non-dropping-particle":"","parse-names":false,"suffix":""},{"dropping-particle":"","family":"Li","given":"Jing","non-dropping-particle":"","parse-names":false,"suffix":""},{"dropping-particle":"","family":"Li","given":"Xi","non-dropping-particle":"","parse-names":false,"suffix":""},{"dropping-particle":"","family":"Spertus","given":"John A.","non-dropping-particle":"","parse-names":false,"suffix":""},{"dropping-particle":"","family":"Masoudi","given":"Frederick A.","non-dropping-particle":"","parse-names":false,"suffix":""},{"dropping-particle":"","family":"Zheng","given":"Xin","non-dropping-particle":"","parse-names":false,"suffix":""}],"container-title":"Circulation. Cardiovascular quality and outcomes","id":"ITEM-1","issue":"9","issued":{"date-parts":[["2019"]]},"page":"e005805","title":"Effects of Mobile Text Messaging on Glycemic Control in Patients With Coronary Heart Disease and Diabetes Mellitus","type":"article-journal","volume":"12"},"uris":["http://www.mendeley.com/documents/?uuid=9fad95b0-6088-467f-b65f-69ef548d742b"]}],"mendeley":{"formattedCitation":"(59)","plainTextFormattedCitation":"(59)","previouslyFormattedCitation":"(66)"},"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(59)</w:t>
            </w:r>
            <w:r w:rsidRPr="00D82DB9">
              <w:rPr>
                <w:rFonts w:asciiTheme="majorHAnsi" w:eastAsia="Times New Roman" w:hAnsiTheme="majorHAnsi" w:cs="Times New Roman"/>
                <w:color w:val="000000" w:themeColor="text1"/>
                <w:sz w:val="20"/>
                <w:szCs w:val="20"/>
                <w:lang w:val="en-GB"/>
              </w:rPr>
              <w:fldChar w:fldCharType="end"/>
            </w:r>
          </w:p>
          <w:p w14:paraId="283AEE33" w14:textId="77777777" w:rsidR="0095243C" w:rsidRPr="00D82DB9" w:rsidRDefault="0095243C" w:rsidP="0095243C">
            <w:pPr>
              <w:spacing w:after="0"/>
              <w:rPr>
                <w:rFonts w:asciiTheme="majorHAnsi" w:eastAsia="Times New Roman" w:hAnsiTheme="majorHAnsi" w:cs="Times New Roman"/>
                <w:bCs/>
                <w:color w:val="000000" w:themeColor="text1"/>
                <w:sz w:val="20"/>
                <w:szCs w:val="20"/>
                <w:lang w:val="en-GB"/>
              </w:rPr>
            </w:pPr>
          </w:p>
        </w:tc>
        <w:tc>
          <w:tcPr>
            <w:tcW w:w="715" w:type="dxa"/>
          </w:tcPr>
          <w:p w14:paraId="45436A84" w14:textId="7AA96D44" w:rsidR="0095243C" w:rsidRPr="00D82DB9" w:rsidRDefault="0095243C"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0D1B526" wp14:editId="181F5EEE">
                  <wp:extent cx="161778" cy="161778"/>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20" w:type="dxa"/>
          </w:tcPr>
          <w:p w14:paraId="300E730F" w14:textId="06898810" w:rsidR="0095243C" w:rsidRPr="00D82DB9" w:rsidRDefault="0095243C"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653578BF" wp14:editId="4F66144C">
                  <wp:extent cx="161778" cy="161778"/>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69B8FC05" w14:textId="1A258A71" w:rsidR="0095243C" w:rsidRPr="00D82DB9" w:rsidRDefault="0095243C"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D3CDAEE" wp14:editId="12A7BA0D">
                  <wp:extent cx="189297" cy="18288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540" w:type="dxa"/>
          </w:tcPr>
          <w:p w14:paraId="78A94BDE" w14:textId="4799332E" w:rsidR="0095243C" w:rsidRPr="00D82DB9" w:rsidRDefault="0095243C"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B4D36DD" wp14:editId="3C3E9D3E">
                  <wp:extent cx="161778" cy="161778"/>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075A3F2F" w14:textId="49232F03" w:rsidR="0095243C" w:rsidRPr="00D82DB9" w:rsidRDefault="0095243C"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65CF579C" wp14:editId="5E60ED7D">
                  <wp:extent cx="161778" cy="161778"/>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2C369E8E" w14:textId="4783AAE1" w:rsidR="0095243C" w:rsidRPr="00D82DB9" w:rsidRDefault="0095243C"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13F44BE" wp14:editId="133D000C">
                  <wp:extent cx="189297" cy="18288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450" w:type="dxa"/>
          </w:tcPr>
          <w:p w14:paraId="466D7511" w14:textId="263789BA" w:rsidR="0095243C" w:rsidRPr="00D82DB9" w:rsidRDefault="0095243C"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3BAB7558" wp14:editId="3BC18377">
                  <wp:extent cx="189297" cy="18288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r>
      <w:tr w:rsidR="00D82DB9" w:rsidRPr="00D82DB9" w14:paraId="0376BCD3" w14:textId="73F5B71D" w:rsidTr="0084409D">
        <w:trPr>
          <w:trHeight w:val="50"/>
        </w:trPr>
        <w:tc>
          <w:tcPr>
            <w:tcW w:w="2700" w:type="dxa"/>
          </w:tcPr>
          <w:p w14:paraId="12F37756" w14:textId="698A332D" w:rsidR="0005361A" w:rsidRPr="00D82DB9" w:rsidRDefault="0005361A" w:rsidP="0005361A">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Islam </w:t>
            </w:r>
            <w:r w:rsidRPr="00D82DB9">
              <w:rPr>
                <w:rFonts w:asciiTheme="majorHAnsi" w:eastAsia="Times New Roman" w:hAnsiTheme="majorHAnsi" w:cs="Times New Roman"/>
                <w:i/>
                <w:color w:val="000000" w:themeColor="text1"/>
                <w:sz w:val="20"/>
                <w:szCs w:val="20"/>
                <w:lang w:val="en-GB"/>
              </w:rPr>
              <w:t>et al.</w:t>
            </w:r>
            <w:r w:rsidRPr="00D82DB9">
              <w:rPr>
                <w:rFonts w:asciiTheme="majorHAnsi" w:eastAsia="Times New Roman" w:hAnsiTheme="majorHAnsi" w:cs="Times New Roman"/>
                <w:color w:val="000000" w:themeColor="text1"/>
                <w:sz w:val="20"/>
                <w:szCs w:val="20"/>
                <w:lang w:val="en-GB"/>
              </w:rPr>
              <w:t xml:space="preserve"> </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{"citationItems":[{"id":"ITEM-1","itemData":{"DOI":"10.1186/s12913-014-0586-1","ISSN":"14726963","PMID":"25424425","abstract":"Background: Mobile phone technologies including SMS (short message service) have been used to improve the delivery of health services in many countries. However, data on the effects of mobile health technology on patient outcomes in resource-limited settings are limited. The aim of this study therefore is to measure the impact of a mobile phone SMS service on treatment success of newly diagnosed type 2 diabetes in an urban area of Bangladesh. Methods/design: This is a single-centred randomized controlled intervention trial (prospective) comparing standard-of-care with standard-of-care plus a mobile phone-based SMS intervention for 6 months. A total of 216 participants with newly diagnosed type 2 diabetes will be recruited. Data will be collected at the outpatient department of Bangladesh Institute of Health Science (BIHS) hospital at baseline and after 6 months. The primary outcome measure will be change in HbA1c between baseline and 6 months. The secondary outcome measures are self-reported medication adherence, clinic attendance, self-reported adoption of healthy behaviours, diabetes knowledge, quality of life and cost effectiveness of the SMS intervention. The inclusion criteria will be as follows: diagnosed as patients with type 2 diabetes by the BIHS physician, using oral medication therapy, living in Dhaka city, registered with the BIHS hospital, using a mobile phone, willing to return for follow up after 6 months and providing written informed consent. Participants will be allocated to control and intervention arms after recruitment using a randomization software. Data will be collected on socio-demographic and economic information, mobile phone use and habits, knowledge of prevention, management and complications of diabetes, self-perceived quality of life assessment, self-reported diseases, medical history, family history of diseases, medication history, medication adherence, health seeking behaviour, tobacco use, physical activity, diet, mental health status, life events and disability, anthropometric measurements of weight, height, blood pressure and blood tests for HbA1c. Discussion: Mobile phone SMS services have the potential to communicate with diabetes patients and to build awareness about the disease, improve self-management and avoid complications also in resource-limited setting. If this intervention proves to be efficient and cost-effective in the current trial, large-scale implementation could be undertaken.","author":[{"dropping-particle":"","family":"Islam","given":"Sheikh Mohammed Shariful","non-dropping-particle":"","parse-names":false,"suffix":""},{"dropping-particle":"","family":"Lechner","given":"Andreas","non-dropping-particle":"","parse-names":false,"suffix":""},{"dropping-particle":"","family":"Ferrari","given":"Uta","non-dropping-particle":"","parse-names":false,"suffix":""},{"dropping-particle":"","family":"Froeschl","given":"Guenter","non-dropping-particle":"","parse-names":false,"suffix":""},{"dropping-particle":"","family":"Alam","given":"Dewan Shamsul","non-dropping-particle":"","parse-names":false,"suffix":""},{"dropping-particle":"","family":"Holle","given":"Rolf","non-dropping-particle":"","parse-names":false,"suffix":""},{"dropping-particle":"","family":"Seissler","given":"Jochen","non-dropping-particle":"","parse-names":false,"suffix":""},{"dropping-particle":"","family":"Niessen","given":"Louis W.","non-dropping-particle":"","parse-names":false,"suffix":""}],"container-title":"BMC Health Services Research","id":"ITEM-1","issue":"1","issued":{"date-parts":[["2014"]]},"page":"1-9","title":"Mobile phone intervention for increasing adherence to treatment for type 2 diabetes in an urban area of Bangladesh: Protocol for a randomized controlled trial","type":"article-journal","volume":"14"},"uris":["http://www.mendeley.com/documents/?uuid=e407270e-678a-437b-965f-0777e61d4933"]}],"mendeley":{"formattedCitation":"(90)","plainTextFormattedCitation":"(90)","previouslyFormattedCitation":"(89)"},"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(90)</w:t>
            </w:r>
            <w:r w:rsidRPr="00D82DB9">
              <w:rPr>
                <w:rFonts w:asciiTheme="majorHAnsi" w:eastAsia="Times New Roman" w:hAnsiTheme="majorHAnsi" w:cs="Times New Roman"/>
                <w:color w:val="000000" w:themeColor="text1"/>
                <w:sz w:val="20"/>
                <w:szCs w:val="20"/>
                <w:lang w:val="en-GB"/>
              </w:rPr>
              <w:fldChar w:fldCharType="end"/>
            </w:r>
          </w:p>
        </w:tc>
        <w:tc>
          <w:tcPr>
            <w:tcW w:w="715" w:type="dxa"/>
          </w:tcPr>
          <w:p w14:paraId="0A21DFAC" w14:textId="2D977681" w:rsidR="0005361A" w:rsidRPr="00D82DB9" w:rsidRDefault="0005361A" w:rsidP="0005361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6AA00B7" wp14:editId="62EA3BC1">
                  <wp:extent cx="161778" cy="161778"/>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20" w:type="dxa"/>
          </w:tcPr>
          <w:p w14:paraId="5E9DBEAB" w14:textId="4F033BB2" w:rsidR="0005361A" w:rsidRPr="00D82DB9" w:rsidRDefault="0005361A" w:rsidP="0005361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A15FAAC" wp14:editId="483E7E9D">
                  <wp:extent cx="161778" cy="161778"/>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040F1A06" w14:textId="208C169E" w:rsidR="0005361A" w:rsidRPr="00D82DB9" w:rsidRDefault="0005361A" w:rsidP="0005361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394C6D1C" wp14:editId="4402B07A">
                  <wp:extent cx="161778" cy="161778"/>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540" w:type="dxa"/>
          </w:tcPr>
          <w:p w14:paraId="5265FF4B" w14:textId="363901FA" w:rsidR="0005361A" w:rsidRPr="00D82DB9" w:rsidRDefault="0005361A" w:rsidP="0005361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40D9C80" wp14:editId="5939BBAE">
                  <wp:extent cx="161778" cy="161778"/>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5AEC470D" w14:textId="3083FF79" w:rsidR="0005361A" w:rsidRPr="00D82DB9" w:rsidRDefault="0005361A" w:rsidP="0005361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2EC83F9" wp14:editId="568FB814">
                  <wp:extent cx="189297" cy="18288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450" w:type="dxa"/>
          </w:tcPr>
          <w:p w14:paraId="356E9C48" w14:textId="6295C230" w:rsidR="0005361A" w:rsidRPr="00D82DB9" w:rsidRDefault="0005361A" w:rsidP="0005361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6478CFF" wp14:editId="21F8D925">
                  <wp:extent cx="189297" cy="18288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450" w:type="dxa"/>
          </w:tcPr>
          <w:p w14:paraId="6F6E58D6" w14:textId="62AF375B" w:rsidR="0005361A" w:rsidRPr="00D82DB9" w:rsidRDefault="0005361A" w:rsidP="0005361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76EB92DE" wp14:editId="466E55AB">
                  <wp:extent cx="189297" cy="18288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r>
      <w:tr w:rsidR="00D82DB9" w:rsidRPr="00D82DB9" w14:paraId="08F78CCB" w14:textId="74477AD7" w:rsidTr="0084409D">
        <w:trPr>
          <w:trHeight w:val="80"/>
        </w:trPr>
        <w:tc>
          <w:tcPr>
            <w:tcW w:w="2700" w:type="dxa"/>
            <w:hideMark/>
          </w:tcPr>
          <w:p w14:paraId="7D36AAF0" w14:textId="4C52C174" w:rsidR="00292D18" w:rsidRPr="00D82DB9" w:rsidRDefault="00292D18" w:rsidP="00292D18">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Kumar </w:t>
            </w:r>
            <w:r w:rsidRPr="00D82DB9">
              <w:rPr>
                <w:rFonts w:asciiTheme="majorHAnsi" w:eastAsia="Times New Roman" w:hAnsiTheme="majorHAnsi" w:cs="Times New Roman"/>
                <w:i/>
                <w:color w:val="000000" w:themeColor="text1"/>
                <w:sz w:val="20"/>
                <w:szCs w:val="20"/>
                <w:lang w:val="en-GB"/>
              </w:rPr>
              <w:t>et al.</w:t>
            </w:r>
            <w:r w:rsidRPr="00D82DB9">
              <w:rPr>
                <w:rFonts w:asciiTheme="majorHAnsi" w:eastAsia="Times New Roman" w:hAnsiTheme="majorHAnsi" w:cs="Times New Roman"/>
                <w:color w:val="000000" w:themeColor="text1"/>
                <w:sz w:val="20"/>
                <w:szCs w:val="20"/>
                <w:lang w:val="en-GB"/>
              </w:rPr>
              <w:t xml:space="preserve"> </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{"citationItems":[{"id":"ITEM-1","itemData":{"DOI":"10.4103/ijph.IJPH_199_17","abstract":"Limited availability of randomized control trial warranted the conduct of a present study to demonstrate the effectiveness of mobile phone</w:instrText>
            </w:r>
            <w:r w:rsidRPr="00D82DB9">
              <w:rPr>
                <w:rFonts w:ascii="Cambria Math" w:eastAsia="Times New Roman" w:hAnsi="Cambria Math" w:cs="Cambria Math"/>
                <w:bCs/>
                <w:color w:val="000000" w:themeColor="text1"/>
                <w:sz w:val="20"/>
                <w:szCs w:val="20"/>
                <w:lang w:val="en-GB"/>
              </w:rPr>
              <w:instrText>‑</w:instrText>
            </w:r>
            <w:r w:rsidRPr="00D82DB9">
              <w:rPr>
                <w:rFonts w:asciiTheme="majorHAnsi" w:eastAsia="Times New Roman" w:hAnsiTheme="majorHAnsi" w:cs="Times New Roman"/>
                <w:bCs/>
                <w:color w:val="000000" w:themeColor="text1"/>
                <w:sz w:val="20"/>
                <w:szCs w:val="20"/>
                <w:lang w:val="en-GB"/>
              </w:rPr>
              <w:instrText>based short message services(SMSs) on reduction in mean fasting blood glucose (FBG) in patients with type</w:instrText>
            </w:r>
            <w:r w:rsidRPr="00D82DB9">
              <w:rPr>
                <w:rFonts w:ascii="Cambria Math" w:eastAsia="Times New Roman" w:hAnsi="Cambria Math" w:cs="Cambria Math"/>
                <w:bCs/>
                <w:color w:val="000000" w:themeColor="text1"/>
                <w:sz w:val="20"/>
                <w:szCs w:val="20"/>
                <w:lang w:val="en-GB"/>
              </w:rPr>
              <w:instrText>‑</w:instrText>
            </w:r>
            <w:r w:rsidRPr="00D82DB9">
              <w:rPr>
                <w:rFonts w:asciiTheme="majorHAnsi" w:eastAsia="Times New Roman" w:hAnsiTheme="majorHAnsi" w:cs="Times New Roman"/>
                <w:bCs/>
                <w:color w:val="000000" w:themeColor="text1"/>
                <w:sz w:val="20"/>
                <w:szCs w:val="20"/>
                <w:lang w:val="en-GB"/>
              </w:rPr>
              <w:instrText>2 diabetes mellitus. Atotal of 955 patients were recruited from primary and secondary health</w:instrText>
            </w:r>
            <w:r w:rsidRPr="00D82DB9">
              <w:rPr>
                <w:rFonts w:ascii="Cambria Math" w:eastAsia="Times New Roman" w:hAnsi="Cambria Math" w:cs="Cambria Math"/>
                <w:bCs/>
                <w:color w:val="000000" w:themeColor="text1"/>
                <w:sz w:val="20"/>
                <w:szCs w:val="20"/>
                <w:lang w:val="en-GB"/>
              </w:rPr>
              <w:instrText>‑</w:instrText>
            </w:r>
            <w:r w:rsidRPr="00D82DB9">
              <w:rPr>
                <w:rFonts w:asciiTheme="majorHAnsi" w:eastAsia="Times New Roman" w:hAnsiTheme="majorHAnsi" w:cs="Times New Roman"/>
                <w:bCs/>
                <w:color w:val="000000" w:themeColor="text1"/>
                <w:sz w:val="20"/>
                <w:szCs w:val="20"/>
                <w:lang w:val="en-GB"/>
              </w:rPr>
              <w:instrText>care facilities and randomized to intervention (479) and control (476) group. Messages were delivered to patients for 12 months tailoring to their recent FBG values. SMS included information to maintain the desired FBG levels and next due date for FBG assessment. Patients were statistically similar for their age, socioeconomic status, smoking, and alcohol use. After the intervention, an average FBG declined from 163.7 to 152.8 mg/dl (P = 0.019) in intervention and from 150.5 to 149.2 mg/dl (P = 0.859) in control group. Adjusted for the baseline FBG, the intervention was found to be significantly effective (odds ratio: 1.7; 95 confidence interval: 1.2–2.6).","author":[{"dropping-particle":"","family":"Kumar","given":"Dinesh","non-dropping-particle":"","parse-names":false,"suffix":""},{"dropping-particle":"","family":"Sujeet","given":"Raina","non-dropping-particle":"","parse-names":false,"suffix":""},{"dropping-particle":"","family":"Satya Bhushan","given":"Sharma","non-dropping-particle":"","parse-names":false,"suffix":""},{"dropping-particle":"","family":"Sunil Kumar","given":"Raina","non-dropping-particle":"","parse-names":false,"suffix":""},{"dropping-particle":"","family":"Ashok Kumar","given":"Bhardwaj","non-dropping-particle":"","parse-names":false,"suffix":""}],"container-title":"Indian Journal of Public Health","id":"ITEM-1","issued":{"date-parts":[["2018"]]},"page":"224-6","title":"Effectiveness of Randomized Control Trial of Mobile Phone Messages on Control of Fasting Blood Glucose in Patients with Type</w:instrText>
            </w:r>
            <w:r w:rsidRPr="00D82DB9">
              <w:rPr>
                <w:rFonts w:ascii="Cambria Math" w:eastAsia="Times New Roman" w:hAnsi="Cambria Math" w:cs="Cambria Math"/>
                <w:bCs/>
                <w:color w:val="000000" w:themeColor="text1"/>
                <w:sz w:val="20"/>
                <w:szCs w:val="20"/>
                <w:lang w:val="en-GB"/>
              </w:rPr>
              <w:instrText>‑</w:instrText>
            </w:r>
            <w:r w:rsidRPr="00D82DB9">
              <w:rPr>
                <w:rFonts w:asciiTheme="majorHAnsi" w:eastAsia="Times New Roman" w:hAnsiTheme="majorHAnsi" w:cs="Times New Roman"/>
                <w:bCs/>
                <w:color w:val="000000" w:themeColor="text1"/>
                <w:sz w:val="20"/>
                <w:szCs w:val="20"/>
                <w:lang w:val="en-GB"/>
              </w:rPr>
              <w:instrText>2 Diabetes Mellitus in a Northern State of India","type":"article-journal","volume":"62"},"uris":["http://www.mendeley.com/documents/?uuid=bf792e1d-c7f0-45b7-bdcf-23c07fc96167"]}],"mendeley":{"formattedCitation":"(68)","plainTextFormattedCitation":"(68)","previouslyFormattedCitation":"(59)"},"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(68)</w:t>
            </w:r>
            <w:r w:rsidRPr="00D82DB9">
              <w:rPr>
                <w:rFonts w:asciiTheme="majorHAnsi" w:eastAsia="Times New Roman" w:hAnsiTheme="majorHAnsi" w:cs="Times New Roman"/>
                <w:color w:val="000000" w:themeColor="text1"/>
                <w:sz w:val="20"/>
                <w:szCs w:val="20"/>
                <w:lang w:val="en-GB"/>
              </w:rPr>
              <w:fldChar w:fldCharType="end"/>
            </w:r>
          </w:p>
        </w:tc>
        <w:tc>
          <w:tcPr>
            <w:tcW w:w="715" w:type="dxa"/>
          </w:tcPr>
          <w:p w14:paraId="074844EE" w14:textId="679C6B20" w:rsidR="00292D18" w:rsidRPr="00D82DB9" w:rsidRDefault="00292D18" w:rsidP="00292D18">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DF1ED99" wp14:editId="3534D63B">
                  <wp:extent cx="189297" cy="18288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720" w:type="dxa"/>
          </w:tcPr>
          <w:p w14:paraId="314FDA60" w14:textId="73DF276B" w:rsidR="00292D18" w:rsidRPr="00D82DB9" w:rsidRDefault="00292D18" w:rsidP="00292D18">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2F8277C" wp14:editId="150FA461">
                  <wp:extent cx="161778" cy="161778"/>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45847BD2" w14:textId="1421D909" w:rsidR="00292D18" w:rsidRPr="00D82DB9" w:rsidRDefault="00292D18" w:rsidP="00292D18">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718FDFCB" wp14:editId="3789716C">
                  <wp:extent cx="161778" cy="161778"/>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540" w:type="dxa"/>
          </w:tcPr>
          <w:p w14:paraId="068F046E" w14:textId="2ED10DAF" w:rsidR="00292D18" w:rsidRPr="00D82DB9" w:rsidRDefault="00292D18" w:rsidP="00292D18">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506B710" wp14:editId="0DA9950A">
                  <wp:extent cx="161778" cy="161778"/>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1A2DFB96" w14:textId="748B3293" w:rsidR="00292D18" w:rsidRPr="00D82DB9" w:rsidRDefault="00292D18" w:rsidP="00292D18">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B202505" wp14:editId="3B38EEC8">
                  <wp:extent cx="168812" cy="168812"/>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003" cy="171003"/>
                          </a:xfrm>
                          <a:prstGeom prst="rect">
                            <a:avLst/>
                          </a:prstGeom>
                          <a:noFill/>
                          <a:ln>
                            <a:noFill/>
                          </a:ln>
                        </pic:spPr>
                      </pic:pic>
                    </a:graphicData>
                  </a:graphic>
                </wp:inline>
              </w:drawing>
            </w:r>
          </w:p>
        </w:tc>
        <w:tc>
          <w:tcPr>
            <w:tcW w:w="450" w:type="dxa"/>
          </w:tcPr>
          <w:p w14:paraId="71195C4A" w14:textId="1BC9CBA3" w:rsidR="00292D18" w:rsidRPr="00D82DB9" w:rsidRDefault="00292D18" w:rsidP="00292D18">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795E3BD" wp14:editId="3C4E93FD">
                  <wp:extent cx="189297" cy="18288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450" w:type="dxa"/>
          </w:tcPr>
          <w:p w14:paraId="74F688ED" w14:textId="1F2B43D3" w:rsidR="00292D18" w:rsidRPr="00D82DB9" w:rsidRDefault="00292D18" w:rsidP="00292D18">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9D5C7C6" wp14:editId="795DD3C3">
                  <wp:extent cx="189297" cy="18288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r>
      <w:tr w:rsidR="00D82DB9" w:rsidRPr="00D82DB9" w14:paraId="7C6B4EC2" w14:textId="21F90D5A" w:rsidTr="0084409D">
        <w:trPr>
          <w:trHeight w:val="206"/>
        </w:trPr>
        <w:tc>
          <w:tcPr>
            <w:tcW w:w="2700" w:type="dxa"/>
          </w:tcPr>
          <w:p w14:paraId="201596C3" w14:textId="771E5E93" w:rsidR="0095243C" w:rsidRPr="00D82DB9" w:rsidRDefault="0095243C" w:rsidP="0095243C">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Li </w:t>
            </w:r>
            <w:r w:rsidRPr="00D82DB9">
              <w:rPr>
                <w:rFonts w:asciiTheme="majorHAnsi" w:eastAsia="Times New Roman" w:hAnsiTheme="majorHAnsi" w:cs="Times New Roman"/>
                <w:i/>
                <w:color w:val="000000" w:themeColor="text1"/>
                <w:sz w:val="20"/>
                <w:szCs w:val="20"/>
                <w:lang w:val="en-GB"/>
              </w:rPr>
              <w:t>et al.</w:t>
            </w:r>
            <w:r w:rsidRPr="00D82DB9">
              <w:rPr>
                <w:rFonts w:asciiTheme="majorHAnsi" w:eastAsia="Times New Roman" w:hAnsiTheme="majorHAnsi" w:cs="Times New Roman"/>
                <w:i/>
                <w:color w:val="000000" w:themeColor="text1"/>
                <w:sz w:val="20"/>
                <w:szCs w:val="20"/>
                <w:lang w:val="en-GB"/>
              </w:rPr>
              <w:fldChar w:fldCharType="begin" w:fldLock="1"/>
            </w:r>
            <w:r w:rsidRPr="00D82DB9">
              <w:rPr>
                <w:rFonts w:asciiTheme="majorHAnsi" w:eastAsia="Times New Roman" w:hAnsiTheme="majorHAnsi" w:cs="Times New Roman"/>
                <w:bCs/>
                <w:i/>
                <w:color w:val="000000" w:themeColor="text1"/>
                <w:sz w:val="20"/>
                <w:szCs w:val="20"/>
                <w:lang w:val="en-GB"/>
              </w:rPr>
              <w:instrText>ADDIN CSL_CITATION {"citationItems":[{"id":"ITEM-1","itemData":{"DOI":"10.2196/23338","ISSN":"22915222","PMID":"33560244","abstract":"Background: Exercise has been recommended as a cornerstone for diabetes management. Supervised exercise is more efficient than unsupervised exercise but is less convenient and accessible. Objective: We aimed to determine the efficiency of exercise using a fitness app and heart rate band to remotely monitor patients with type 2 diabetes in comparison with that of traditional exercise. Methods: Patients with type 2 diabetes without severe complications or comorbidities were recruited to participate in this multicenter randomized controlled trial and were allocated to either the intervention or control group (1:1 ratio). Participants in both groups were asked to engage in moderate to vigorous physical activity for at least 150 minutes per week; each participant was prescribed individualized exercises. Participants in the intervention group were asked to follow exercise videos on the app and to wear a chest band; heart rate, exercise duration, and exercise intensity were recorded by the app. Participants in the control group self-reported exercise intensity and duration. Cardiopulmonary endurance, body composition, blood glucose level, and insulin level were assessed before and after a 3-month exercise program. Results: Of the 101 participants who were enrolled, the majority of them (85/101, 84.2%) completed the study. Both groups had similar baseline characteristics, with the exception that participants in the intervention group were slightly younger and less likely to have hypertension. Self-reported exercise duration was longer than app-recorded exercise duration (control: mean 214 minutes/week; intervention: mean 193 minutes/week); in addition, a higher proportion of participants in the control group (29/41, 71%) than in the intervention group (18/44, 41%) met the 150-minute target for moderate to vigorous physical activity. However, compared with the control group, the intervention group had a larger increase in cardiopulmonary endurance (mean difference -2.0 bpm [beats per minute] vs 1.0 bpm; P=.02) and a larger decrease in body fat percentage (mean difference -1.8% vs -0.8%; P=.01). There was no difference in hemoglobin A1c level reduction between the two groups, yet more participants in the intervention group stopped taking their antidiabetic drugs or had their dosages lowered by an endocrinologist, compared with those in the control group. There were no serious adverse events in either group. Conclusions: This was the first randomized controlled tr…","author":[{"dropping-particle":"","family":"Li","given":"Jing","non-dropping-particle":"","parse-names":false,"suffix":""},{"dropping-particle":"","family":"Wei","given":"Dong","non-dropping-particle":"","parse-names":false,"suffix":""},{"dropping-particle":"","family":"Liu","given":"Shuyi","non-dropping-particle":"","parse-names":false,"suffix":""},{"dropping-particle":"","family":"Li","given":"Mingxia","non-dropping-particle":"","parse-names":false,"suffix":""},{"dropping-particle":"","family":"Chen","given":"Xi","non-dropping-particle":"","parse-names":false,"suffix":""},{"dropping-particle":"","family":"Chen","given":"Li","non-dropping-particle":"","parse-names":false,"suffix":""},{"dropping-particle":"","family":"Wu","given":"Yuelei","non-dropping-particle":"","parse-names":false,"suffix":""},{"dropping-particle":"","family":"Zhou","given":"Wen","non-dropping-particle":"","parse-names":false,"suffix":""},{"dropping-particle":"","family":"Ouyang","given":"Lingyun","non-dropping-particle":"","parse-names":false,"suffix":""},{"dropping-particle":"","family":"Tan","given":"Cuixia","non-dropping-particle":"","parse-names":false,"suffix":""},{"dropping-particle":"","family":"Meng","given":"Hongdao","non-dropping-particle":"","parse-names":false,"suffix":""},{"dropping-particle":"","family":"Tong","given":"Nanwei","non-dropping-particle":"","parse-names":false,"suffix":""}],"container-title":"JMIR mHealth and uHealth","id":"ITEM-1","issue":"2","issued":{"date-parts":[["2021"]]},"title":"Efficiency of an mHealth app and chest-wearable remote exercise monitoring intervention in patients with type 2 diabetes: A prospective, multicenter randomized controlled trial","type":"article-journal","volume":"9"},"uris":["http://www.mendeley.com/documents/?uuid=70cba639-253a-4810-899f-23e16d564a6a"]}],"mendeley":{"formattedCitation":"(62)","plainTextFormattedCitation":"(62)","previouslyFormattedCitation":"(69)"},"properties":{"noteIndex":0},"schema":"https://github.com/citation-style-language/schema/raw/master/csl-citation.json"}</w:instrText>
            </w:r>
            <w:r w:rsidRPr="00D82DB9">
              <w:rPr>
                <w:rFonts w:asciiTheme="majorHAnsi" w:eastAsia="Times New Roman" w:hAnsiTheme="majorHAnsi" w:cs="Times New Roman"/>
                <w:i/>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(62)</w:t>
            </w:r>
            <w:r w:rsidRPr="00D82DB9">
              <w:rPr>
                <w:rFonts w:asciiTheme="majorHAnsi" w:eastAsia="Times New Roman" w:hAnsiTheme="majorHAnsi" w:cs="Times New Roman"/>
                <w:i/>
                <w:color w:val="000000" w:themeColor="text1"/>
                <w:sz w:val="20"/>
                <w:szCs w:val="20"/>
                <w:lang w:val="en-GB"/>
              </w:rPr>
              <w:fldChar w:fldCharType="end"/>
            </w:r>
          </w:p>
        </w:tc>
        <w:tc>
          <w:tcPr>
            <w:tcW w:w="715" w:type="dxa"/>
          </w:tcPr>
          <w:p w14:paraId="75516F13" w14:textId="1DEA9DF7" w:rsidR="0095243C" w:rsidRPr="00D82DB9" w:rsidRDefault="00324AF9"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CBAD51C" wp14:editId="368E7ED8">
                  <wp:extent cx="189297" cy="18288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720" w:type="dxa"/>
          </w:tcPr>
          <w:p w14:paraId="4CBF4083" w14:textId="440FAF66" w:rsidR="0095243C" w:rsidRPr="00D82DB9" w:rsidRDefault="00324AF9"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8C8C76E" wp14:editId="3997859A">
                  <wp:extent cx="161778" cy="161778"/>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00AAFFFA" w14:textId="0C55CF5B" w:rsidR="0095243C" w:rsidRPr="00D82DB9" w:rsidRDefault="00324AF9"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3007F32" wp14:editId="551C704A">
                  <wp:extent cx="189297" cy="18288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540" w:type="dxa"/>
          </w:tcPr>
          <w:p w14:paraId="3B2AD22B" w14:textId="73204321" w:rsidR="0095243C" w:rsidRPr="00D82DB9" w:rsidRDefault="00324AF9"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37BC3662" wp14:editId="4A7F2EEF">
                  <wp:extent cx="161778" cy="161778"/>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3812B49C" w14:textId="572F94CD" w:rsidR="0095243C" w:rsidRPr="00D82DB9" w:rsidRDefault="00324AF9"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76C61ED" wp14:editId="73F598B0">
                  <wp:extent cx="161778" cy="161778"/>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40A78689" w14:textId="5AF9FBA2" w:rsidR="0095243C" w:rsidRPr="00D82DB9" w:rsidRDefault="00324AF9"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3375AB5" wp14:editId="3D9F97F6">
                  <wp:extent cx="189297" cy="18288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450" w:type="dxa"/>
          </w:tcPr>
          <w:p w14:paraId="75E102A5" w14:textId="300AACB8" w:rsidR="0095243C" w:rsidRPr="00D82DB9" w:rsidRDefault="00324AF9"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490DD72" wp14:editId="648C26A5">
                  <wp:extent cx="189297" cy="18288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r>
      <w:tr w:rsidR="00D82DB9" w:rsidRPr="00D82DB9" w14:paraId="04EFB0D9" w14:textId="10A642BC" w:rsidTr="0084409D">
        <w:trPr>
          <w:trHeight w:val="50"/>
        </w:trPr>
        <w:tc>
          <w:tcPr>
            <w:tcW w:w="2700" w:type="dxa"/>
          </w:tcPr>
          <w:p w14:paraId="3BB96502" w14:textId="3ECC1D8E" w:rsidR="00F00D77" w:rsidRPr="00D82DB9" w:rsidRDefault="00F00D77" w:rsidP="00F00D77">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Liao </w:t>
            </w:r>
            <w:r w:rsidRPr="00D82DB9">
              <w:rPr>
                <w:rFonts w:asciiTheme="majorHAnsi" w:eastAsia="Times New Roman" w:hAnsiTheme="majorHAnsi" w:cs="Times New Roman"/>
                <w:i/>
                <w:color w:val="000000" w:themeColor="text1"/>
                <w:sz w:val="20"/>
                <w:szCs w:val="20"/>
                <w:lang w:val="en-GB"/>
              </w:rPr>
              <w:t>et al</w:t>
            </w:r>
            <w:r w:rsidRPr="00D82DB9">
              <w:rPr>
                <w:rFonts w:asciiTheme="majorHAnsi" w:eastAsia="Times New Roman" w:hAnsiTheme="majorHAnsi" w:cs="Times New Roman"/>
                <w:color w:val="000000" w:themeColor="text1"/>
                <w:sz w:val="20"/>
                <w:szCs w:val="20"/>
                <w:lang w:val="en-GB"/>
              </w:rPr>
              <w:t xml:space="preserve"> . </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10.2196/14969","author":[{"dropping-particle":"","family":"Liao","given":"Jing","non-dropping-particle":"","parse-names":false,"suffix":""},{"dropping-particle":"","family":"Xiao","given":"Hai-yan","non-dropping-particle":"","parse-names":false,"suffix":""},{"dropping-particle":"","family":"Li","given":"Xue-qi","non-dropping-particle":"","parse-names":false,"suffix":""},{"dropping-particle":"","family":"Sun","given":"Shu-hua","non-dropping-particle":"","parse-names":false,"suffix":""},{"dropping-particle":"","family":"Liu","given":"Shi-xing","non-dropping-particle":"","parse-names":false,"suffix":""},{"dropping-particle":"","family":"Yang","given":"Yung-jen","non-dropping-particle":"","parse-names":false,"suffix":""}],"container-title":"JMIR mHealth and uHealth","id":"ITEM-1","issue":"4","issued":{"date-parts":[["2020"]]},"page":"1-13","title":"A Social Group-Based Information-Motivation-Behavior Skill Intervention to Promote Acceptability and Adoption of Wearable Activity Trackers Among Middle-Aged and Older Adults : Cluster Randomized Controlled Trial Corresponding Author :","type":"article-journal","volume":"8"},"uris":["http://www.mendeley.com/documents/?uuid=581e0583-65a6-4c1e-b20c-0903147ce1d3"]}],"mendeley":{"formattedCitation":"(60)","plainTextFormattedCitation":"(60)","previouslyFormattedCitation":"(67)"},"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(60)</w:t>
            </w:r>
            <w:r w:rsidRPr="00D82DB9">
              <w:rPr>
                <w:rFonts w:asciiTheme="majorHAnsi" w:eastAsia="Times New Roman" w:hAnsiTheme="majorHAnsi" w:cs="Times New Roman"/>
                <w:color w:val="000000" w:themeColor="text1"/>
                <w:sz w:val="20"/>
                <w:szCs w:val="20"/>
                <w:lang w:val="en-GB"/>
              </w:rPr>
              <w:fldChar w:fldCharType="end"/>
            </w:r>
            <w:r w:rsidRPr="00D82DB9">
              <w:rPr>
                <w:rFonts w:asciiTheme="majorHAnsi" w:eastAsia="Times New Roman" w:hAnsiTheme="majorHAnsi" w:cs="Times New Roman"/>
                <w:color w:val="000000" w:themeColor="text1"/>
                <w:sz w:val="20"/>
                <w:szCs w:val="20"/>
                <w:lang w:val="en-GB"/>
              </w:rPr>
              <w:t xml:space="preserve"> </w:t>
            </w:r>
          </w:p>
        </w:tc>
        <w:tc>
          <w:tcPr>
            <w:tcW w:w="715" w:type="dxa"/>
          </w:tcPr>
          <w:p w14:paraId="568FDDB1" w14:textId="5ABE5D0B" w:rsidR="00F00D77" w:rsidRPr="00D82DB9" w:rsidRDefault="00F00D77" w:rsidP="00F00D77">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4045100" wp14:editId="44A45D51">
                  <wp:extent cx="161778" cy="161778"/>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20" w:type="dxa"/>
          </w:tcPr>
          <w:p w14:paraId="7BA0E79F" w14:textId="709CD0FA" w:rsidR="00F00D77" w:rsidRPr="00D82DB9" w:rsidRDefault="00F00D77" w:rsidP="00F00D77">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B09FDE2" wp14:editId="595D92B4">
                  <wp:extent cx="161778" cy="161778"/>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0B95C7E8" w14:textId="75D1E7CB" w:rsidR="00F00D77" w:rsidRPr="00D82DB9" w:rsidRDefault="00F00D77" w:rsidP="00F00D77">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0B63FE0" wp14:editId="3ABD21DB">
                  <wp:extent cx="161778" cy="161778"/>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540" w:type="dxa"/>
          </w:tcPr>
          <w:p w14:paraId="0C22C78E" w14:textId="04C8B238" w:rsidR="00F00D77" w:rsidRPr="00D82DB9" w:rsidRDefault="00F00D77" w:rsidP="00F00D77">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269B1C9" wp14:editId="4BD642A3">
                  <wp:extent cx="161778" cy="161778"/>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6AC91670" w14:textId="71F9F336" w:rsidR="00F00D77" w:rsidRPr="00D82DB9" w:rsidRDefault="00F00D77" w:rsidP="00F00D77">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CF46591" wp14:editId="66E92465">
                  <wp:extent cx="189297" cy="18288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450" w:type="dxa"/>
          </w:tcPr>
          <w:p w14:paraId="3F6EB01D" w14:textId="192623CA" w:rsidR="00F00D77" w:rsidRPr="00D82DB9" w:rsidRDefault="00F00D77" w:rsidP="00F00D77">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6737C1D7" wp14:editId="61143D8E">
                  <wp:extent cx="189297" cy="18288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450" w:type="dxa"/>
          </w:tcPr>
          <w:p w14:paraId="146711E5" w14:textId="608A525E" w:rsidR="00F00D77" w:rsidRPr="00D82DB9" w:rsidRDefault="00F00D77" w:rsidP="00F00D77">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3586BB90" wp14:editId="0CD64DDF">
                  <wp:extent cx="189297" cy="18288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r>
      <w:tr w:rsidR="00D82DB9" w:rsidRPr="00D82DB9" w14:paraId="339784B3" w14:textId="2FC601C7" w:rsidTr="0084409D">
        <w:trPr>
          <w:trHeight w:val="50"/>
        </w:trPr>
        <w:tc>
          <w:tcPr>
            <w:tcW w:w="2700" w:type="dxa"/>
            <w:hideMark/>
          </w:tcPr>
          <w:p w14:paraId="7A602E13" w14:textId="29BBCD48" w:rsidR="004C6D88" w:rsidRPr="00D82DB9" w:rsidRDefault="004C6D88" w:rsidP="004C6D88">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Limaye </w:t>
            </w:r>
            <w:r w:rsidRPr="00D82DB9">
              <w:rPr>
                <w:rFonts w:asciiTheme="majorHAnsi" w:eastAsia="Times New Roman" w:hAnsiTheme="majorHAnsi" w:cs="Times New Roman"/>
                <w:i/>
                <w:color w:val="000000" w:themeColor="text1"/>
                <w:sz w:val="20"/>
                <w:szCs w:val="20"/>
                <w:lang w:val="en-GB"/>
              </w:rPr>
              <w:t>et al.</w:t>
            </w:r>
            <w:r w:rsidRPr="00D82DB9">
              <w:rPr>
                <w:rFonts w:asciiTheme="majorHAnsi" w:eastAsia="Times New Roman" w:hAnsiTheme="majorHAnsi" w:cs="Times New Roman"/>
                <w:color w:val="000000" w:themeColor="text1"/>
                <w:sz w:val="20"/>
                <w:szCs w:val="20"/>
                <w:lang w:val="en-GB"/>
              </w:rPr>
              <w:t xml:space="preserve"> </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{"citationItems":[{"id":"ITEM-1","itemData":{"DOI":"10.1111/dme.13258","ISSN":"14645491","PMID":"27589695","abstract":"Aims: To investigate a virtual assistance-based lifestyle intervention to reduce risk factors for Type 2 diabetes in young employees in the information technology industry in India. Methods: LIMIT (Lifestyle Modification in Information Technology) was a parallel-group, partially blinded, randomized controlled trial. Employees in the information technology industry with ≥3 risk factors (family history of cardiometabolic disease, overweight/obesity, high blood pressure, impaired fasting glucose, hypertriglyceridaemia, high LDL cholesterol and low HDL cholesterol) from two industries were randomized to a control or an intervention (1:1) group. After initial lifestyle advice, the intervention group additionally received reinforcement through mobile phone messages (three per week) and e-mails (two per week) for 1 year. The primary outcome was change in prevalence of overweight/obesity, analysed by intention to treat. Results: Of 437 employees screened (mean age 36.2 ± 9.3 years; 74.8% men), 265 (61.0%) were eligible and randomized into control (n=132) or intervention (n=133) group. After 1 year, the prevalence of overweight/obesity reduced by 6.0% in the intervention group and increased by 6.8% in the control group (risk difference 11.2%; 95% CI 1.2–21.1; P=0.042). There were also significant improvements in lifestyle measurements, waist circumference, and total and LDL cholesterol in the intervention group. The number-needed-to-treat to prevent one case of overweight/obesity in 1 year was 9 (95% CI 5–82), with an incremental cost of INR10665 (£112.30) per case treated/prevented. A total of 98% of participants found the intervention acceptable. Conclusions: A virtual assistance-based lifestyle intervention was effective, cost-effective and acceptable in reducing risk factors for diabetes in young employees in the information technology industry, and is potentially scalable.","author":[{"dropping-particle":"","family":"Limaye","given":"T.","non-dropping-particle":"","parse-names":false,"suffix":""},{"dropping-particle":"","family":"Kumaran","given":"K.","non-dropping-particle":"","parse-names":false,"suffix":""},{"dropping-particle":"","family":"Joglekar","given":"C.","non-dropping-particle":"","parse-names":false,"suffix":""},{"dropping-particle":"","family":"Bhat","given":"D.","non-dropping-particle":"","parse-names":false,"suffix":""},{"dropping-particle":"","family":"Kulkarni","given":"R.","non-dropping-particle":"","parse-names":false,"suffix":""},{"dropping-particle":"","family":"Nanivadekar","given":"A.","non-dropping-particle":"","parse-names":false,"suffix":""},{"dropping-particle":"","family":"Yajnik","given":"C.","non-dropping-particle":"","parse-names":false,"suffix":""}],"container-title":"Diabetic Medicine","id":"ITEM-1","issue":"4","issued":{"date-parts":[["2017"]]},"page":"563-568","title":"Efficacy of a virtual assistance-based lifestyle intervention in reducing risk factors for Type 2 diabetes in young employees in the information technology industry in India: LIMIT, a randomized controlled trial","type":"article-journal","volume":"34"},"uris":["http://www.mendeley.com/documents/?uuid=3cfba73b-d840-475b-b1d9-3524e0a08b10"]}],"mendeley":{"formattedCitation":"(70)","plainTextFormattedCitation":"(70)","previouslyFormattedCitation":"(61)"},"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(70)</w:t>
            </w:r>
            <w:r w:rsidRPr="00D82DB9">
              <w:rPr>
                <w:rFonts w:asciiTheme="majorHAnsi" w:eastAsia="Times New Roman" w:hAnsiTheme="majorHAnsi" w:cs="Times New Roman"/>
                <w:color w:val="000000" w:themeColor="text1"/>
                <w:sz w:val="20"/>
                <w:szCs w:val="20"/>
                <w:lang w:val="en-GB"/>
              </w:rPr>
              <w:fldChar w:fldCharType="end"/>
            </w:r>
            <w:r w:rsidRPr="00D82DB9">
              <w:rPr>
                <w:rFonts w:asciiTheme="majorHAnsi" w:eastAsia="Times New Roman" w:hAnsiTheme="majorHAnsi" w:cs="Times New Roman"/>
                <w:color w:val="000000" w:themeColor="text1"/>
                <w:sz w:val="20"/>
                <w:szCs w:val="20"/>
                <w:lang w:val="en-GB"/>
              </w:rPr>
              <w:t xml:space="preserve"> </w:t>
            </w:r>
          </w:p>
          <w:p w14:paraId="56D491E9" w14:textId="77777777" w:rsidR="004C6D88" w:rsidRPr="00D82DB9" w:rsidRDefault="004C6D88" w:rsidP="004C6D88">
            <w:pPr>
              <w:spacing w:after="0"/>
              <w:rPr>
                <w:rFonts w:asciiTheme="majorHAnsi" w:eastAsia="Times New Roman" w:hAnsiTheme="majorHAnsi" w:cs="Times New Roman"/>
                <w:bCs/>
                <w:color w:val="000000" w:themeColor="text1"/>
                <w:sz w:val="20"/>
                <w:szCs w:val="20"/>
                <w:lang w:val="en-GB"/>
              </w:rPr>
            </w:pPr>
          </w:p>
        </w:tc>
        <w:tc>
          <w:tcPr>
            <w:tcW w:w="715" w:type="dxa"/>
          </w:tcPr>
          <w:p w14:paraId="643B9387" w14:textId="4B91F255" w:rsidR="004C6D88" w:rsidRPr="00D82DB9" w:rsidRDefault="004C6D88" w:rsidP="004C6D88">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390A7D7F" wp14:editId="627D4A13">
                  <wp:extent cx="161778" cy="161778"/>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20" w:type="dxa"/>
          </w:tcPr>
          <w:p w14:paraId="24743384" w14:textId="7B8FAC0A" w:rsidR="004C6D88" w:rsidRPr="00D82DB9" w:rsidRDefault="004C6D88" w:rsidP="004C6D88">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1C80679" wp14:editId="01AD4021">
                  <wp:extent cx="161778" cy="161778"/>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31412A33" w14:textId="045CE91B" w:rsidR="004C6D88" w:rsidRPr="00D82DB9" w:rsidRDefault="00826CA0" w:rsidP="004C6D88">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7B675346" wp14:editId="45F2938C">
                  <wp:extent cx="189297" cy="18288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540" w:type="dxa"/>
          </w:tcPr>
          <w:p w14:paraId="2BFCA65E" w14:textId="2E69BD57" w:rsidR="004C6D88" w:rsidRPr="00D82DB9" w:rsidRDefault="004C6D88" w:rsidP="004C6D88">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9917179" wp14:editId="4BBAF1A5">
                  <wp:extent cx="161778" cy="161778"/>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4E96FADE" w14:textId="5DD513BE" w:rsidR="004C6D88" w:rsidRPr="00D82DB9" w:rsidRDefault="004C6D88" w:rsidP="004C6D88">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26340D4" wp14:editId="44BAF8EE">
                  <wp:extent cx="161778" cy="161778"/>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1122E9E6" w14:textId="46BCF7D2" w:rsidR="004C6D88" w:rsidRPr="00D82DB9" w:rsidRDefault="004C6D88" w:rsidP="004C6D88">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A7C149F" wp14:editId="652FEFBA">
                  <wp:extent cx="189297" cy="18288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450" w:type="dxa"/>
          </w:tcPr>
          <w:p w14:paraId="0373C877" w14:textId="7B0C95D9" w:rsidR="004C6D88" w:rsidRPr="00D82DB9" w:rsidRDefault="004C6D88" w:rsidP="004C6D88">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CDD9986" wp14:editId="4C576E8A">
                  <wp:extent cx="189297" cy="18288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r>
      <w:tr w:rsidR="00D82DB9" w:rsidRPr="00D82DB9" w14:paraId="7CB7E184" w14:textId="768161B4" w:rsidTr="0084409D">
        <w:trPr>
          <w:trHeight w:val="134"/>
        </w:trPr>
        <w:tc>
          <w:tcPr>
            <w:tcW w:w="2700" w:type="dxa"/>
            <w:hideMark/>
          </w:tcPr>
          <w:p w14:paraId="56CAA8E2" w14:textId="4EDD0171" w:rsidR="00826CA0" w:rsidRPr="00D82DB9" w:rsidRDefault="00826CA0" w:rsidP="00826CA0">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Olmen </w:t>
            </w:r>
            <w:r w:rsidRPr="00D82DB9">
              <w:rPr>
                <w:rFonts w:asciiTheme="majorHAnsi" w:eastAsia="Times New Roman" w:hAnsiTheme="majorHAnsi" w:cs="Times New Roman"/>
                <w:i/>
                <w:color w:val="000000" w:themeColor="text1"/>
                <w:sz w:val="20"/>
                <w:szCs w:val="20"/>
                <w:lang w:val="en-GB"/>
              </w:rPr>
              <w:t>et al.</w:t>
            </w:r>
            <w:r w:rsidRPr="00D82DB9">
              <w:rPr>
                <w:rFonts w:asciiTheme="majorHAnsi" w:eastAsia="Times New Roman" w:hAnsiTheme="majorHAnsi" w:cs="Times New Roman"/>
                <w:color w:val="000000" w:themeColor="text1"/>
                <w:sz w:val="20"/>
                <w:szCs w:val="20"/>
                <w:lang w:val="en-GB"/>
              </w:rPr>
              <w:t xml:space="preserve"> </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{"citationItems":[{"id":"ITEM-1","itemData":{"DOI":"10.1016/j.jcte.2016.12.005","ISSN":"22146237","abstract":"Objective mHealth interventions have the potential to facilitate self-management. This TEXT4DSM study implemented a mobile phone intervention in existing diabetes programmes in three low- and middle-income countries (Democratic Republic of Congo, Cambodia, and the Philippines). Research design and methods Sub-studies with a similar randomised controlled trial design were conducted in three different countries. Each sub-study included 480 adults with diabetes. Subjects were randomised to receive either routine care or routine care plus text message self-management support. The primary outcome was the difference in the proportion of subjects with well-controlled diabetes after 2 years. Results Baseline and 2-year HbA1c measurements were available for 781 individuals. After 2 years, the proportion of subjects with controlled HbA1c was 2.8% higher in the intervention group than in the control group (difference not statistically significant). In the logistic regression model, the odds ratio for having controlled diabetes after the intervention was 1.1, after adjusting for baseline HbA1c level, sex, receiving insulin treatment, and participating in the routine programme. The HbA1c dynamics over time differed between programmes; the number of people with controlled diabetes tended to increase in DR Congo and decrease in Cambodia. Conclusion This study was the first to test the same mHealth intervention in different countries. The finding that text messages did not show an additional effect on diabetes control implied that expectations about mHealth should be cautious. The degree of coverage, the quality of the routine programme, and the progression of disease can interfere with the expected impact. Trial registration: ISRCTN registry (86247213).","author":[{"dropping-particle":"","family":"Olmen","given":"Josefien","non-dropping-particle":"Van","parse-names":false,"suffix":""},{"dropping-particle":"","family":"Kegels","given":"Guy","non-dropping-particle":"","parse-names":false,"suffix":""},{"dropping-particle":"","family":"Korachais","given":"Catherine","non-dropping-particle":"","parse-names":false,"suffix":""},{"dropping-particle":"","family":"Man","given":"Jeroen","non-dropping-particle":"de","parse-names":false,"suffix":""},{"dropping-particle":"","family":"Acker","given":"Kristien","non-dropping-particle":"Van","parse-names":false,"suffix":""},{"dropping-particle":"","family":"Kalobu","given":"Jean Clovis","non-dropping-particle":"","parse-names":false,"suffix":""},{"dropping-particle":"","family":"Pelt","given":"Maurits","non-dropping-particle":"van","parse-names":false,"suffix":""},{"dropping-particle":"","family":"Ku","given":"Grace Marie","non-dropping-particle":"","parse-names":false,"suffix":""},{"dropping-particle":"","family":"Hen","given":"Heang","non-dropping-particle":"","parse-names":false,"suffix":""},{"dropping-particle":"","family":"Kanda","given":"Dominique","non-dropping-particle":"","parse-names":false,"suffix":""},{"dropping-particle":"","family":"Malombo","given":"Billy","non-dropping-particle":"","parse-names":false,"suffix":""},{"dropping-particle":"","family":"Darras","given":"Christian","non-dropping-particle":"","parse-names":false,"suffix":""},{"dropping-particle":"","family":"Schellevis","given":"François","non-dropping-particle":"","parse-names":false,"suffix":""}],"container-title":"Journal of Clinical and Translational Endocrinology","id":"ITEM-1","issued":{"date-parts":[["2017"]]},"page":"33-41","publisher":"The Author(s)","title":"The effect of text message support on diabetes self-management in developing countries – A randomised trial","type":"article-journal","volume":"7"},"uris":["http://www.mendeley.com/documents/?uuid=7f66b1de-ff75-480d-8a05-49c19721f850"]}],"mendeley":{"formattedCitation":"(87)","plainTextFormattedCitation":"(87)","previouslyFormattedCitation":"(86)"},"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(87)</w:t>
            </w:r>
            <w:r w:rsidRPr="00D82DB9">
              <w:rPr>
                <w:rFonts w:asciiTheme="majorHAnsi" w:eastAsia="Times New Roman" w:hAnsiTheme="majorHAnsi" w:cs="Times New Roman"/>
                <w:color w:val="000000" w:themeColor="text1"/>
                <w:sz w:val="20"/>
                <w:szCs w:val="20"/>
                <w:lang w:val="en-GB"/>
              </w:rPr>
              <w:fldChar w:fldCharType="end"/>
            </w:r>
          </w:p>
          <w:p w14:paraId="37BDC87C" w14:textId="77777777" w:rsidR="00826CA0" w:rsidRPr="00D82DB9" w:rsidRDefault="00826CA0" w:rsidP="00826CA0">
            <w:pPr>
              <w:spacing w:after="0"/>
              <w:rPr>
                <w:rFonts w:asciiTheme="majorHAnsi" w:eastAsia="Times New Roman" w:hAnsiTheme="majorHAnsi" w:cs="Times New Roman"/>
                <w:bCs/>
                <w:color w:val="000000" w:themeColor="text1"/>
                <w:sz w:val="20"/>
                <w:szCs w:val="20"/>
                <w:lang w:val="en-GB"/>
              </w:rPr>
            </w:pPr>
          </w:p>
        </w:tc>
        <w:tc>
          <w:tcPr>
            <w:tcW w:w="715" w:type="dxa"/>
          </w:tcPr>
          <w:p w14:paraId="3DCE185D" w14:textId="0D41B289" w:rsidR="00826CA0" w:rsidRPr="00D82DB9" w:rsidRDefault="00826CA0" w:rsidP="00826CA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C6AE03A" wp14:editId="1B28DC3A">
                  <wp:extent cx="161778" cy="161778"/>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20" w:type="dxa"/>
          </w:tcPr>
          <w:p w14:paraId="40900ACB" w14:textId="4150F03F" w:rsidR="00826CA0" w:rsidRPr="00D82DB9" w:rsidRDefault="00826CA0" w:rsidP="00826CA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91D7268" wp14:editId="59BAF199">
                  <wp:extent cx="161778" cy="161778"/>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5BFD749E" w14:textId="5E1C00C1" w:rsidR="00826CA0" w:rsidRPr="00D82DB9" w:rsidRDefault="00826CA0" w:rsidP="00826CA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7355D9E1" wp14:editId="3F9490EA">
                  <wp:extent cx="189297" cy="18288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540" w:type="dxa"/>
          </w:tcPr>
          <w:p w14:paraId="256FB714" w14:textId="635522BB" w:rsidR="00826CA0" w:rsidRPr="00D82DB9" w:rsidRDefault="00826CA0" w:rsidP="00826CA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4223906" wp14:editId="3FF273E5">
                  <wp:extent cx="161778" cy="161778"/>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6B72E746" w14:textId="7D31EA70" w:rsidR="00826CA0" w:rsidRPr="00D82DB9" w:rsidRDefault="00826CA0" w:rsidP="00826CA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7EFBB9A7" wp14:editId="1A0E3C53">
                  <wp:extent cx="161778" cy="161778"/>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321F64F6" w14:textId="2FD55D6B" w:rsidR="00826CA0" w:rsidRPr="00D82DB9" w:rsidRDefault="00826CA0" w:rsidP="00826CA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76DABB6" wp14:editId="356136CA">
                  <wp:extent cx="161778" cy="161778"/>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79710702" w14:textId="3DAFEF92" w:rsidR="00826CA0" w:rsidRPr="00D82DB9" w:rsidRDefault="00826CA0" w:rsidP="00826CA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1867F1F" wp14:editId="3FC77BE3">
                  <wp:extent cx="189297" cy="18288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r>
      <w:tr w:rsidR="00D82DB9" w:rsidRPr="00D82DB9" w14:paraId="597B27F1" w14:textId="40C4F8C0" w:rsidTr="0084409D">
        <w:trPr>
          <w:trHeight w:val="50"/>
        </w:trPr>
        <w:tc>
          <w:tcPr>
            <w:tcW w:w="2700" w:type="dxa"/>
          </w:tcPr>
          <w:p w14:paraId="35536E74" w14:textId="37B3ADD1" w:rsidR="0095243C" w:rsidRPr="00D82DB9" w:rsidRDefault="0095243C" w:rsidP="0095243C">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Owolabi et al.</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{"citationItems":[{"id":"ITEM-1","itemData":{"ISBN":"0000000000","author":[{"dropping-particle":"","family":"Owolabi","given":"Eyitayo Omolara","non-dropping-particle":"","parse-names":false,"suffix":""},{"dropping-particle":"Ter","family":"Goon","given":"Daniel","non-dropping-particle":"","parse-names":false,"suffix":""},{"dropping-particle":"","family":"Ajayi","given":"Anthony Idowu","non-dropping-particle":"","parse-names":false,"suffix":""}],"container-title":"Medicine (United States)","id":"ITEM-1","issue":"July 2019","issued":{"date-parts":[["2020"]]},"title":"Impact of mobile phone text messaging intervention on adherence among patients with diabetes in a rural setting","type":"article-journal","volume":"12"},"uris":["http://www.mendeley.com/documents/?uuid=df79192b-6648-477c-a01e-eadc57722042"]}],"mendeley":{"formattedCitation":"(83)","plainTextFormattedCitation":"(83)","previouslyFormattedCitation":"(82)"},"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(83)</w:t>
            </w:r>
            <w:r w:rsidRPr="00D82DB9">
              <w:rPr>
                <w:rFonts w:asciiTheme="majorHAnsi" w:eastAsia="Times New Roman" w:hAnsiTheme="majorHAnsi" w:cs="Times New Roman"/>
                <w:color w:val="000000" w:themeColor="text1"/>
                <w:sz w:val="20"/>
                <w:szCs w:val="20"/>
                <w:lang w:val="en-GB"/>
              </w:rPr>
              <w:fldChar w:fldCharType="end"/>
            </w:r>
          </w:p>
        </w:tc>
        <w:tc>
          <w:tcPr>
            <w:tcW w:w="715" w:type="dxa"/>
          </w:tcPr>
          <w:p w14:paraId="04BA433D" w14:textId="7E2F54A9" w:rsidR="0095243C" w:rsidRPr="00D82DB9" w:rsidRDefault="003C44FA"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78CFE515" wp14:editId="5A94430D">
                  <wp:extent cx="189297" cy="18288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720" w:type="dxa"/>
          </w:tcPr>
          <w:p w14:paraId="64C414F7" w14:textId="191DFBC7" w:rsidR="0095243C" w:rsidRPr="00D82DB9" w:rsidRDefault="003C44FA"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E50CB79" wp14:editId="6C9AB40D">
                  <wp:extent cx="161778" cy="161778"/>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2EE6637F" w14:textId="6C47F883" w:rsidR="0095243C" w:rsidRPr="00D82DB9" w:rsidRDefault="003C44FA"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0159C6C" wp14:editId="781EA52F">
                  <wp:extent cx="189297" cy="18288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540" w:type="dxa"/>
          </w:tcPr>
          <w:p w14:paraId="5783BBD4" w14:textId="6D3269B1" w:rsidR="0095243C" w:rsidRPr="00D82DB9" w:rsidRDefault="003C44FA"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20D945A" wp14:editId="1E012494">
                  <wp:extent cx="161778" cy="161778"/>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06271007" w14:textId="27A09360" w:rsidR="0095243C" w:rsidRPr="00D82DB9" w:rsidRDefault="003C44FA"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6429C5F" wp14:editId="5475C1D3">
                  <wp:extent cx="161778" cy="161778"/>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239E8D79" w14:textId="28252A54" w:rsidR="0095243C" w:rsidRPr="00D82DB9" w:rsidRDefault="003C44FA"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34D5B20E" wp14:editId="051C9F40">
                  <wp:extent cx="161778" cy="161778"/>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14A625E3" w14:textId="5C15C14F" w:rsidR="0095243C" w:rsidRPr="00D82DB9" w:rsidRDefault="003C44FA" w:rsidP="0095243C">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9A5E105" wp14:editId="7BB6572D">
                  <wp:extent cx="189297" cy="18288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r>
      <w:tr w:rsidR="00D82DB9" w:rsidRPr="00D82DB9" w14:paraId="27A01631" w14:textId="37C8D9AE" w:rsidTr="0084409D">
        <w:trPr>
          <w:trHeight w:val="56"/>
        </w:trPr>
        <w:tc>
          <w:tcPr>
            <w:tcW w:w="2700" w:type="dxa"/>
            <w:hideMark/>
          </w:tcPr>
          <w:p w14:paraId="64B8339F" w14:textId="7C7DDABA" w:rsidR="003C44FA" w:rsidRPr="00D82DB9" w:rsidRDefault="003C44FA" w:rsidP="003C44FA">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Owolabi et al. </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{"citationItems":[{"id":"ITEM-1","itemData":{"DOI":"10.1371/journal.pone.0224791","ISBN":"1111111111","ISSN":"19326203","abstract":"South Africa is confronted with a high burden of diabetes, the majority of which are poorly controlled. The use of mHealth, specifically text messaging for fostering health, is evolving and studies on its efficacy, the majority of which were conducted in developed countries, have documented mixed findings. There is no such study done amongst patients living with diabetes in the resource-poor settings of South Africa. The aim of this study is to determine the efficacy, acceptability and feasibility of text-messaging in improving glycaemic control and other clinical outcomes among individuals living with diabetes in low-resource settings in Eastern Cape, South Africa. The study adopted a multi-centre, two-arm, parallel, randomised-controlled trial design. The study was conducted amongst patients with an uncontrolled glycaemic status. Participants were randomly assigned to the intervention (n = 108) and the control arm (n = 108). Participants in the intervention arm received daily educational text messages on diabetes for six months. Data was collected at baseline and six months post-intervention. Blood glucose, blood pressure and anthropometric measurements followed standard procedure. Mixed-model analysis was used to assess the impact of the text messages on blood glucose while linear regression was used to assess its effect on other clinical outcomes such as weight, body mass index, systolic and diastolic blood pressure. The mean age of the participants was 60.64 (SD± 11.58) years. The majority of the participants had a secondary level of education (95.3%) and earned 104.80 to 991.42 USD per month (67.7%). Both arms of the study showed improvement in their blood glucose levels, but the intervention did not have any significant effect, the mean adjusted change in blood glucose was 0.26 (-0.81 to 1.32), p = 0.634. Also, the intervention did not have any significant effect on weight, body mass index, systolic and diastolic blood pressure. Almost all participants (90.74%) were pleased with the intervention and felt it was helpful. Of those who participated in the intervention, 91% completed the follow-up after 6 months. Unidirectional text-messaging was acceptable and feasible amongst adults living with diabetes in this setting. However, its efficacy in improving glycaemic status and other clinical outcomes remains doubtful.","author":[{"dropping-particle":"","family":"Owolabi","given":"Eyitayo Omolara","non-dropping-particle":"","parse-names":false,"suffix":""},{"dropping-particle":"Ter","family":"Goon","given":"Daniel","non-dropping-particle":"","parse-names":false,"suffix":""},{"dropping-particle":"","family":"Ajayi","given":"Anthony Idowu","non-dropping-particle":"","parse-names":false,"suffix":""}],"container-title":"PLoS ONE","id":"ITEM-1","issue":"11","issued":{"date-parts":[["2019"]]},"page":"1-17","title":"Efficacy, acceptability and feasibility of daily text-messaging in promoting glycaemic control and other clinical outcomes in a low-resource setting of South Africa: A randomised controlled trial","type":"article-journal","volume":"14"},"uris":["http://www.mendeley.com/documents/?uuid=0b43f60c-22ef-4732-a1b9-8cbb40978c75"]}],"mendeley":{"formattedCitation":"(82)","plainTextFormattedCitation":"(82)","previouslyFormattedCitation":"(81)"},"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(82)</w:t>
            </w:r>
            <w:r w:rsidRPr="00D82DB9">
              <w:rPr>
                <w:rFonts w:asciiTheme="majorHAnsi" w:eastAsia="Times New Roman" w:hAnsiTheme="majorHAnsi" w:cs="Times New Roman"/>
                <w:color w:val="000000" w:themeColor="text1"/>
                <w:sz w:val="20"/>
                <w:szCs w:val="20"/>
                <w:lang w:val="en-GB"/>
              </w:rPr>
              <w:fldChar w:fldCharType="end"/>
            </w:r>
          </w:p>
        </w:tc>
        <w:tc>
          <w:tcPr>
            <w:tcW w:w="715" w:type="dxa"/>
          </w:tcPr>
          <w:p w14:paraId="68D33C71" w14:textId="0257A67F" w:rsidR="003C44FA" w:rsidRPr="00D82DB9" w:rsidRDefault="003C44FA" w:rsidP="003C44F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779AF78D" wp14:editId="0F17DCE1">
                  <wp:extent cx="161778" cy="161778"/>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20" w:type="dxa"/>
          </w:tcPr>
          <w:p w14:paraId="30B724D9" w14:textId="7F440642" w:rsidR="003C44FA" w:rsidRPr="00D82DB9" w:rsidRDefault="003C44FA" w:rsidP="003C44F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6FB10849" wp14:editId="7597D187">
                  <wp:extent cx="161778" cy="161778"/>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171193B3" w14:textId="5C4E0F5E" w:rsidR="003C44FA" w:rsidRPr="00D82DB9" w:rsidRDefault="003C44FA" w:rsidP="003C44F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39B07592" wp14:editId="419B3582">
                  <wp:extent cx="189297" cy="18288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540" w:type="dxa"/>
          </w:tcPr>
          <w:p w14:paraId="185BE99C" w14:textId="7A60A366" w:rsidR="003C44FA" w:rsidRPr="00D82DB9" w:rsidRDefault="003C44FA" w:rsidP="003C44F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686984D3" wp14:editId="33198DC3">
                  <wp:extent cx="161778" cy="161778"/>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1A7D4B3D" w14:textId="76603606" w:rsidR="003C44FA" w:rsidRPr="00D82DB9" w:rsidRDefault="003C44FA" w:rsidP="003C44F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64056942" wp14:editId="3EA3E42A">
                  <wp:extent cx="161778" cy="161778"/>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53BC12D0" w14:textId="3074FB45" w:rsidR="003C44FA" w:rsidRPr="00D82DB9" w:rsidRDefault="003C44FA" w:rsidP="003C44F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2D86202" wp14:editId="12349556">
                  <wp:extent cx="161778" cy="161778"/>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712AA37B" w14:textId="0651B6F9" w:rsidR="003C44FA" w:rsidRPr="00D82DB9" w:rsidRDefault="003C44FA" w:rsidP="003C44F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07E520D0" wp14:editId="7C28816F">
                  <wp:extent cx="189297" cy="18288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r>
      <w:tr w:rsidR="00D82DB9" w:rsidRPr="00D82DB9" w14:paraId="15BD37ED" w14:textId="59FEF42A" w:rsidTr="0084409D">
        <w:trPr>
          <w:trHeight w:val="50"/>
        </w:trPr>
        <w:tc>
          <w:tcPr>
            <w:tcW w:w="2700" w:type="dxa"/>
          </w:tcPr>
          <w:p w14:paraId="43801D35" w14:textId="59B1983D" w:rsidR="00CD4784" w:rsidRPr="00D82DB9" w:rsidRDefault="00CD4784" w:rsidP="00CD4784">
            <w:pPr>
              <w:spacing w:after="0"/>
              <w:rPr>
                <w:rFonts w:asciiTheme="majorHAnsi" w:eastAsia="Times New Roman" w:hAnsiTheme="majorHAnsi" w:cs="Times New Roman"/>
                <w:bCs/>
                <w:i/>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Patnaik </w:t>
            </w:r>
            <w:r w:rsidRPr="00D82DB9">
              <w:rPr>
                <w:rFonts w:asciiTheme="majorHAnsi" w:eastAsia="Times New Roman" w:hAnsiTheme="majorHAnsi" w:cs="Times New Roman"/>
                <w:i/>
                <w:color w:val="000000" w:themeColor="text1"/>
                <w:sz w:val="20"/>
                <w:szCs w:val="20"/>
                <w:lang w:val="en-GB"/>
              </w:rPr>
              <w:t>et al.</w:t>
            </w:r>
            <w:r w:rsidRPr="00D82DB9">
              <w:rPr>
                <w:rFonts w:asciiTheme="majorHAnsi" w:eastAsia="Times New Roman" w:hAnsiTheme="majorHAnsi" w:cs="Times New Roman"/>
                <w:i/>
                <w:color w:val="000000" w:themeColor="text1"/>
                <w:sz w:val="20"/>
                <w:szCs w:val="20"/>
                <w:lang w:val="en-GB"/>
              </w:rPr>
              <w:fldChar w:fldCharType="begin" w:fldLock="1"/>
            </w:r>
            <w:r w:rsidRPr="00D82DB9">
              <w:rPr>
                <w:rFonts w:asciiTheme="majorHAnsi" w:eastAsia="Times New Roman" w:hAnsiTheme="majorHAnsi" w:cs="Times New Roman"/>
                <w:bCs/>
                <w:i/>
                <w:color w:val="000000" w:themeColor="text1"/>
                <w:sz w:val="20"/>
                <w:szCs w:val="20"/>
                <w:lang w:val="en-GB"/>
              </w:rPr>
              <w:instrText>ADDIN CSL_CITATION {"citationItems":[{"id":"ITEM-1","itemData":{"DOI":"10.5603/DK.a2021.0014","author":[{"dropping-particle":"","family":"Patnaik","given":"Lipilekha","non-dropping-particle":"","parse-names":false,"suffix":""},{"dropping-particle":"","family":"Panigrahi","given":"Sandeep Kumar","non-dropping-particle":"","parse-names":false,"suffix":""},{"dropping-particle":"","family":"Sahoo","given":"Abhay Kumar","non-dropping-particle":"","parse-names":false,"suffix":""},{"dropping-particle":"","family":"Mishra","given":"Debahuti","non-dropping-particle":"","parse-names":false,"suffix":""},{"dropping-particle":"","family":"Beura","given":"Saswatika","non-dropping-particle":"","parse-names":false,"suffix":""},{"dropping-particle":"","family":"Muduli","given":"Anil Kumar","non-dropping-particle":"","parse-names":false,"suffix":""}],"id":"ITEM-1","issued":{"date-parts":[["0"]]},"title":"Mobile health application based intervention for improvement of quality of life among newly diagnosed type 2 diabetes patients","type":"article-journal"},"uris":["http://www.mendeley.com/documents/?uuid=2f9676c3-3121-4207-b64d-441e2e8021f7"]}],"mendeley":{"formattedCitation":"(69)","plainTextFormattedCitation":"(69)","previouslyFormattedCitation":"(60)"},"properties":{"noteIndex":0},"schema":"https://github.com/citation-style-language/schema/raw/master/csl-citation.json"}</w:instrText>
            </w:r>
            <w:r w:rsidRPr="00D82DB9">
              <w:rPr>
                <w:rFonts w:asciiTheme="majorHAnsi" w:eastAsia="Times New Roman" w:hAnsiTheme="majorHAnsi" w:cs="Times New Roman"/>
                <w:i/>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(69)</w:t>
            </w:r>
            <w:r w:rsidRPr="00D82DB9">
              <w:rPr>
                <w:rFonts w:asciiTheme="majorHAnsi" w:eastAsia="Times New Roman" w:hAnsiTheme="majorHAnsi" w:cs="Times New Roman"/>
                <w:i/>
                <w:color w:val="000000" w:themeColor="text1"/>
                <w:sz w:val="20"/>
                <w:szCs w:val="20"/>
                <w:lang w:val="en-GB"/>
              </w:rPr>
              <w:fldChar w:fldCharType="end"/>
            </w:r>
          </w:p>
        </w:tc>
        <w:tc>
          <w:tcPr>
            <w:tcW w:w="715" w:type="dxa"/>
          </w:tcPr>
          <w:p w14:paraId="69CA92FA" w14:textId="7E04EA6C" w:rsidR="00CD4784" w:rsidRPr="00D82DB9" w:rsidRDefault="00CD4784" w:rsidP="00CD4784">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DA22F57" wp14:editId="71FEEB0D">
                  <wp:extent cx="168812" cy="168812"/>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003" cy="171003"/>
                          </a:xfrm>
                          <a:prstGeom prst="rect">
                            <a:avLst/>
                          </a:prstGeom>
                          <a:noFill/>
                          <a:ln>
                            <a:noFill/>
                          </a:ln>
                        </pic:spPr>
                      </pic:pic>
                    </a:graphicData>
                  </a:graphic>
                </wp:inline>
              </w:drawing>
            </w:r>
          </w:p>
        </w:tc>
        <w:tc>
          <w:tcPr>
            <w:tcW w:w="720" w:type="dxa"/>
          </w:tcPr>
          <w:p w14:paraId="07C1447D" w14:textId="5B8C58BE" w:rsidR="00CD4784" w:rsidRPr="00D82DB9" w:rsidRDefault="00CD4784" w:rsidP="00CD4784">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32355727" wp14:editId="435D3CBF">
                  <wp:extent cx="161778" cy="161778"/>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264BC1D9" w14:textId="6AF05376" w:rsidR="00CD4784" w:rsidRPr="00D82DB9" w:rsidRDefault="00CD4784" w:rsidP="00CD4784">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0BEBB2C" wp14:editId="501F50A3">
                  <wp:extent cx="189297" cy="18288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540" w:type="dxa"/>
          </w:tcPr>
          <w:p w14:paraId="43585C93" w14:textId="5E118841" w:rsidR="00CD4784" w:rsidRPr="00D82DB9" w:rsidRDefault="00CD4784" w:rsidP="00CD4784">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61A5188D" wp14:editId="15ABCB7E">
                  <wp:extent cx="161778" cy="161778"/>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45D936B2" w14:textId="5995744F" w:rsidR="00CD4784" w:rsidRPr="00D82DB9" w:rsidRDefault="00CD4784" w:rsidP="00CD4784">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59BCD92" wp14:editId="552A2FD5">
                  <wp:extent cx="189297" cy="18288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450" w:type="dxa"/>
          </w:tcPr>
          <w:p w14:paraId="39141D76" w14:textId="4E79D765" w:rsidR="00CD4784" w:rsidRPr="00D82DB9" w:rsidRDefault="00CD4784" w:rsidP="00CD4784">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33490F70" wp14:editId="14E21C0C">
                  <wp:extent cx="189297" cy="18288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450" w:type="dxa"/>
          </w:tcPr>
          <w:p w14:paraId="53BB06B1" w14:textId="1941EDF5" w:rsidR="00CD4784" w:rsidRPr="00D82DB9" w:rsidRDefault="00CD4784" w:rsidP="00CD4784">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1528BBA" wp14:editId="26C70922">
                  <wp:extent cx="168812" cy="168812"/>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003" cy="171003"/>
                          </a:xfrm>
                          <a:prstGeom prst="rect">
                            <a:avLst/>
                          </a:prstGeom>
                          <a:noFill/>
                          <a:ln>
                            <a:noFill/>
                          </a:ln>
                        </pic:spPr>
                      </pic:pic>
                    </a:graphicData>
                  </a:graphic>
                </wp:inline>
              </w:drawing>
            </w:r>
          </w:p>
        </w:tc>
      </w:tr>
      <w:tr w:rsidR="00D82DB9" w:rsidRPr="00D82DB9" w14:paraId="0C9D282C" w14:textId="418D5BF0" w:rsidTr="0084409D">
        <w:trPr>
          <w:trHeight w:val="50"/>
        </w:trPr>
        <w:tc>
          <w:tcPr>
            <w:tcW w:w="2700" w:type="dxa"/>
            <w:hideMark/>
          </w:tcPr>
          <w:p w14:paraId="17173AD1" w14:textId="27EDA099" w:rsidR="001C0630" w:rsidRPr="00D82DB9" w:rsidRDefault="001C0630" w:rsidP="001C0630">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Peimani </w:t>
            </w:r>
            <w:r w:rsidRPr="00D82DB9">
              <w:rPr>
                <w:rFonts w:asciiTheme="majorHAnsi" w:eastAsia="Times New Roman" w:hAnsiTheme="majorHAnsi" w:cs="Times New Roman"/>
                <w:i/>
                <w:color w:val="000000" w:themeColor="text1"/>
                <w:sz w:val="20"/>
                <w:szCs w:val="20"/>
                <w:lang w:val="en-GB"/>
              </w:rPr>
              <w:t>et al.</w:t>
            </w:r>
            <w:r w:rsidRPr="00D82DB9">
              <w:rPr>
                <w:rFonts w:asciiTheme="majorHAnsi" w:eastAsia="Times New Roman" w:hAnsiTheme="majorHAnsi" w:cs="Times New Roman"/>
                <w:color w:val="000000" w:themeColor="text1"/>
                <w:sz w:val="20"/>
                <w:szCs w:val="20"/>
                <w:lang w:val="en-GB"/>
              </w:rPr>
              <w:t xml:space="preserve"> </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{"citationItems":[{"id":"ITEM-1","itemData":{"DOI":"10.1016/j.pcd.2015.11.001","ISSN":"18780210","abstract":"Aim The objective of the current study is to assess the effectiveness of Mobile Short Message Service (SMS) intervention on education of basic self-care skills in patients with type 2 diabetes. Moreover, we aimed to determine whether delivering individually-tailored educational messages can be more effective than general educational messages. Methods A total of 150 patients with diabetes type 2 were randomized into three groups: tailored SMS group, non-tailored SMS group, and the control group. Biochemical parameters including HbA1c, FBS, lipid profile were evaluated for the three groups at baseline and after 12 weeks. Moreover, self-care Inventory (SCI), Diabetes Management Self-Efficacy Scale (DMSES) and Diabetes Self-Care Barriers assessment scale for Older Adults (DSCB-OA) were completed. In the tailored SMS group, each person received 75% of their messages based on the top two barriers to adherence that they had experienced and reported in their scale. In the non-tailored SMS group, random messages were sent to every patient. Results After 12 weeks, although HgA1c levels did not significantly change, significant decline was observed in FBS and mean BMI in both intervention groups. Mean SCI-R scores significantly increased and mean DSCB and DMSES scores significantly decreased in both tailored and non-tailored SMS groups. In the control group, mean SCI-R scores decreased and mean DSCB and DMSES scores significantly increased (P &lt; 0.001). Conclusion Sending short text messages as a method of education in conjunction with conventional diabetes treatment can improve glycemic control and positively influence other aspects of diabetes self-care. According to our findings, sending SMS regularly in particular times appears to be as effective as sending individually tailored messages.","author":[{"dropping-particle":"","family":"Peimani","given":"Maryam","non-dropping-particle":"","parse-names":false,"suffix":""},{"dropping-particle":"","family":"Rambod","given":"Camelia","non-dropping-particle":"","parse-names":false,"suffix":""},{"dropping-particle":"","family":"Omidvar","given":"Maryam","non-dropping-particle":"","parse-names":false,"suffix":""},{"dropping-particle":"","family":"Larijani","given":"Bagher","non-dropping-particle":"","parse-names":false,"suffix":""},{"dropping-particle":"","family":"Ghodssi-Ghassemabadi","given":"Robabeh","non-dropping-particle":"","parse-names":false,"suffix":""},{"dropping-particle":"","family":"Tootee","given":"Ali","non-dropping-particle":"","parse-names":false,"suffix":""},{"dropping-particle":"","family":"Esfahani","given":"Ensieh Nasli","non-dropping-particle":"","parse-names":false,"suffix":""}],"container-title":"Primary Care Diabetes","id":"ITEM-1","issue":"4","issued":{"date-parts":[["2016"]]},"page":"251-258","publisher":"Primary Care Diabetes Europe","title":"Effectiveness of short message service-based intervention (SMS) on self-care in type 2 diabetes: A feasibility study","type":"article-journal","volume":"10"},"uris":["http://www.mendeley.com/documents/?uuid=3132d3de-6cd8-479d-b6a8-222ee725e592"]}],"mendeley":{"formattedCitation":"(76)","plainTextFormattedCitation":"(76)","previouslyFormattedCitation":"(75)"},"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(76)</w:t>
            </w:r>
            <w:r w:rsidRPr="00D82DB9">
              <w:rPr>
                <w:rFonts w:asciiTheme="majorHAnsi" w:eastAsia="Times New Roman" w:hAnsiTheme="majorHAnsi" w:cs="Times New Roman"/>
                <w:color w:val="000000" w:themeColor="text1"/>
                <w:sz w:val="20"/>
                <w:szCs w:val="20"/>
                <w:lang w:val="en-GB"/>
              </w:rPr>
              <w:fldChar w:fldCharType="end"/>
            </w:r>
          </w:p>
        </w:tc>
        <w:tc>
          <w:tcPr>
            <w:tcW w:w="715" w:type="dxa"/>
          </w:tcPr>
          <w:p w14:paraId="01268B6E" w14:textId="634AE0F6" w:rsidR="001C0630" w:rsidRPr="00D82DB9" w:rsidRDefault="001C0630" w:rsidP="001C063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AA52D03" wp14:editId="3DBC984B">
                  <wp:extent cx="161778" cy="161778"/>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20" w:type="dxa"/>
          </w:tcPr>
          <w:p w14:paraId="216D3550" w14:textId="072B44AD" w:rsidR="001C0630" w:rsidRPr="00D82DB9" w:rsidRDefault="001C0630" w:rsidP="001C063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1F642A4" wp14:editId="7F676457">
                  <wp:extent cx="161778" cy="161778"/>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66C9FA4B" w14:textId="3C816AD9" w:rsidR="001C0630" w:rsidRPr="00D82DB9" w:rsidRDefault="001C0630" w:rsidP="001C063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BECC971" wp14:editId="55F8E03F">
                  <wp:extent cx="161778" cy="161778"/>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540" w:type="dxa"/>
          </w:tcPr>
          <w:p w14:paraId="6D9401CF" w14:textId="47BFB5D1" w:rsidR="001C0630" w:rsidRPr="00D82DB9" w:rsidRDefault="001C0630" w:rsidP="001C063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0AEE01B" wp14:editId="6FD822BA">
                  <wp:extent cx="161778" cy="161778"/>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4E06EE54" w14:textId="51B93F3E" w:rsidR="001C0630" w:rsidRPr="00D82DB9" w:rsidRDefault="001C0630" w:rsidP="001C063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ABC0929" wp14:editId="2AB8495B">
                  <wp:extent cx="161778" cy="161778"/>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7AF1EB39" w14:textId="7AE2EB44" w:rsidR="001C0630" w:rsidRPr="00D82DB9" w:rsidRDefault="001C0630" w:rsidP="001C063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6E688D48" wp14:editId="3C00ED7B">
                  <wp:extent cx="161778" cy="16177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2DD9DA53" w14:textId="0AA357EF" w:rsidR="001C0630" w:rsidRPr="00D82DB9" w:rsidRDefault="001C0630" w:rsidP="001C0630">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377133E8" wp14:editId="0CE11B15">
                  <wp:extent cx="161778" cy="161778"/>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r>
      <w:tr w:rsidR="00D82DB9" w:rsidRPr="00D82DB9" w14:paraId="453B06B4" w14:textId="39820A94" w:rsidTr="0084409D">
        <w:trPr>
          <w:trHeight w:val="50"/>
        </w:trPr>
        <w:tc>
          <w:tcPr>
            <w:tcW w:w="2700" w:type="dxa"/>
          </w:tcPr>
          <w:p w14:paraId="399C5F47" w14:textId="6DA3FF90" w:rsidR="00520F9B" w:rsidRPr="00D82DB9" w:rsidRDefault="00520F9B" w:rsidP="00520F9B">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Rasoul e</w:t>
            </w:r>
            <w:r w:rsidRPr="00D82DB9">
              <w:rPr>
                <w:rFonts w:asciiTheme="majorHAnsi" w:eastAsia="Times New Roman" w:hAnsiTheme="majorHAnsi" w:cs="Times New Roman"/>
                <w:i/>
                <w:color w:val="000000" w:themeColor="text1"/>
                <w:sz w:val="20"/>
                <w:szCs w:val="20"/>
                <w:lang w:val="en-GB"/>
              </w:rPr>
              <w:t>t al</w:t>
            </w:r>
            <w:r w:rsidRPr="00D82DB9">
              <w:rPr>
                <w:rFonts w:asciiTheme="majorHAnsi" w:eastAsia="Times New Roman" w:hAnsiTheme="majorHAnsi" w:cs="Times New Roman"/>
                <w:color w:val="000000" w:themeColor="text1"/>
                <w:sz w:val="20"/>
                <w:szCs w:val="20"/>
                <w:lang w:val="en-GB"/>
              </w:rPr>
              <w:t xml:space="preserve"> </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{"citationItems":[{"id":"ITEM-1","itemData":{"DOI":"10.1186/s12911-019-0941-6","ISSN":"14726947","PMID":"31665001","abstract":"Background: Self-management education of diabetes which is one of the most important noncommunicable diseases worldwide involves facilitating knowledge, skills, and ability required for self-care in these patients. Concerning the progressive growth of use of Internet for educating patients and absence of different studies about education through use of weblogs in patients with diabetes in Iran, the present study was conducted with the aim of determining the effect of self-management education through weblogs on the quality of life of affect the patients. Methods: This study was performed as intervention on patients referring to diabetes clinic of Talghani hospital in Kermanshah in winter 2018 and spring 2019. The samples consisted of 98 patients with diabetes chosen through available sampling and randomly assigned into study and control groups. For data collection, diabetes quality of life (DQOL) short form clinical questionnaire, Persian version, was used. The intervention involved training self-management conducted through 60 sessions via a designed weblog. The obtained information was introduced into SPSS 21, and analyzed through Mann-Whitney, t-test, and paired t-test. Results: According to the results of this study, the mean age of the examined patients was 32.1 ± 4.9 years, where the major participants were male (n = 52 in the test group, 52.5%). The results showed that after the intervention, the test and control groups were different in terms of anthropometric variables and metabolic indicators; the mean waist circumference in the test and control groups was 98.6 ± 9.8 and 101.5 ± 7.8, respectively; the mean FBS following the intervention in the test and control groups was 131.08 ± 16.04 and 238.2 ± 40, respectively; and the mean BMI postintervention in the test and control groups was obtained as 27.3 ± 3.4 and 30.1 ± 3.8 respectively, where these differences were significant according to independent t-test (p &lt; 0.05). The mean score of quality of life postintervention in the test and control groups was obtained as 56.1 and 49.9 respectively; according to Mann-Whitney test, the difference between the two groups was significant (p &lt; 0.05). Conclusion: The results of the present study revealed the positive effect of weblog based self-management on the quality of life of patients with diabetes following the intervention. Further, reduced levels of FBS, BMI, as well as systolic and diastolic blood pressure were also observed, which could be due to i…","author":[{"dropping-particle":"","family":"Rasoul","given":"Amal Mohammad","non-dropping-particle":"","parse-names":false,"suffix":""},{"dropping-particle":"","family":"Jalali","given":"Rostam","non-dropping-particle":"","parse-names":false,"suffix":""},{"dropping-particle":"","family":"Abdi","given":"Alireza","non-dropping-particle":"","parse-names":false,"suffix":""},{"dropping-particle":"","family":"Salari","given":"Nader","non-dropping-particle":"","parse-names":false,"suffix":""},{"dropping-particle":"","family":"Rahimi","given":"Mehrali","non-dropping-particle":"","parse-names":false,"suffix":""},{"dropping-particle":"","family":"Mohammadi","given":"Masoud","non-dropping-particle":"","parse-names":false,"suffix":""}],"container-title":"BMC Medical Informatics and Decision Making","id":"ITEM-1","issue":"1","issued":{"date-parts":[["2019"]]},"page":"1-12","publisher":"BMC Medical Informatics and Decision Making","title":"The effect of self-management education through weblogs on the quality of life of diabetic patients","type":"article-journal","volume":"19"},"uris":["http://www.mendeley.com/documents/?uuid=3e2445d0-4364-4ebe-b244-bf77cd391136"]}],"mendeley":{"formattedCitation":"(84)","plainTextFormattedCitation":"(84)","previouslyFormattedCitation":"(83)"},"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(84)</w:t>
            </w:r>
            <w:r w:rsidRPr="00D82DB9">
              <w:rPr>
                <w:rFonts w:asciiTheme="majorHAnsi" w:eastAsia="Times New Roman" w:hAnsiTheme="majorHAnsi" w:cs="Times New Roman"/>
                <w:color w:val="000000" w:themeColor="text1"/>
                <w:sz w:val="20"/>
                <w:szCs w:val="20"/>
                <w:lang w:val="en-GB"/>
              </w:rPr>
              <w:fldChar w:fldCharType="end"/>
            </w:r>
          </w:p>
        </w:tc>
        <w:tc>
          <w:tcPr>
            <w:tcW w:w="715" w:type="dxa"/>
          </w:tcPr>
          <w:p w14:paraId="13297E60" w14:textId="20269B9A" w:rsidR="00520F9B" w:rsidRPr="00D82DB9" w:rsidRDefault="00520F9B" w:rsidP="00520F9B">
            <w:pPr>
              <w:spacing w:after="0"/>
              <w:rPr>
                <w:rFonts w:asciiTheme="majorHAnsi" w:eastAsia="Times New Roman" w:hAnsiTheme="majorHAnsi" w:cs="Times New Roman"/>
                <w:b/>
                <w:bCs/>
                <w:color w:val="000000" w:themeColor="text1"/>
                <w:sz w:val="20"/>
                <w:szCs w:val="20"/>
                <w:lang w:val="en-GB"/>
              </w:rPr>
            </w:pPr>
            <w:r w:rsidRPr="00D82DB9">
              <w:rPr>
                <w:noProof/>
                <w:color w:val="000000" w:themeColor="text1"/>
              </w:rPr>
              <w:drawing>
                <wp:inline distT="0" distB="0" distL="0" distR="0" wp14:anchorId="042C2E67" wp14:editId="2DFCD586">
                  <wp:extent cx="168812" cy="168812"/>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003" cy="171003"/>
                          </a:xfrm>
                          <a:prstGeom prst="rect">
                            <a:avLst/>
                          </a:prstGeom>
                          <a:noFill/>
                          <a:ln>
                            <a:noFill/>
                          </a:ln>
                        </pic:spPr>
                      </pic:pic>
                    </a:graphicData>
                  </a:graphic>
                </wp:inline>
              </w:drawing>
            </w:r>
          </w:p>
        </w:tc>
        <w:tc>
          <w:tcPr>
            <w:tcW w:w="720" w:type="dxa"/>
          </w:tcPr>
          <w:p w14:paraId="6EB5121A" w14:textId="579840AF" w:rsidR="00520F9B" w:rsidRPr="00D82DB9" w:rsidRDefault="00520F9B" w:rsidP="00520F9B">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06F64C99" wp14:editId="31E546F3">
                  <wp:extent cx="161778" cy="161778"/>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426D74BF" w14:textId="43DFA90D" w:rsidR="00520F9B" w:rsidRPr="00D82DB9" w:rsidRDefault="00520F9B" w:rsidP="00520F9B">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76652A37" wp14:editId="22117FA9">
                  <wp:extent cx="189297" cy="18288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540" w:type="dxa"/>
          </w:tcPr>
          <w:p w14:paraId="7C24A0AB" w14:textId="00E4A9E3" w:rsidR="00520F9B" w:rsidRPr="00D82DB9" w:rsidRDefault="00520F9B" w:rsidP="00520F9B">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F561525" wp14:editId="047628AD">
                  <wp:extent cx="161778" cy="161778"/>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153CCF89" w14:textId="440339EE" w:rsidR="00520F9B" w:rsidRPr="00D82DB9" w:rsidRDefault="00520F9B" w:rsidP="00520F9B">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AD24B6F" wp14:editId="00A4B15A">
                  <wp:extent cx="189297" cy="18288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450" w:type="dxa"/>
          </w:tcPr>
          <w:p w14:paraId="58F26747" w14:textId="49347CDF" w:rsidR="00520F9B" w:rsidRPr="00D82DB9" w:rsidRDefault="00520F9B" w:rsidP="00520F9B">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7DA7532C" wp14:editId="172EB453">
                  <wp:extent cx="161778" cy="161778"/>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6670E495" w14:textId="3C918E2C" w:rsidR="00520F9B" w:rsidRPr="00D82DB9" w:rsidRDefault="00520F9B" w:rsidP="00520F9B">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370807AD" wp14:editId="4A1B3B95">
                  <wp:extent cx="168812" cy="168812"/>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003" cy="171003"/>
                          </a:xfrm>
                          <a:prstGeom prst="rect">
                            <a:avLst/>
                          </a:prstGeom>
                          <a:noFill/>
                          <a:ln>
                            <a:noFill/>
                          </a:ln>
                        </pic:spPr>
                      </pic:pic>
                    </a:graphicData>
                  </a:graphic>
                </wp:inline>
              </w:drawing>
            </w:r>
          </w:p>
        </w:tc>
      </w:tr>
      <w:tr w:rsidR="00D82DB9" w:rsidRPr="00D82DB9" w14:paraId="30B21BB0" w14:textId="37D513B9" w:rsidTr="0084409D">
        <w:trPr>
          <w:trHeight w:val="89"/>
        </w:trPr>
        <w:tc>
          <w:tcPr>
            <w:tcW w:w="2700" w:type="dxa"/>
          </w:tcPr>
          <w:p w14:paraId="41948FF8" w14:textId="7EC081F6" w:rsidR="00520F9B" w:rsidRPr="00D82DB9" w:rsidRDefault="00520F9B" w:rsidP="00520F9B">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Shahid </w:t>
            </w:r>
            <w:r w:rsidRPr="00D82DB9">
              <w:rPr>
                <w:rFonts w:asciiTheme="majorHAnsi" w:eastAsia="Times New Roman" w:hAnsiTheme="majorHAnsi" w:cs="Times New Roman"/>
                <w:i/>
                <w:color w:val="000000" w:themeColor="text1"/>
                <w:sz w:val="20"/>
                <w:szCs w:val="20"/>
                <w:lang w:val="en-GB"/>
              </w:rPr>
              <w:t>et al.</w:t>
            </w:r>
            <w:r w:rsidRPr="00D82DB9">
              <w:rPr>
                <w:rFonts w:asciiTheme="majorHAnsi" w:eastAsia="Times New Roman" w:hAnsiTheme="majorHAnsi" w:cs="Times New Roman"/>
                <w:color w:val="000000" w:themeColor="text1"/>
                <w:sz w:val="20"/>
                <w:szCs w:val="20"/>
                <w:lang w:val="en-GB"/>
              </w:rPr>
              <w:t xml:space="preserve"> </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{"citationItems":[{"id":"ITEM-1","itemData":{"author":[{"dropping-particle":"","family":"Shahid","given":"M","non-dropping-particle":"","parse-names":false,"suffix":""},{"dropping-particle":"","family":"Mahar","given":"S A","non-dropping-particle":"","parse-names":false,"suffix":""},{"dropping-particle":"","family":"Shaikh","given":"S","non-dropping-particle":"","parse-names":false,"suffix":""},{"dropping-particle":"","family":"Shaikh","given":"Z.-U.-D.","non-dropping-particle":"","parse-names":false,"suffix":""}],"container-title":"Journal of the College of Physicians and Surgeons Pakistan","id":"ITEM-1","issue":"3","issued":{"date-parts":[["2015"]]},"note":"Cited By :16\n\nExport Date: 3 October 2019","page":"166-171","title":"Mobile phone intervention to improve diabetes care in rural areas of Pakistan: A randomized controlled trial","type":"article-journal","volume":"25"},"uris":["http://www.mendeley.com/documents/?uuid=fd7c0c1e-2fa3-4497-b4ad-02d5eb983877"]}],"mendeley":{"formattedCitation":"(86)","plainTextFormattedCitation":"(86)","previouslyFormattedCitation":"(85)"},"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(86)</w:t>
            </w:r>
            <w:r w:rsidRPr="00D82DB9">
              <w:rPr>
                <w:rFonts w:asciiTheme="majorHAnsi" w:eastAsia="Times New Roman" w:hAnsiTheme="majorHAnsi" w:cs="Times New Roman"/>
                <w:color w:val="000000" w:themeColor="text1"/>
                <w:sz w:val="20"/>
                <w:szCs w:val="20"/>
                <w:lang w:val="en-GB"/>
              </w:rPr>
              <w:fldChar w:fldCharType="end"/>
            </w:r>
          </w:p>
        </w:tc>
        <w:tc>
          <w:tcPr>
            <w:tcW w:w="715" w:type="dxa"/>
          </w:tcPr>
          <w:p w14:paraId="39465891" w14:textId="4B025B07" w:rsidR="00520F9B" w:rsidRPr="00D82DB9" w:rsidRDefault="000C30F9" w:rsidP="00520F9B">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346B03D8" wp14:editId="087F4951">
                  <wp:extent cx="168812" cy="168812"/>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003" cy="171003"/>
                          </a:xfrm>
                          <a:prstGeom prst="rect">
                            <a:avLst/>
                          </a:prstGeom>
                          <a:noFill/>
                          <a:ln>
                            <a:noFill/>
                          </a:ln>
                        </pic:spPr>
                      </pic:pic>
                    </a:graphicData>
                  </a:graphic>
                </wp:inline>
              </w:drawing>
            </w:r>
          </w:p>
        </w:tc>
        <w:tc>
          <w:tcPr>
            <w:tcW w:w="720" w:type="dxa"/>
          </w:tcPr>
          <w:p w14:paraId="02273C83" w14:textId="7FB14098" w:rsidR="00520F9B" w:rsidRPr="00D82DB9" w:rsidRDefault="000C30F9" w:rsidP="00520F9B">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E080DB7" wp14:editId="2603011F">
                  <wp:extent cx="161778" cy="161778"/>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48842165" w14:textId="312E4230" w:rsidR="00520F9B" w:rsidRPr="00D82DB9" w:rsidRDefault="000C30F9" w:rsidP="00520F9B">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6ADFB7F" wp14:editId="6B962757">
                  <wp:extent cx="168812" cy="168812"/>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003" cy="171003"/>
                          </a:xfrm>
                          <a:prstGeom prst="rect">
                            <a:avLst/>
                          </a:prstGeom>
                          <a:noFill/>
                          <a:ln>
                            <a:noFill/>
                          </a:ln>
                        </pic:spPr>
                      </pic:pic>
                    </a:graphicData>
                  </a:graphic>
                </wp:inline>
              </w:drawing>
            </w:r>
          </w:p>
        </w:tc>
        <w:tc>
          <w:tcPr>
            <w:tcW w:w="540" w:type="dxa"/>
          </w:tcPr>
          <w:p w14:paraId="10020A05" w14:textId="3971A34A" w:rsidR="00520F9B" w:rsidRPr="00D82DB9" w:rsidRDefault="000C30F9" w:rsidP="00520F9B">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7921224" wp14:editId="19CEDB21">
                  <wp:extent cx="161778" cy="161778"/>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7A0F4939" w14:textId="2326D691" w:rsidR="00520F9B" w:rsidRPr="00D82DB9" w:rsidRDefault="000C30F9" w:rsidP="00520F9B">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402410F" wp14:editId="0586A1C3">
                  <wp:extent cx="168812" cy="168812"/>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003" cy="171003"/>
                          </a:xfrm>
                          <a:prstGeom prst="rect">
                            <a:avLst/>
                          </a:prstGeom>
                          <a:noFill/>
                          <a:ln>
                            <a:noFill/>
                          </a:ln>
                        </pic:spPr>
                      </pic:pic>
                    </a:graphicData>
                  </a:graphic>
                </wp:inline>
              </w:drawing>
            </w:r>
          </w:p>
        </w:tc>
        <w:tc>
          <w:tcPr>
            <w:tcW w:w="450" w:type="dxa"/>
          </w:tcPr>
          <w:p w14:paraId="3778FA1B" w14:textId="2394A234" w:rsidR="00520F9B" w:rsidRPr="00D82DB9" w:rsidRDefault="000C30F9" w:rsidP="00520F9B">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81F6076" wp14:editId="06C451DB">
                  <wp:extent cx="161778" cy="161778"/>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371FB4F3" w14:textId="0876E28D" w:rsidR="00520F9B" w:rsidRPr="00D82DB9" w:rsidRDefault="000C30F9" w:rsidP="00520F9B">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3DDE45B" wp14:editId="028E6C8D">
                  <wp:extent cx="168812" cy="168812"/>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003" cy="171003"/>
                          </a:xfrm>
                          <a:prstGeom prst="rect">
                            <a:avLst/>
                          </a:prstGeom>
                          <a:noFill/>
                          <a:ln>
                            <a:noFill/>
                          </a:ln>
                        </pic:spPr>
                      </pic:pic>
                    </a:graphicData>
                  </a:graphic>
                </wp:inline>
              </w:drawing>
            </w:r>
          </w:p>
        </w:tc>
      </w:tr>
      <w:tr w:rsidR="00D82DB9" w:rsidRPr="00D82DB9" w14:paraId="74AEE37C" w14:textId="38A6C5A3" w:rsidTr="0084409D">
        <w:trPr>
          <w:trHeight w:val="134"/>
        </w:trPr>
        <w:tc>
          <w:tcPr>
            <w:tcW w:w="2700" w:type="dxa"/>
          </w:tcPr>
          <w:p w14:paraId="3BDCF885" w14:textId="451A341A" w:rsidR="00154F6A" w:rsidRPr="00D82DB9" w:rsidRDefault="00154F6A" w:rsidP="00154F6A">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Steinman </w:t>
            </w:r>
            <w:r w:rsidRPr="00D82DB9">
              <w:rPr>
                <w:rFonts w:asciiTheme="majorHAnsi" w:eastAsia="Times New Roman" w:hAnsiTheme="majorHAnsi" w:cs="Times New Roman"/>
                <w:i/>
                <w:color w:val="000000" w:themeColor="text1"/>
                <w:sz w:val="20"/>
                <w:szCs w:val="20"/>
                <w:lang w:val="en-GB"/>
              </w:rPr>
              <w:t>et al</w:t>
            </w:r>
            <w:r w:rsidRPr="00D82DB9">
              <w:rPr>
                <w:rFonts w:asciiTheme="majorHAnsi" w:eastAsia="Times New Roman" w:hAnsiTheme="majorHAnsi" w:cs="Times New Roman"/>
                <w:color w:val="000000" w:themeColor="text1"/>
                <w:sz w:val="20"/>
                <w:szCs w:val="20"/>
                <w:lang w:val="en-GB"/>
              </w:rPr>
              <w:t xml:space="preserve"> </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10.21037/mhealth-19-249","author":[{"dropping-particle":"","family":"Steinman","given":"Lesley","non-dropping-particle":"","parse-names":false,"suffix":""},{"dropping-particle":"Van","family":"Pelt","given":"Maurits","non-dropping-particle":"","parse-names":false,"suffix":""},{"dropping-particle":"","family":"Hen","given":"Heang","non-dropping-particle":"","parse-names":false,"suffix":""},{"dropping-particle":"","family":"Chhorvann","given":"Chhea","non-dropping-particle":"","parse-names":false,"suffix":""},{"dropping-particle":"","family":"Lan","given":"Channe Suy","non-dropping-particle":"","parse-names":false,"suffix":""},{"dropping-particle":"","family":"Te","given":"Vannarath","non-dropping-particle":"","parse-names":false,"suffix":""},{"dropping-particle":"","family":"Logerfo","given":"James","non-dropping-particle":"","parse-names":false,"suffix":""},{"dropping-particle":"","family":"Fitzpatrick","given":"Annette L","non-dropping-particle":"","parse-names":false,"suffix":""}],"id":"ITEM-1","issued":{"date-parts":[["2020"]]},"title":"Can mHealth and eHealth improve management of diabetes and hypertension in a hard-to-reach population ? — lessons learned from a process evaluation of digital health to support a peer educator model in Cambodia using the RE-AIM framework","type":"article-journal"},"uris":["http://www.mendeley.com/documents/?uuid=6af2a877-1826-4581-bbea-cf59d41c81e4"]}],"mendeley":{"formattedCitation":"(78)","plainTextFormattedCitation":"(78)","previouslyFormattedCitation":"(77)"},"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(78)</w:t>
            </w:r>
            <w:r w:rsidRPr="00D82DB9">
              <w:rPr>
                <w:rFonts w:asciiTheme="majorHAnsi" w:eastAsia="Times New Roman" w:hAnsiTheme="majorHAnsi" w:cs="Times New Roman"/>
                <w:color w:val="000000" w:themeColor="text1"/>
                <w:sz w:val="20"/>
                <w:szCs w:val="20"/>
                <w:lang w:val="en-GB"/>
              </w:rPr>
              <w:fldChar w:fldCharType="end"/>
            </w:r>
          </w:p>
        </w:tc>
        <w:tc>
          <w:tcPr>
            <w:tcW w:w="715" w:type="dxa"/>
          </w:tcPr>
          <w:p w14:paraId="266B862E" w14:textId="5D610B8D" w:rsidR="00154F6A" w:rsidRPr="00D82DB9" w:rsidRDefault="00154F6A" w:rsidP="00154F6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6F05181B" wp14:editId="317AB5A0">
                  <wp:extent cx="161778" cy="161778"/>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20" w:type="dxa"/>
          </w:tcPr>
          <w:p w14:paraId="305DC5A4" w14:textId="4B9691AB" w:rsidR="00154F6A" w:rsidRPr="00D82DB9" w:rsidRDefault="00154F6A" w:rsidP="00154F6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6A5F1F17" wp14:editId="5E38AA9E">
                  <wp:extent cx="161778" cy="161778"/>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7595E099" w14:textId="3EF65381" w:rsidR="00154F6A" w:rsidRPr="00D82DB9" w:rsidRDefault="00154F6A" w:rsidP="00154F6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0AEE491E" wp14:editId="7277C1C9">
                  <wp:extent cx="161778" cy="161778"/>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540" w:type="dxa"/>
          </w:tcPr>
          <w:p w14:paraId="11D647DE" w14:textId="77523D91" w:rsidR="00154F6A" w:rsidRPr="00D82DB9" w:rsidRDefault="00154F6A" w:rsidP="00154F6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910E621" wp14:editId="08593C9C">
                  <wp:extent cx="161778" cy="161778"/>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605C3A8B" w14:textId="6276DE1F" w:rsidR="00154F6A" w:rsidRPr="00D82DB9" w:rsidRDefault="00154F6A" w:rsidP="00154F6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053446F9" wp14:editId="41936DA9">
                  <wp:extent cx="161778" cy="161778"/>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4D3EBDF0" w14:textId="4FE2D6DE" w:rsidR="00154F6A" w:rsidRPr="00D82DB9" w:rsidRDefault="00154F6A" w:rsidP="00154F6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C59E0C2" wp14:editId="2F1051B6">
                  <wp:extent cx="161778" cy="161778"/>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7B09790D" w14:textId="201B87CA" w:rsidR="00154F6A" w:rsidRPr="00D82DB9" w:rsidRDefault="00154F6A" w:rsidP="00154F6A">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B350D99" wp14:editId="1D578FC9">
                  <wp:extent cx="161778" cy="161778"/>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r>
      <w:tr w:rsidR="00D82DB9" w:rsidRPr="00D82DB9" w14:paraId="0C935462" w14:textId="3D93DF9B" w:rsidTr="0084409D">
        <w:trPr>
          <w:trHeight w:val="260"/>
        </w:trPr>
        <w:tc>
          <w:tcPr>
            <w:tcW w:w="2700" w:type="dxa"/>
            <w:hideMark/>
          </w:tcPr>
          <w:p w14:paraId="7459FB2A" w14:textId="18903D11" w:rsidR="00D82DB9" w:rsidRPr="00D82DB9" w:rsidRDefault="00D82DB9" w:rsidP="00D82DB9">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Sun </w:t>
            </w:r>
            <w:r w:rsidRPr="00D82DB9">
              <w:rPr>
                <w:rFonts w:asciiTheme="majorHAnsi" w:eastAsia="Times New Roman" w:hAnsiTheme="majorHAnsi" w:cs="Times New Roman"/>
                <w:i/>
                <w:iCs/>
                <w:color w:val="000000" w:themeColor="text1"/>
                <w:sz w:val="20"/>
                <w:szCs w:val="20"/>
                <w:lang w:val="en-GB"/>
              </w:rPr>
              <w:t xml:space="preserve">et al </w:t>
            </w:r>
            <w:bookmarkStart w:id="1" w:name="_Hlk40838388"/>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10.2196/10664","author":[{"dropping-particle":"","family":"Sun","given":"C","non-dropping-particle":"","parse-names":false,"suffix":""},{"dropping-particle":"","family":"Sun","given":"L","non-dropping-particle":"","parse-names":false,"suffix":""},{"dropping-particle":"","family":"Xi","given":"S","non-dropping-particle":"","parse-names":false,"suffix":""},{"dropping-particle":"","family":"Zhang","given":"H","non-dropping-particle":"","parse-names":false,"suffix":""},{"dropping-particle":"","family":"Wang","given":"H","non-dropping-particle":"","parse-names":false,"suffix":""},{"dropping-particle":"","family":"Feng","given":"Y","non-dropping-particle":"","parse-names":false,"suffix":""},{"dropping-particle":"","family":"Deng","given":"Y","non-dropping-particle":"","parse-names":false,"suffix":""},{"dropping-particle":"","family":"Wang","given":"H","non-dropping-particle":"","parse-names":false,"suffix":""},{"dropping-particle":"","family":"Xiao","given":"X","non-dropping-particle":"","parse-names":false,"suffix":""},{"dropping-particle":"","family":"Wang","given":"G","non-dropping-particle":"","parse-names":false,"suffix":""},{"dropping-particle":"","family":"Gao","given":"Y","non-dropping-particle":"","parse-names":false,"suffix":""},{"dropping-particle":"","family":"Wang","given":"G","non-dropping-particle":"","parse-names":false,"suffix":""}],"container-title":"JMIR mHealth and uHealth","id":"ITEM-1","issue":"1","issued":{"date-parts":[["2019"]]},"note":"Cited By :2\n\nExport Date: 3 October 2019","title":"Mobile phone–Based telemedicine practice in older chinese patients with type 2 diabetes mellitus: Randomized controlled trial","type":"article-journal","volume":"7"},"uris":["http://www.mendeley.com/documents/?uuid=0123186c-f317-40e3-8db8-38c523e9b9a2"]}],"mendeley":{"formattedCitation":"(61)","plainTextFormattedCitation":"(61)","previouslyFormattedCitation":"(68)"},"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(61)</w:t>
            </w:r>
            <w:r w:rsidRPr="00D82DB9">
              <w:rPr>
                <w:rFonts w:asciiTheme="majorHAnsi" w:eastAsia="Times New Roman" w:hAnsiTheme="majorHAnsi" w:cs="Times New Roman"/>
                <w:color w:val="000000" w:themeColor="text1"/>
                <w:sz w:val="20"/>
                <w:szCs w:val="20"/>
                <w:lang w:val="en-GB"/>
              </w:rPr>
              <w:fldChar w:fldCharType="end"/>
            </w:r>
            <w:bookmarkEnd w:id="1"/>
          </w:p>
        </w:tc>
        <w:tc>
          <w:tcPr>
            <w:tcW w:w="715" w:type="dxa"/>
          </w:tcPr>
          <w:p w14:paraId="645B0039" w14:textId="2106A1D6" w:rsidR="00D82DB9" w:rsidRPr="00D82DB9" w:rsidRDefault="00D82DB9" w:rsidP="00D82DB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67B6134" wp14:editId="164CCA8B">
                  <wp:extent cx="189297" cy="18288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720" w:type="dxa"/>
          </w:tcPr>
          <w:p w14:paraId="34C9027C" w14:textId="1B02ECA2" w:rsidR="00D82DB9" w:rsidRPr="00D82DB9" w:rsidRDefault="00D82DB9" w:rsidP="00D82DB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A3CD289" wp14:editId="6A65C57E">
                  <wp:extent cx="161778" cy="161778"/>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7CC15753" w14:textId="5D5674B3" w:rsidR="00D82DB9" w:rsidRPr="00D82DB9" w:rsidRDefault="00D82DB9" w:rsidP="00D82DB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8C7CF84" wp14:editId="0470E8A7">
                  <wp:extent cx="189297" cy="18288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540" w:type="dxa"/>
          </w:tcPr>
          <w:p w14:paraId="20400882" w14:textId="2AA0CDA3" w:rsidR="00D82DB9" w:rsidRPr="00D82DB9" w:rsidRDefault="00D82DB9" w:rsidP="00D82DB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75FDC020" wp14:editId="22C08AA1">
                  <wp:extent cx="161778" cy="161778"/>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6199E2F8" w14:textId="4335E08A" w:rsidR="00D82DB9" w:rsidRPr="00D82DB9" w:rsidRDefault="00D82DB9" w:rsidP="00D82DB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04F3E0C8" wp14:editId="1B03198C">
                  <wp:extent cx="189297" cy="18288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450" w:type="dxa"/>
          </w:tcPr>
          <w:p w14:paraId="67A53981" w14:textId="3E273337" w:rsidR="00D82DB9" w:rsidRPr="00D82DB9" w:rsidRDefault="00D82DB9" w:rsidP="00D82DB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00E4936F" wp14:editId="5BF8C39E">
                  <wp:extent cx="161778" cy="161778"/>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489BFBE7" w14:textId="35F79697" w:rsidR="00D82DB9" w:rsidRPr="00D82DB9" w:rsidRDefault="00D82DB9" w:rsidP="00D82DB9">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7658F458" wp14:editId="4DA2DDD6">
                  <wp:extent cx="189297" cy="18288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r>
      <w:tr w:rsidR="0084409D" w:rsidRPr="00D82DB9" w14:paraId="789FEF3F" w14:textId="102672EB" w:rsidTr="0084409D">
        <w:trPr>
          <w:trHeight w:val="50"/>
        </w:trPr>
        <w:tc>
          <w:tcPr>
            <w:tcW w:w="2700" w:type="dxa"/>
          </w:tcPr>
          <w:p w14:paraId="0B18F8EA" w14:textId="7B8CCC4D" w:rsidR="0084409D" w:rsidRPr="00D82DB9" w:rsidRDefault="0084409D" w:rsidP="0084409D">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Wang </w:t>
            </w:r>
            <w:r w:rsidRPr="00D82DB9">
              <w:rPr>
                <w:rFonts w:asciiTheme="majorHAnsi" w:eastAsia="Times New Roman" w:hAnsiTheme="majorHAnsi" w:cs="Times New Roman"/>
                <w:i/>
                <w:color w:val="000000" w:themeColor="text1"/>
                <w:sz w:val="20"/>
                <w:szCs w:val="20"/>
                <w:lang w:val="en-GB"/>
              </w:rPr>
              <w:t>et al</w:t>
            </w:r>
            <w:r w:rsidRPr="00D82DB9">
              <w:rPr>
                <w:rFonts w:asciiTheme="majorHAnsi" w:eastAsia="Times New Roman" w:hAnsiTheme="majorHAnsi" w:cs="Times New Roman"/>
                <w:color w:val="000000" w:themeColor="text1"/>
                <w:sz w:val="20"/>
                <w:szCs w:val="20"/>
                <w:lang w:val="en-GB"/>
              </w:rPr>
              <w:t>.</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10.1002/hpm.2872","author":[{"dropping-particle":"","family":"Wang","given":"Yanmei","non-dropping-particle":"","parse-names":false,"suffix":""},{"dropping-particle":"","family":"Li","given":"Ming","non-dropping-particle":"","parse-names":false,"suffix":""},{"dropping-particle":"","family":"Zhao","given":"Xinxiang","non-dropping-particle":"","parse-names":false,"suffix":""},{"dropping-particle":"","family":"Pan","given":"Xinxin","non-dropping-particle":"","parse-names":false,"suffix":""},{"dropping-particle":"","family":"Lu","given":"Min","non-dropping-particle":"","parse-names":false,"suffix":""},{"dropping-particle":"","family":"Lu","given":"Jing","non-dropping-particle":"","parse-names":false,"suffix":""},{"dropping-particle":"","family":"Hu","given":"Yan","non-dropping-particle":"","parse-names":false,"suffix":""}],"id":"ITEM-1","issued":{"date-parts":[["2019"]]},"page":"1025-1035","title":"Effects of continuous care for patients with type 2 diabetes using mobile health application : A randomised controlled trial","type":"article-journal"},"uris":["http://www.mendeley.com/documents/?uuid=db413c49-48c4-47b0-a902-865ad0277b6e"]}],"mendeley":{"formattedCitation":"(88)","plainTextFormattedCitation":"(88)","previouslyFormattedCitation":"(87)"},"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(88)</w:t>
            </w:r>
            <w:r w:rsidRPr="00D82DB9">
              <w:rPr>
                <w:rFonts w:asciiTheme="majorHAnsi" w:eastAsia="Times New Roman" w:hAnsiTheme="majorHAnsi" w:cs="Times New Roman"/>
                <w:color w:val="000000" w:themeColor="text1"/>
                <w:sz w:val="20"/>
                <w:szCs w:val="20"/>
                <w:lang w:val="en-GB"/>
              </w:rPr>
              <w:fldChar w:fldCharType="end"/>
            </w:r>
            <w:r w:rsidRPr="00D82DB9">
              <w:rPr>
                <w:rFonts w:asciiTheme="majorHAnsi" w:eastAsia="Times New Roman" w:hAnsiTheme="majorHAnsi" w:cs="Times New Roman"/>
                <w:color w:val="000000" w:themeColor="text1"/>
                <w:sz w:val="20"/>
                <w:szCs w:val="20"/>
                <w:lang w:val="en-GB"/>
              </w:rPr>
              <w:t xml:space="preserve"> </w:t>
            </w:r>
          </w:p>
        </w:tc>
        <w:tc>
          <w:tcPr>
            <w:tcW w:w="715" w:type="dxa"/>
          </w:tcPr>
          <w:p w14:paraId="1B658730" w14:textId="2413A088" w:rsidR="0084409D" w:rsidRPr="00D82DB9" w:rsidRDefault="0084409D" w:rsidP="0084409D">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0024BAA" wp14:editId="131D6C76">
                  <wp:extent cx="161778" cy="161778"/>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20" w:type="dxa"/>
          </w:tcPr>
          <w:p w14:paraId="73ED18A5" w14:textId="6AD6AB14" w:rsidR="0084409D" w:rsidRPr="00D82DB9" w:rsidRDefault="0084409D" w:rsidP="0084409D">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86E11A8" wp14:editId="41A82961">
                  <wp:extent cx="161778" cy="161778"/>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51F3CE59" w14:textId="6B4855C9" w:rsidR="0084409D" w:rsidRPr="00D82DB9" w:rsidRDefault="0084409D" w:rsidP="0084409D">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51100145" wp14:editId="6E0D9AA4">
                  <wp:extent cx="189297" cy="18288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c>
          <w:tcPr>
            <w:tcW w:w="540" w:type="dxa"/>
          </w:tcPr>
          <w:p w14:paraId="11400E91" w14:textId="2E6FBA57" w:rsidR="0084409D" w:rsidRPr="00D82DB9" w:rsidRDefault="0084409D" w:rsidP="0084409D">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0F4C6590" wp14:editId="00E10382">
                  <wp:extent cx="161778" cy="161778"/>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51C27F9C" w14:textId="53503C8F" w:rsidR="0084409D" w:rsidRPr="00D82DB9" w:rsidRDefault="0084409D" w:rsidP="0084409D">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8302BD7" wp14:editId="7B0EC000">
                  <wp:extent cx="161778" cy="161778"/>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2DA65CEA" w14:textId="7FE8CB96" w:rsidR="0084409D" w:rsidRPr="00D82DB9" w:rsidRDefault="0084409D" w:rsidP="0084409D">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0D748FB" wp14:editId="7E179906">
                  <wp:extent cx="161778" cy="161778"/>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62473D4B" w14:textId="41BDA0C0" w:rsidR="0084409D" w:rsidRPr="00D82DB9" w:rsidRDefault="0084409D" w:rsidP="0084409D">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22CCC596" wp14:editId="24C4CB2F">
                  <wp:extent cx="189297" cy="18288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652" cy="189020"/>
                          </a:xfrm>
                          <a:prstGeom prst="rect">
                            <a:avLst/>
                          </a:prstGeom>
                          <a:noFill/>
                          <a:ln>
                            <a:noFill/>
                          </a:ln>
                        </pic:spPr>
                      </pic:pic>
                    </a:graphicData>
                  </a:graphic>
                </wp:inline>
              </w:drawing>
            </w:r>
          </w:p>
        </w:tc>
      </w:tr>
      <w:tr w:rsidR="000F55D3" w:rsidRPr="00D82DB9" w14:paraId="67237BA2" w14:textId="2A466ABD" w:rsidTr="0084409D">
        <w:trPr>
          <w:trHeight w:val="67"/>
        </w:trPr>
        <w:tc>
          <w:tcPr>
            <w:tcW w:w="2700" w:type="dxa"/>
          </w:tcPr>
          <w:p w14:paraId="2AAA3BD9" w14:textId="3C0727AF" w:rsidR="000F55D3" w:rsidRPr="00D82DB9" w:rsidRDefault="000F55D3" w:rsidP="000F55D3">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 xml:space="preserve">Yasmin </w:t>
            </w:r>
            <w:r w:rsidRPr="00D82DB9">
              <w:rPr>
                <w:rFonts w:asciiTheme="majorHAnsi" w:eastAsia="Times New Roman" w:hAnsiTheme="majorHAnsi" w:cs="Times New Roman"/>
                <w:i/>
                <w:color w:val="000000" w:themeColor="text1"/>
                <w:sz w:val="20"/>
                <w:szCs w:val="20"/>
                <w:lang w:val="en-GB"/>
              </w:rPr>
              <w:t>et al</w:t>
            </w:r>
            <w:r w:rsidRPr="00D82DB9">
              <w:rPr>
                <w:rFonts w:asciiTheme="majorHAnsi" w:eastAsia="Times New Roman" w:hAnsiTheme="majorHAnsi" w:cs="Times New Roman"/>
                <w:color w:val="000000" w:themeColor="text1"/>
                <w:sz w:val="20"/>
                <w:szCs w:val="20"/>
                <w:lang w:val="en-GB"/>
              </w:rPr>
              <w:t xml:space="preserve">.  </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{"citationItems":[{"id":"ITEM-1","itemData":{"DOI":"10.1186/s12913-020-05387-z","ISSN":"14726963","PMID":"32513164","abstract":"Background: In 2017, 80% of 425 million adults with diabetes worldwide were living in low and middle-income countries. Diabetes affected 6.9 million adults in Bangladesh and accounted for 3% of the country's total mortality. Proper management of diabetes is the key to positive health outcomes. This study investigated how mobile phone-based health intervention could increase patient adherence and thereby improve the disease outcomes for diabetes type 2 in Bangladesh. Methods: A mobile phone-based health project (including mobile phone reminders and 24/7 call center) was implemented in Dhaka District, Bangladesh from January to December 2014. A randomized control trial was carried out, recruiting randomly in intervention and control groups among the patients receiving treatment for type 2 diabetes at the Bangladesh Institute of Health Sciences Hospital, Dhaka, Bangladesh. A total of 320 patients from both groups at baseline and 273 at endline were interviewed. Results: A significant improvement in patient adherence to diet, physical exercise, the cessation of use of tobacco and betel nut, and blood glycaemic control was found in the intervention group, whereas no such significant improvement was found in the control group. Cost and other co-morbidities were found to be the main reasons for non-adherence. Conclusion: A mobile-health intervention should be considered as an additional option for non-communicable disease programs.","author":[{"dropping-particle":"","family":"Yasmin","given":"Farzana","non-dropping-particle":"","parse-names":false,"suffix":""},{"dropping-particle":"","family":"Yasmin","given":"Farzana","non-dropping-particle":"","parse-names":false,"suffix":""},{"dropping-particle":"","family":"Nahar","given":"Nazmun","non-dropping-particle":"","parse-names":false,"suffix":""},{"dropping-particle":"","family":"Banu","given":"Bilkis","non-dropping-particle":"","parse-names":false,"suffix":""},{"dropping-particle":"","family":"Ali","given":"Liaquat","non-dropping-particle":"","parse-names":false,"suffix":""},{"dropping-particle":"","family":"Sauerborn","given":"Rainer","non-dropping-particle":"","parse-names":false,"suffix":""},{"dropping-particle":"","family":"Souares","given":"Aurélia","non-dropping-particle":"","parse-names":false,"suffix":""}],"container-title":"BMC Health Services Research","id":"ITEM-1","issue":"1","issued":{"date-parts":[["2020"]]},"page":"1-12","publisher":"BMC Health Services Research","title":"The influence of mobile phone-based health reminders on patient adherence to medications and healthy lifestyle recommendations for effective management of diabetes type 2: A randomized control trial in Dhaka, Bangladesh","type":"article-journal","volume":"20"},"uris":["http://www.mendeley.com/documents/?uuid=862e564b-97ea-4d01-99a4-c9c1f3f6eba9"]}],"mendeley":{"formattedCitation":"(89)","plainTextFormattedCitation":"(89)","previouslyFormattedCitation":"(88)"},"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(89)</w:t>
            </w:r>
            <w:r w:rsidRPr="00D82DB9">
              <w:rPr>
                <w:rFonts w:asciiTheme="majorHAnsi" w:eastAsia="Times New Roman" w:hAnsiTheme="majorHAnsi" w:cs="Times New Roman"/>
                <w:color w:val="000000" w:themeColor="text1"/>
                <w:sz w:val="20"/>
                <w:szCs w:val="20"/>
                <w:lang w:val="en-GB"/>
              </w:rPr>
              <w:fldChar w:fldCharType="end"/>
            </w:r>
          </w:p>
        </w:tc>
        <w:tc>
          <w:tcPr>
            <w:tcW w:w="715" w:type="dxa"/>
          </w:tcPr>
          <w:p w14:paraId="1541FA14" w14:textId="46733DDF" w:rsidR="000F55D3" w:rsidRPr="00D82DB9" w:rsidRDefault="000F55D3" w:rsidP="000F55D3">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E197B56" wp14:editId="429D7E97">
                  <wp:extent cx="161778" cy="161778"/>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20" w:type="dxa"/>
          </w:tcPr>
          <w:p w14:paraId="09512678" w14:textId="2F0E335C" w:rsidR="000F55D3" w:rsidRPr="00D82DB9" w:rsidRDefault="000F55D3" w:rsidP="000F55D3">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ED5155B" wp14:editId="5FA12218">
                  <wp:extent cx="161778" cy="161778"/>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787" w:type="dxa"/>
          </w:tcPr>
          <w:p w14:paraId="5B4A352C" w14:textId="43A5CAFC" w:rsidR="000F55D3" w:rsidRPr="00D82DB9" w:rsidRDefault="000F55D3" w:rsidP="000F55D3">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A68FE56" wp14:editId="38F20C73">
                  <wp:extent cx="161778" cy="161778"/>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540" w:type="dxa"/>
          </w:tcPr>
          <w:p w14:paraId="48E6D12B" w14:textId="38D45E23" w:rsidR="000F55D3" w:rsidRPr="00D82DB9" w:rsidRDefault="000F55D3" w:rsidP="000F55D3">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462C2DB2" wp14:editId="27E1DC5C">
                  <wp:extent cx="161778" cy="161778"/>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653" w:type="dxa"/>
          </w:tcPr>
          <w:p w14:paraId="599FA0B2" w14:textId="1ECF6EF8" w:rsidR="000F55D3" w:rsidRPr="00D82DB9" w:rsidRDefault="000F55D3" w:rsidP="000F55D3">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16E0E6C1" wp14:editId="4D01389A">
                  <wp:extent cx="161778" cy="161778"/>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5BE4A407" w14:textId="42E55884" w:rsidR="000F55D3" w:rsidRPr="00D82DB9" w:rsidRDefault="000F55D3" w:rsidP="000F55D3">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7381A15B" wp14:editId="4F18255B">
                  <wp:extent cx="161778" cy="161778"/>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450" w:type="dxa"/>
          </w:tcPr>
          <w:p w14:paraId="6D7598CD" w14:textId="6C5DF34A" w:rsidR="000F55D3" w:rsidRPr="00D82DB9" w:rsidRDefault="000F55D3" w:rsidP="000F55D3">
            <w:pPr>
              <w:spacing w:after="0"/>
              <w:rPr>
                <w:rFonts w:asciiTheme="majorHAnsi" w:eastAsia="Times New Roman" w:hAnsiTheme="majorHAnsi" w:cs="Times New Roman"/>
                <w:color w:val="000000" w:themeColor="text1"/>
                <w:sz w:val="20"/>
                <w:szCs w:val="20"/>
                <w:lang w:val="en-GB"/>
              </w:rPr>
            </w:pPr>
            <w:r w:rsidRPr="00D82DB9">
              <w:rPr>
                <w:noProof/>
                <w:color w:val="000000" w:themeColor="text1"/>
              </w:rPr>
              <w:drawing>
                <wp:inline distT="0" distB="0" distL="0" distR="0" wp14:anchorId="6B4B58EA" wp14:editId="449EECBD">
                  <wp:extent cx="161778" cy="161778"/>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r>
      <w:tr w:rsidR="000F55D3" w:rsidRPr="00D82DB9" w14:paraId="258E9B12" w14:textId="63AE26BC" w:rsidTr="0084409D">
        <w:trPr>
          <w:trHeight w:val="50"/>
        </w:trPr>
        <w:tc>
          <w:tcPr>
            <w:tcW w:w="2700" w:type="dxa"/>
            <w:hideMark/>
          </w:tcPr>
          <w:p w14:paraId="704FF9F5" w14:textId="4694E52C" w:rsidR="000F55D3" w:rsidRPr="00D82DB9" w:rsidRDefault="000F55D3" w:rsidP="000F55D3">
            <w:pPr>
              <w:spacing w:after="0"/>
              <w:rPr>
                <w:rFonts w:asciiTheme="majorHAnsi" w:eastAsia="Times New Roman" w:hAnsiTheme="majorHAnsi" w:cs="Times New Roman"/>
                <w:bCs/>
                <w:color w:val="000000" w:themeColor="text1"/>
                <w:sz w:val="20"/>
                <w:szCs w:val="20"/>
                <w:lang w:val="en-GB"/>
              </w:rPr>
            </w:pPr>
            <w:r w:rsidRPr="00D82DB9">
              <w:rPr>
                <w:rFonts w:asciiTheme="majorHAnsi" w:eastAsia="Times New Roman" w:hAnsiTheme="majorHAnsi" w:cs="Times New Roman"/>
                <w:color w:val="000000" w:themeColor="text1"/>
                <w:sz w:val="20"/>
                <w:szCs w:val="20"/>
                <w:lang w:val="en-GB"/>
              </w:rPr>
              <w:t>Zhou et al.</w:t>
            </w:r>
            <w:r w:rsidRPr="00D82DB9" w:rsidDel="00BC01F6">
              <w:rPr>
                <w:rFonts w:asciiTheme="majorHAnsi" w:eastAsia="Times New Roman" w:hAnsiTheme="majorHAnsi" w:cs="Times New Roman"/>
                <w:color w:val="000000" w:themeColor="text1"/>
                <w:sz w:val="20"/>
                <w:szCs w:val="20"/>
                <w:lang w:val="en-GB"/>
              </w:rPr>
              <w:t xml:space="preserve"> </w:t>
            </w:r>
            <w:r w:rsidRPr="00D82DB9">
              <w:rPr>
                <w:rFonts w:asciiTheme="majorHAnsi" w:eastAsia="Times New Roman" w:hAnsiTheme="majorHAnsi" w:cs="Times New Roman"/>
                <w:color w:val="000000" w:themeColor="text1"/>
                <w:sz w:val="20"/>
                <w:szCs w:val="20"/>
                <w:lang w:val="en-GB"/>
              </w:rPr>
              <w:fldChar w:fldCharType="begin" w:fldLock="1"/>
            </w:r>
            <w:r w:rsidRPr="00D82DB9">
              <w:rPr>
                <w:rFonts w:asciiTheme="majorHAnsi" w:eastAsia="Times New Roman" w:hAnsiTheme="majorHAnsi" w:cs="Times New Roman"/>
                <w:bCs/>
                <w:color w:val="000000" w:themeColor="text1"/>
                <w:sz w:val="20"/>
                <w:szCs w:val="20"/>
                <w:lang w:val="en-GB"/>
              </w:rPr>
              <w:instrText>ADDIN CSL_CITATION {"citationItems":[{"id":"ITEM-1","itemData":{"DOI":"10.1016/j.diabres.2016.03.018","author":[{"dropping-particle":"","family":"Zhou","given":"W","non-dropping-particle":"","parse-names":false,"suffix":""},{"dropping-particle":"","family":"Chen","given":"M","non-dropping-particle":"","parse-names":false,"suffix":""},{"dropping-particle":"","family":"Yuan","given":"J","non-dropping-particle":"","parse-names":false,"suffix":""},{"dropping-particle":"","family":"Sun","given":"Y","non-dropping-particle":"","parse-names":false,"suffix":""}],"container-title":"Diabetes Research and Clinical Practice","id":"ITEM-1","issued":{"date-parts":[["2016"]]},"note":"Cited By :22\n\nExport Date: 3 October 2019","page":"105-110","title":"Welltang - A smart phone-based diabetes management application - Improves blood glucose control in Chinese people with diabetes","type":"article-journal","volume":"116"},"uris":["http://www.mendeley.com/documents/?uuid=777fc311-5e69-487a-a7b8-6554b679ed10"]}],"mendeley":{"formattedCitation":"(63)","plainTextFormattedCitation":"(63)","previouslyFormattedCitation":"(70)"},"properties":{"noteIndex":0},"schema":"https://github.com/citation-style-language/schema/raw/master/csl-citation.json"}</w:instrText>
            </w:r>
            <w:r w:rsidRPr="00D82DB9">
              <w:rPr>
                <w:rFonts w:asciiTheme="majorHAnsi" w:eastAsia="Times New Roman" w:hAnsiTheme="majorHAnsi" w:cs="Times New Roman"/>
                <w:color w:val="000000" w:themeColor="text1"/>
                <w:sz w:val="20"/>
                <w:szCs w:val="20"/>
                <w:lang w:val="en-GB"/>
              </w:rPr>
              <w:fldChar w:fldCharType="separate"/>
            </w:r>
            <w:r w:rsidRPr="00D82DB9">
              <w:rPr>
                <w:rFonts w:asciiTheme="majorHAnsi" w:eastAsia="Times New Roman" w:hAnsiTheme="majorHAnsi" w:cs="Times New Roman"/>
                <w:bCs/>
                <w:noProof/>
                <w:color w:val="000000" w:themeColor="text1"/>
                <w:sz w:val="20"/>
                <w:szCs w:val="20"/>
                <w:lang w:val="en-GB"/>
              </w:rPr>
              <w:t>(63)</w:t>
            </w:r>
            <w:r w:rsidRPr="00D82DB9">
              <w:rPr>
                <w:rFonts w:asciiTheme="majorHAnsi" w:eastAsia="Times New Roman" w:hAnsiTheme="majorHAnsi" w:cs="Times New Roman"/>
                <w:color w:val="000000" w:themeColor="text1"/>
                <w:sz w:val="20"/>
                <w:szCs w:val="20"/>
                <w:lang w:val="en-GB"/>
              </w:rPr>
              <w:fldChar w:fldCharType="end"/>
            </w:r>
          </w:p>
          <w:p w14:paraId="47351068" w14:textId="77777777" w:rsidR="000F55D3" w:rsidRPr="00D82DB9" w:rsidRDefault="000F55D3" w:rsidP="000F55D3">
            <w:pPr>
              <w:spacing w:after="0"/>
              <w:rPr>
                <w:rFonts w:asciiTheme="majorHAnsi" w:eastAsia="Times New Roman" w:hAnsiTheme="majorHAnsi" w:cs="Times New Roman"/>
                <w:bCs/>
                <w:color w:val="000000" w:themeColor="text1"/>
                <w:sz w:val="20"/>
                <w:szCs w:val="20"/>
                <w:lang w:val="en-GB"/>
              </w:rPr>
            </w:pPr>
          </w:p>
        </w:tc>
        <w:tc>
          <w:tcPr>
            <w:tcW w:w="715" w:type="dxa"/>
          </w:tcPr>
          <w:p w14:paraId="34571447" w14:textId="77777777" w:rsidR="000F55D3" w:rsidRPr="00D82DB9" w:rsidRDefault="000F55D3" w:rsidP="000F55D3">
            <w:pPr>
              <w:spacing w:after="0"/>
              <w:rPr>
                <w:rFonts w:asciiTheme="majorHAnsi" w:eastAsia="Times New Roman" w:hAnsiTheme="majorHAnsi" w:cs="Times New Roman"/>
                <w:color w:val="000000" w:themeColor="text1"/>
                <w:sz w:val="20"/>
                <w:szCs w:val="20"/>
                <w:lang w:val="en-GB"/>
              </w:rPr>
            </w:pPr>
          </w:p>
        </w:tc>
        <w:tc>
          <w:tcPr>
            <w:tcW w:w="720" w:type="dxa"/>
          </w:tcPr>
          <w:p w14:paraId="198BEF57" w14:textId="77777777" w:rsidR="000F55D3" w:rsidRPr="00D82DB9" w:rsidRDefault="000F55D3" w:rsidP="000F55D3">
            <w:pPr>
              <w:spacing w:after="0"/>
              <w:rPr>
                <w:rFonts w:asciiTheme="majorHAnsi" w:eastAsia="Times New Roman" w:hAnsiTheme="majorHAnsi" w:cs="Times New Roman"/>
                <w:color w:val="000000" w:themeColor="text1"/>
                <w:sz w:val="20"/>
                <w:szCs w:val="20"/>
                <w:lang w:val="en-GB"/>
              </w:rPr>
            </w:pPr>
          </w:p>
        </w:tc>
        <w:tc>
          <w:tcPr>
            <w:tcW w:w="787" w:type="dxa"/>
          </w:tcPr>
          <w:p w14:paraId="64CF4142" w14:textId="77777777" w:rsidR="000F55D3" w:rsidRPr="00D82DB9" w:rsidRDefault="000F55D3" w:rsidP="000F55D3">
            <w:pPr>
              <w:spacing w:after="0"/>
              <w:rPr>
                <w:rFonts w:asciiTheme="majorHAnsi" w:eastAsia="Times New Roman" w:hAnsiTheme="majorHAnsi" w:cs="Times New Roman"/>
                <w:color w:val="000000" w:themeColor="text1"/>
                <w:sz w:val="20"/>
                <w:szCs w:val="20"/>
                <w:lang w:val="en-GB"/>
              </w:rPr>
            </w:pPr>
          </w:p>
        </w:tc>
        <w:tc>
          <w:tcPr>
            <w:tcW w:w="540" w:type="dxa"/>
          </w:tcPr>
          <w:p w14:paraId="7E0773D7" w14:textId="77777777" w:rsidR="000F55D3" w:rsidRPr="00D82DB9" w:rsidRDefault="000F55D3" w:rsidP="000F55D3">
            <w:pPr>
              <w:spacing w:after="0"/>
              <w:rPr>
                <w:rFonts w:asciiTheme="majorHAnsi" w:eastAsia="Times New Roman" w:hAnsiTheme="majorHAnsi" w:cs="Times New Roman"/>
                <w:color w:val="000000" w:themeColor="text1"/>
                <w:sz w:val="20"/>
                <w:szCs w:val="20"/>
                <w:lang w:val="en-GB"/>
              </w:rPr>
            </w:pPr>
          </w:p>
        </w:tc>
        <w:tc>
          <w:tcPr>
            <w:tcW w:w="653" w:type="dxa"/>
          </w:tcPr>
          <w:p w14:paraId="72E261D6" w14:textId="77777777" w:rsidR="000F55D3" w:rsidRPr="00D82DB9" w:rsidRDefault="000F55D3" w:rsidP="000F55D3">
            <w:pPr>
              <w:spacing w:after="0"/>
              <w:rPr>
                <w:rFonts w:asciiTheme="majorHAnsi" w:eastAsia="Times New Roman" w:hAnsiTheme="majorHAnsi" w:cs="Times New Roman"/>
                <w:color w:val="000000" w:themeColor="text1"/>
                <w:sz w:val="20"/>
                <w:szCs w:val="20"/>
                <w:lang w:val="en-GB"/>
              </w:rPr>
            </w:pPr>
          </w:p>
        </w:tc>
        <w:tc>
          <w:tcPr>
            <w:tcW w:w="450" w:type="dxa"/>
          </w:tcPr>
          <w:p w14:paraId="71D03684" w14:textId="77777777" w:rsidR="000F55D3" w:rsidRPr="00D82DB9" w:rsidRDefault="000F55D3" w:rsidP="000F55D3">
            <w:pPr>
              <w:spacing w:after="0"/>
              <w:rPr>
                <w:rFonts w:asciiTheme="majorHAnsi" w:eastAsia="Times New Roman" w:hAnsiTheme="majorHAnsi" w:cs="Times New Roman"/>
                <w:color w:val="000000" w:themeColor="text1"/>
                <w:sz w:val="20"/>
                <w:szCs w:val="20"/>
                <w:lang w:val="en-GB"/>
              </w:rPr>
            </w:pPr>
          </w:p>
        </w:tc>
        <w:tc>
          <w:tcPr>
            <w:tcW w:w="450" w:type="dxa"/>
          </w:tcPr>
          <w:p w14:paraId="5BC855D2" w14:textId="77777777" w:rsidR="000F55D3" w:rsidRPr="00D82DB9" w:rsidRDefault="000F55D3" w:rsidP="000F55D3">
            <w:pPr>
              <w:spacing w:after="0"/>
              <w:rPr>
                <w:rFonts w:asciiTheme="majorHAnsi" w:eastAsia="Times New Roman" w:hAnsiTheme="majorHAnsi" w:cs="Times New Roman"/>
                <w:color w:val="000000" w:themeColor="text1"/>
                <w:sz w:val="20"/>
                <w:szCs w:val="20"/>
                <w:lang w:val="en-GB"/>
              </w:rPr>
            </w:pPr>
          </w:p>
        </w:tc>
      </w:tr>
    </w:tbl>
    <w:p w14:paraId="330CCFF7" w14:textId="3EA809D0" w:rsidR="00997369" w:rsidRDefault="00997369"/>
    <w:p w14:paraId="4F8D4BF9" w14:textId="77777777" w:rsidR="00890C21" w:rsidRDefault="00890C21"/>
    <w:p w14:paraId="190CB2FB" w14:textId="77777777" w:rsidR="008B34AC" w:rsidRDefault="008B34AC" w:rsidP="008B34AC">
      <w:pPr>
        <w:pStyle w:val="ListParagraph"/>
        <w:numPr>
          <w:ilvl w:val="0"/>
          <w:numId w:val="6"/>
        </w:numPr>
      </w:pPr>
      <w:r>
        <w:lastRenderedPageBreak/>
        <w:t>Domain 1a. Randomization Process</w:t>
      </w:r>
      <w:r>
        <w:tab/>
      </w:r>
    </w:p>
    <w:p w14:paraId="4BD1A106" w14:textId="77777777" w:rsidR="008B34AC" w:rsidRDefault="008B34AC" w:rsidP="008B34AC">
      <w:pPr>
        <w:pStyle w:val="ListParagraph"/>
        <w:numPr>
          <w:ilvl w:val="0"/>
          <w:numId w:val="6"/>
        </w:numPr>
      </w:pPr>
      <w:r>
        <w:t xml:space="preserve">Domain 1b. Timing of identification or recruitment of participants </w:t>
      </w:r>
      <w:r>
        <w:tab/>
      </w:r>
    </w:p>
    <w:p w14:paraId="2AF1E7B0" w14:textId="173AF4E5" w:rsidR="008B34AC" w:rsidRDefault="008B34AC" w:rsidP="008B34AC">
      <w:pPr>
        <w:pStyle w:val="ListParagraph"/>
        <w:numPr>
          <w:ilvl w:val="0"/>
          <w:numId w:val="6"/>
        </w:numPr>
      </w:pPr>
      <w:r>
        <w:t>Domain 2. Deviations from intended interventions</w:t>
      </w:r>
    </w:p>
    <w:p w14:paraId="1D522288" w14:textId="441B46FC" w:rsidR="008B34AC" w:rsidRDefault="008B34AC" w:rsidP="008B34AC">
      <w:pPr>
        <w:pStyle w:val="ListParagraph"/>
        <w:numPr>
          <w:ilvl w:val="0"/>
          <w:numId w:val="6"/>
        </w:numPr>
      </w:pPr>
      <w:r>
        <w:t>Domain 3. Missing Outcome data</w:t>
      </w:r>
    </w:p>
    <w:p w14:paraId="73037BD7" w14:textId="657F0949" w:rsidR="008B34AC" w:rsidRDefault="008B34AC" w:rsidP="008B34AC">
      <w:pPr>
        <w:pStyle w:val="ListParagraph"/>
        <w:numPr>
          <w:ilvl w:val="0"/>
          <w:numId w:val="6"/>
        </w:numPr>
      </w:pPr>
      <w:r>
        <w:t>Domain 4. Measures of Outcome</w:t>
      </w:r>
    </w:p>
    <w:p w14:paraId="338A27BC" w14:textId="77777777" w:rsidR="008B34AC" w:rsidRDefault="008B34AC" w:rsidP="008B34AC">
      <w:pPr>
        <w:pStyle w:val="ListParagraph"/>
        <w:numPr>
          <w:ilvl w:val="0"/>
          <w:numId w:val="6"/>
        </w:numPr>
      </w:pPr>
      <w:r>
        <w:t>Domain 5. Selection of reported result</w:t>
      </w:r>
      <w:r>
        <w:tab/>
      </w:r>
    </w:p>
    <w:p w14:paraId="3D49AF64" w14:textId="5A2D638F" w:rsidR="004A6159" w:rsidRDefault="008B34AC" w:rsidP="004A6159">
      <w:pPr>
        <w:pStyle w:val="ListParagraph"/>
        <w:numPr>
          <w:ilvl w:val="0"/>
          <w:numId w:val="6"/>
        </w:numPr>
      </w:pPr>
      <w:r>
        <w:t>Overall bias</w:t>
      </w:r>
    </w:p>
    <w:p w14:paraId="64820420" w14:textId="77777777" w:rsidR="007803D8" w:rsidRPr="007803D8" w:rsidRDefault="007803D8" w:rsidP="007803D8">
      <w:pPr>
        <w:pStyle w:val="ListParagraph"/>
        <w:rPr>
          <w:b/>
          <w:bCs/>
        </w:rPr>
      </w:pPr>
      <w:r w:rsidRPr="007803D8">
        <w:rPr>
          <w:b/>
          <w:bCs/>
        </w:rPr>
        <w:t>Key</w:t>
      </w:r>
    </w:p>
    <w:tbl>
      <w:tblPr>
        <w:tblStyle w:val="TableGrid"/>
        <w:tblW w:w="0" w:type="auto"/>
        <w:tblInd w:w="720" w:type="dxa"/>
        <w:tblLook w:val="04A0" w:firstRow="1" w:lastRow="0" w:firstColumn="1" w:lastColumn="0" w:noHBand="0" w:noVBand="1"/>
      </w:tblPr>
      <w:tblGrid>
        <w:gridCol w:w="625"/>
        <w:gridCol w:w="2070"/>
      </w:tblGrid>
      <w:tr w:rsidR="007803D8" w14:paraId="6F5468FE" w14:textId="77777777" w:rsidTr="000D40CA">
        <w:tc>
          <w:tcPr>
            <w:tcW w:w="625" w:type="dxa"/>
          </w:tcPr>
          <w:p w14:paraId="653B05BF" w14:textId="5D0642AF" w:rsidR="007803D8" w:rsidRDefault="007803D8" w:rsidP="007803D8">
            <w:pPr>
              <w:pStyle w:val="ListParagraph"/>
              <w:ind w:left="0"/>
              <w:rPr>
                <w:b/>
                <w:bCs/>
              </w:rPr>
            </w:pPr>
            <w:r w:rsidRPr="000549A4">
              <w:rPr>
                <w:noProof/>
              </w:rPr>
              <w:drawing>
                <wp:inline distT="0" distB="0" distL="0" distR="0" wp14:anchorId="543918CD" wp14:editId="5C497A14">
                  <wp:extent cx="161778" cy="16177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87" cy="165587"/>
                          </a:xfrm>
                          <a:prstGeom prst="rect">
                            <a:avLst/>
                          </a:prstGeom>
                          <a:noFill/>
                          <a:ln>
                            <a:noFill/>
                          </a:ln>
                        </pic:spPr>
                      </pic:pic>
                    </a:graphicData>
                  </a:graphic>
                </wp:inline>
              </w:drawing>
            </w:r>
          </w:p>
        </w:tc>
        <w:tc>
          <w:tcPr>
            <w:tcW w:w="2070" w:type="dxa"/>
          </w:tcPr>
          <w:p w14:paraId="24586CD8" w14:textId="539F4822" w:rsidR="007803D8" w:rsidRDefault="007803D8" w:rsidP="007803D8">
            <w:pPr>
              <w:pStyle w:val="ListParagraph"/>
              <w:ind w:left="0"/>
              <w:rPr>
                <w:b/>
                <w:bCs/>
              </w:rPr>
            </w:pPr>
            <w:r>
              <w:t xml:space="preserve">Low risk of bias       </w:t>
            </w:r>
          </w:p>
        </w:tc>
      </w:tr>
      <w:tr w:rsidR="007803D8" w14:paraId="1CCDCA66" w14:textId="77777777" w:rsidTr="000D40CA">
        <w:tc>
          <w:tcPr>
            <w:tcW w:w="625" w:type="dxa"/>
          </w:tcPr>
          <w:p w14:paraId="144CBFE7" w14:textId="7C5E42D6" w:rsidR="007803D8" w:rsidRDefault="000D40CA" w:rsidP="007803D8">
            <w:pPr>
              <w:pStyle w:val="ListParagraph"/>
              <w:ind w:left="0"/>
              <w:rPr>
                <w:b/>
                <w:bCs/>
              </w:rPr>
            </w:pPr>
            <w:r w:rsidRPr="000549A4">
              <w:rPr>
                <w:noProof/>
              </w:rPr>
              <w:drawing>
                <wp:inline distT="0" distB="0" distL="0" distR="0" wp14:anchorId="47370A4C" wp14:editId="6768C8B0">
                  <wp:extent cx="168812" cy="16881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003" cy="171003"/>
                          </a:xfrm>
                          <a:prstGeom prst="rect">
                            <a:avLst/>
                          </a:prstGeom>
                          <a:noFill/>
                          <a:ln>
                            <a:noFill/>
                          </a:ln>
                        </pic:spPr>
                      </pic:pic>
                    </a:graphicData>
                  </a:graphic>
                </wp:inline>
              </w:drawing>
            </w:r>
          </w:p>
        </w:tc>
        <w:tc>
          <w:tcPr>
            <w:tcW w:w="2070" w:type="dxa"/>
          </w:tcPr>
          <w:p w14:paraId="5F6ABC7C" w14:textId="5B8A4B89" w:rsidR="007803D8" w:rsidRDefault="000D40CA" w:rsidP="007803D8">
            <w:pPr>
              <w:pStyle w:val="ListParagraph"/>
              <w:ind w:left="0"/>
              <w:rPr>
                <w:b/>
                <w:bCs/>
              </w:rPr>
            </w:pPr>
            <w:r>
              <w:t>High risk of bias</w:t>
            </w:r>
          </w:p>
        </w:tc>
      </w:tr>
      <w:tr w:rsidR="007803D8" w14:paraId="78011401" w14:textId="77777777" w:rsidTr="000D40CA">
        <w:tc>
          <w:tcPr>
            <w:tcW w:w="625" w:type="dxa"/>
          </w:tcPr>
          <w:p w14:paraId="1DDA6D5E" w14:textId="558D1A5E" w:rsidR="007803D8" w:rsidRDefault="000D40CA" w:rsidP="007803D8">
            <w:pPr>
              <w:pStyle w:val="ListParagraph"/>
              <w:ind w:left="0"/>
              <w:rPr>
                <w:b/>
                <w:bCs/>
              </w:rPr>
            </w:pPr>
            <w:r w:rsidRPr="000549A4">
              <w:rPr>
                <w:noProof/>
              </w:rPr>
              <w:drawing>
                <wp:inline distT="0" distB="0" distL="0" distR="0" wp14:anchorId="21397386" wp14:editId="3E167B57">
                  <wp:extent cx="168275" cy="162571"/>
                  <wp:effectExtent l="0" t="0" r="317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5185" cy="169246"/>
                          </a:xfrm>
                          <a:prstGeom prst="rect">
                            <a:avLst/>
                          </a:prstGeom>
                          <a:noFill/>
                          <a:ln>
                            <a:noFill/>
                          </a:ln>
                        </pic:spPr>
                      </pic:pic>
                    </a:graphicData>
                  </a:graphic>
                </wp:inline>
              </w:drawing>
            </w:r>
          </w:p>
        </w:tc>
        <w:tc>
          <w:tcPr>
            <w:tcW w:w="2070" w:type="dxa"/>
          </w:tcPr>
          <w:p w14:paraId="5FA27F78" w14:textId="3B48984E" w:rsidR="007803D8" w:rsidRDefault="000D40CA" w:rsidP="007803D8">
            <w:pPr>
              <w:pStyle w:val="ListParagraph"/>
              <w:ind w:left="0"/>
              <w:rPr>
                <w:b/>
                <w:bCs/>
              </w:rPr>
            </w:pPr>
            <w:r>
              <w:t>Unclear risk of bias</w:t>
            </w:r>
          </w:p>
        </w:tc>
      </w:tr>
    </w:tbl>
    <w:p w14:paraId="24D5F45C" w14:textId="2F90E3DB" w:rsidR="007803D8" w:rsidRPr="007803D8" w:rsidRDefault="007803D8" w:rsidP="007803D8">
      <w:pPr>
        <w:pStyle w:val="ListParagraph"/>
        <w:rPr>
          <w:b/>
          <w:bCs/>
        </w:rPr>
      </w:pPr>
    </w:p>
    <w:p w14:paraId="2ACED32B" w14:textId="19611E2D" w:rsidR="000549A4" w:rsidRDefault="000549A4" w:rsidP="007803D8">
      <w:pPr>
        <w:pStyle w:val="ListParagraph"/>
        <w:ind w:left="0"/>
      </w:pPr>
      <w:r>
        <w:t xml:space="preserve">    </w:t>
      </w:r>
      <w:r w:rsidR="007803D8">
        <w:tab/>
      </w:r>
      <w:r>
        <w:t xml:space="preserve"> </w:t>
      </w:r>
    </w:p>
    <w:p w14:paraId="691B38EE" w14:textId="7EB6297E" w:rsidR="00997369" w:rsidRDefault="00997369" w:rsidP="00997369"/>
    <w:p w14:paraId="11A5D9EF" w14:textId="0C873D55" w:rsidR="000549A4" w:rsidRDefault="007803D8" w:rsidP="00997369">
      <w:r>
        <w:tab/>
        <w:t xml:space="preserve"> </w:t>
      </w:r>
    </w:p>
    <w:p w14:paraId="7D143E99" w14:textId="0D95F40A" w:rsidR="000549A4" w:rsidRDefault="000549A4" w:rsidP="00997369"/>
    <w:sectPr w:rsidR="000549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7.5pt;height:27.5pt;visibility:visible;mso-wrap-style:square" o:bullet="t">
        <v:imagedata r:id="rId1" o:title=""/>
      </v:shape>
    </w:pict>
  </w:numPicBullet>
  <w:abstractNum w:abstractNumId="0" w15:restartNumberingAfterBreak="0">
    <w:nsid w:val="08E90861"/>
    <w:multiLevelType w:val="hybridMultilevel"/>
    <w:tmpl w:val="1632FB7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905DDC"/>
    <w:multiLevelType w:val="hybridMultilevel"/>
    <w:tmpl w:val="1632FB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C84AA3"/>
    <w:multiLevelType w:val="hybridMultilevel"/>
    <w:tmpl w:val="FEB8892A"/>
    <w:lvl w:ilvl="0" w:tplc="877AB3C8">
      <w:start w:val="1"/>
      <w:numFmt w:val="bullet"/>
      <w:lvlText w:val=""/>
      <w:lvlPicBulletId w:val="0"/>
      <w:lvlJc w:val="left"/>
      <w:pPr>
        <w:tabs>
          <w:tab w:val="num" w:pos="720"/>
        </w:tabs>
        <w:ind w:left="720" w:hanging="360"/>
      </w:pPr>
      <w:rPr>
        <w:rFonts w:ascii="Symbol" w:hAnsi="Symbol" w:hint="default"/>
      </w:rPr>
    </w:lvl>
    <w:lvl w:ilvl="1" w:tplc="F29604C2" w:tentative="1">
      <w:start w:val="1"/>
      <w:numFmt w:val="bullet"/>
      <w:lvlText w:val=""/>
      <w:lvlJc w:val="left"/>
      <w:pPr>
        <w:tabs>
          <w:tab w:val="num" w:pos="1440"/>
        </w:tabs>
        <w:ind w:left="1440" w:hanging="360"/>
      </w:pPr>
      <w:rPr>
        <w:rFonts w:ascii="Symbol" w:hAnsi="Symbol" w:hint="default"/>
      </w:rPr>
    </w:lvl>
    <w:lvl w:ilvl="2" w:tplc="C7C431B4" w:tentative="1">
      <w:start w:val="1"/>
      <w:numFmt w:val="bullet"/>
      <w:lvlText w:val=""/>
      <w:lvlJc w:val="left"/>
      <w:pPr>
        <w:tabs>
          <w:tab w:val="num" w:pos="2160"/>
        </w:tabs>
        <w:ind w:left="2160" w:hanging="360"/>
      </w:pPr>
      <w:rPr>
        <w:rFonts w:ascii="Symbol" w:hAnsi="Symbol" w:hint="default"/>
      </w:rPr>
    </w:lvl>
    <w:lvl w:ilvl="3" w:tplc="42087F40" w:tentative="1">
      <w:start w:val="1"/>
      <w:numFmt w:val="bullet"/>
      <w:lvlText w:val=""/>
      <w:lvlJc w:val="left"/>
      <w:pPr>
        <w:tabs>
          <w:tab w:val="num" w:pos="2880"/>
        </w:tabs>
        <w:ind w:left="2880" w:hanging="360"/>
      </w:pPr>
      <w:rPr>
        <w:rFonts w:ascii="Symbol" w:hAnsi="Symbol" w:hint="default"/>
      </w:rPr>
    </w:lvl>
    <w:lvl w:ilvl="4" w:tplc="3E769B80" w:tentative="1">
      <w:start w:val="1"/>
      <w:numFmt w:val="bullet"/>
      <w:lvlText w:val=""/>
      <w:lvlJc w:val="left"/>
      <w:pPr>
        <w:tabs>
          <w:tab w:val="num" w:pos="3600"/>
        </w:tabs>
        <w:ind w:left="3600" w:hanging="360"/>
      </w:pPr>
      <w:rPr>
        <w:rFonts w:ascii="Symbol" w:hAnsi="Symbol" w:hint="default"/>
      </w:rPr>
    </w:lvl>
    <w:lvl w:ilvl="5" w:tplc="F840404E" w:tentative="1">
      <w:start w:val="1"/>
      <w:numFmt w:val="bullet"/>
      <w:lvlText w:val=""/>
      <w:lvlJc w:val="left"/>
      <w:pPr>
        <w:tabs>
          <w:tab w:val="num" w:pos="4320"/>
        </w:tabs>
        <w:ind w:left="4320" w:hanging="360"/>
      </w:pPr>
      <w:rPr>
        <w:rFonts w:ascii="Symbol" w:hAnsi="Symbol" w:hint="default"/>
      </w:rPr>
    </w:lvl>
    <w:lvl w:ilvl="6" w:tplc="69403176" w:tentative="1">
      <w:start w:val="1"/>
      <w:numFmt w:val="bullet"/>
      <w:lvlText w:val=""/>
      <w:lvlJc w:val="left"/>
      <w:pPr>
        <w:tabs>
          <w:tab w:val="num" w:pos="5040"/>
        </w:tabs>
        <w:ind w:left="5040" w:hanging="360"/>
      </w:pPr>
      <w:rPr>
        <w:rFonts w:ascii="Symbol" w:hAnsi="Symbol" w:hint="default"/>
      </w:rPr>
    </w:lvl>
    <w:lvl w:ilvl="7" w:tplc="EA0ECEB0" w:tentative="1">
      <w:start w:val="1"/>
      <w:numFmt w:val="bullet"/>
      <w:lvlText w:val=""/>
      <w:lvlJc w:val="left"/>
      <w:pPr>
        <w:tabs>
          <w:tab w:val="num" w:pos="5760"/>
        </w:tabs>
        <w:ind w:left="5760" w:hanging="360"/>
      </w:pPr>
      <w:rPr>
        <w:rFonts w:ascii="Symbol" w:hAnsi="Symbol" w:hint="default"/>
      </w:rPr>
    </w:lvl>
    <w:lvl w:ilvl="8" w:tplc="AEB8667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37916AD7"/>
    <w:multiLevelType w:val="hybridMultilevel"/>
    <w:tmpl w:val="0D76DF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D16778"/>
    <w:multiLevelType w:val="hybridMultilevel"/>
    <w:tmpl w:val="659202B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D177CF1"/>
    <w:multiLevelType w:val="hybridMultilevel"/>
    <w:tmpl w:val="EECA81FE"/>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0E423EB"/>
    <w:multiLevelType w:val="hybridMultilevel"/>
    <w:tmpl w:val="B00E7A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1"/>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369"/>
    <w:rsid w:val="0005361A"/>
    <w:rsid w:val="000549A4"/>
    <w:rsid w:val="00085748"/>
    <w:rsid w:val="000C30F9"/>
    <w:rsid w:val="000D40CA"/>
    <w:rsid w:val="000F55D3"/>
    <w:rsid w:val="00154F6A"/>
    <w:rsid w:val="001C0630"/>
    <w:rsid w:val="00292D18"/>
    <w:rsid w:val="002D75CC"/>
    <w:rsid w:val="00324AF9"/>
    <w:rsid w:val="003620FA"/>
    <w:rsid w:val="00371F34"/>
    <w:rsid w:val="003840E9"/>
    <w:rsid w:val="003C05C0"/>
    <w:rsid w:val="003C44FA"/>
    <w:rsid w:val="00445FA1"/>
    <w:rsid w:val="004A6159"/>
    <w:rsid w:val="004C4DFA"/>
    <w:rsid w:val="004C6D88"/>
    <w:rsid w:val="00515981"/>
    <w:rsid w:val="00520F9B"/>
    <w:rsid w:val="00546FDD"/>
    <w:rsid w:val="005775CD"/>
    <w:rsid w:val="00675D5B"/>
    <w:rsid w:val="00695E1F"/>
    <w:rsid w:val="007803D8"/>
    <w:rsid w:val="00826CA0"/>
    <w:rsid w:val="0084409D"/>
    <w:rsid w:val="0088122D"/>
    <w:rsid w:val="00890C21"/>
    <w:rsid w:val="008B34AC"/>
    <w:rsid w:val="008D7346"/>
    <w:rsid w:val="00905C9F"/>
    <w:rsid w:val="0095243C"/>
    <w:rsid w:val="009528B0"/>
    <w:rsid w:val="00997369"/>
    <w:rsid w:val="009D5831"/>
    <w:rsid w:val="009E500A"/>
    <w:rsid w:val="00A2497A"/>
    <w:rsid w:val="00B142A5"/>
    <w:rsid w:val="00B34EE7"/>
    <w:rsid w:val="00CC7FD6"/>
    <w:rsid w:val="00CD4784"/>
    <w:rsid w:val="00D27D32"/>
    <w:rsid w:val="00D82DB9"/>
    <w:rsid w:val="00D97D5A"/>
    <w:rsid w:val="00E413F7"/>
    <w:rsid w:val="00E47D7C"/>
    <w:rsid w:val="00E869BF"/>
    <w:rsid w:val="00EB2F88"/>
    <w:rsid w:val="00F00D77"/>
    <w:rsid w:val="00FC3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4B135"/>
  <w15:docId w15:val="{F68E6BA0-7B0F-4E44-97D7-E8BF93EB5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7369"/>
    <w:pPr>
      <w:ind w:left="720"/>
      <w:contextualSpacing/>
    </w:pPr>
  </w:style>
  <w:style w:type="table" w:styleId="TableGrid">
    <w:name w:val="Table Grid"/>
    <w:basedOn w:val="TableNormal"/>
    <w:uiPriority w:val="39"/>
    <w:rsid w:val="007803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1233</TotalTime>
  <Pages>2</Pages>
  <Words>10676</Words>
  <Characters>60858</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dc:creator>
  <cp:keywords/>
  <dc:description/>
  <cp:lastModifiedBy>Moses</cp:lastModifiedBy>
  <cp:revision>9</cp:revision>
  <dcterms:created xsi:type="dcterms:W3CDTF">2021-11-28T13:18:00Z</dcterms:created>
  <dcterms:modified xsi:type="dcterms:W3CDTF">2021-12-16T12:23:00Z</dcterms:modified>
</cp:coreProperties>
</file>