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9F51" w14:textId="377DAC6B" w:rsidR="00944DEB" w:rsidRPr="0053279E" w:rsidRDefault="00664F9C">
      <w:pPr>
        <w:rPr>
          <w:sz w:val="24"/>
          <w:szCs w:val="24"/>
          <w:lang w:val="en-US"/>
        </w:rPr>
      </w:pPr>
      <w:r>
        <w:rPr>
          <w:b/>
          <w:bCs/>
          <w:sz w:val="24"/>
          <w:szCs w:val="24"/>
          <w:lang w:val="en-US"/>
        </w:rPr>
        <w:t>Additional file</w:t>
      </w:r>
      <w:r w:rsidR="007F356E">
        <w:rPr>
          <w:b/>
          <w:bCs/>
          <w:sz w:val="24"/>
          <w:szCs w:val="24"/>
          <w:lang w:val="en-US"/>
        </w:rPr>
        <w:t xml:space="preserve"> 1</w:t>
      </w:r>
      <w:r w:rsidR="0053279E" w:rsidRPr="0053279E">
        <w:rPr>
          <w:b/>
          <w:bCs/>
          <w:sz w:val="24"/>
          <w:szCs w:val="24"/>
          <w:lang w:val="en-US"/>
        </w:rPr>
        <w:t>.</w:t>
      </w:r>
      <w:r w:rsidR="0053279E" w:rsidRPr="0053279E">
        <w:rPr>
          <w:sz w:val="24"/>
          <w:szCs w:val="24"/>
          <w:lang w:val="en-US"/>
        </w:rPr>
        <w:t xml:space="preserve"> </w:t>
      </w:r>
      <w:bookmarkStart w:id="0" w:name="_Hlk114988098"/>
      <w:r w:rsidR="0053279E" w:rsidRPr="0053279E">
        <w:rPr>
          <w:sz w:val="24"/>
          <w:szCs w:val="24"/>
          <w:lang w:val="en-US"/>
        </w:rPr>
        <w:t>Search strategy and search terms used in PubMed</w:t>
      </w:r>
      <w:bookmarkEnd w:id="0"/>
      <w:r w:rsidR="0053279E" w:rsidRPr="0053279E">
        <w:rPr>
          <w:sz w:val="24"/>
          <w:szCs w:val="24"/>
          <w:lang w:val="en-US"/>
        </w:rPr>
        <w:t>.</w:t>
      </w:r>
    </w:p>
    <w:p w14:paraId="55FBB5E8" w14:textId="347E6B56" w:rsidR="0053279E" w:rsidRPr="0053279E" w:rsidRDefault="0053279E">
      <w:pPr>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02"/>
      </w:tblGrid>
      <w:tr w:rsidR="00C436F1" w:rsidRPr="00845F18" w14:paraId="6E0770BB" w14:textId="77777777" w:rsidTr="00183263">
        <w:trPr>
          <w:trHeight w:val="492"/>
        </w:trPr>
        <w:tc>
          <w:tcPr>
            <w:tcW w:w="2808" w:type="dxa"/>
            <w:tcBorders>
              <w:top w:val="single" w:sz="4" w:space="0" w:color="auto"/>
            </w:tcBorders>
          </w:tcPr>
          <w:p w14:paraId="192E0575" w14:textId="77777777" w:rsidR="00C436F1" w:rsidRPr="00845F18" w:rsidRDefault="00C436F1" w:rsidP="00183263">
            <w:pPr>
              <w:jc w:val="both"/>
              <w:rPr>
                <w:rFonts w:ascii="Calibri" w:hAnsi="Calibri"/>
              </w:rPr>
            </w:pPr>
            <w:bookmarkStart w:id="1" w:name="_Hlk67406623"/>
            <w:r w:rsidRPr="00845F18">
              <w:rPr>
                <w:rFonts w:ascii="Calibri" w:hAnsi="Calibri"/>
              </w:rPr>
              <w:t>#1</w:t>
            </w:r>
            <w:r>
              <w:rPr>
                <w:rFonts w:ascii="Calibri" w:hAnsi="Calibri"/>
              </w:rPr>
              <w:t xml:space="preserve"> Vegetable</w:t>
            </w:r>
          </w:p>
        </w:tc>
        <w:tc>
          <w:tcPr>
            <w:tcW w:w="6002" w:type="dxa"/>
            <w:tcBorders>
              <w:top w:val="single" w:sz="4" w:space="0" w:color="auto"/>
            </w:tcBorders>
          </w:tcPr>
          <w:p w14:paraId="15941C1E" w14:textId="77777777" w:rsidR="00C436F1" w:rsidRPr="001C4627" w:rsidRDefault="00C436F1" w:rsidP="00183263">
            <w:pPr>
              <w:spacing w:before="100" w:beforeAutospacing="1" w:after="100" w:afterAutospacing="1" w:line="25" w:lineRule="atLeast"/>
              <w:rPr>
                <w:rFonts w:ascii="Calibri" w:hAnsi="Calibri" w:cs="Arial"/>
              </w:rPr>
            </w:pPr>
            <w:r>
              <w:rPr>
                <w:rFonts w:ascii="Calibri" w:hAnsi="Calibri"/>
                <w:bCs/>
              </w:rPr>
              <w:t>vegetable* [</w:t>
            </w:r>
            <w:proofErr w:type="spellStart"/>
            <w:r>
              <w:rPr>
                <w:rFonts w:ascii="Calibri" w:hAnsi="Calibri"/>
                <w:bCs/>
              </w:rPr>
              <w:t>MeSH</w:t>
            </w:r>
            <w:proofErr w:type="spellEnd"/>
            <w:r>
              <w:rPr>
                <w:rFonts w:ascii="Calibri" w:hAnsi="Calibri"/>
                <w:bCs/>
              </w:rPr>
              <w:t xml:space="preserve">] OR vegetable*[Title/Abstract] </w:t>
            </w:r>
          </w:p>
        </w:tc>
      </w:tr>
      <w:tr w:rsidR="00C436F1" w:rsidRPr="00BC4990" w14:paraId="2F38B506" w14:textId="77777777" w:rsidTr="00183263">
        <w:trPr>
          <w:trHeight w:val="851"/>
        </w:trPr>
        <w:tc>
          <w:tcPr>
            <w:tcW w:w="2808" w:type="dxa"/>
            <w:tcBorders>
              <w:top w:val="nil"/>
            </w:tcBorders>
          </w:tcPr>
          <w:p w14:paraId="2E7C9ADD" w14:textId="77777777" w:rsidR="00C436F1" w:rsidRPr="00845F18" w:rsidRDefault="00C436F1" w:rsidP="00183263">
            <w:pPr>
              <w:jc w:val="both"/>
              <w:rPr>
                <w:rFonts w:ascii="Calibri" w:hAnsi="Calibri"/>
              </w:rPr>
            </w:pPr>
            <w:r w:rsidRPr="00845F18">
              <w:rPr>
                <w:rFonts w:ascii="Calibri" w:hAnsi="Calibri"/>
              </w:rPr>
              <w:t>#</w:t>
            </w:r>
            <w:r>
              <w:rPr>
                <w:rFonts w:ascii="Calibri" w:hAnsi="Calibri"/>
              </w:rPr>
              <w:t>2</w:t>
            </w:r>
            <w:r w:rsidRPr="00845F18">
              <w:rPr>
                <w:rFonts w:ascii="Calibri" w:hAnsi="Calibri"/>
              </w:rPr>
              <w:t xml:space="preserve"> Population</w:t>
            </w:r>
          </w:p>
        </w:tc>
        <w:tc>
          <w:tcPr>
            <w:tcW w:w="6002" w:type="dxa"/>
            <w:tcBorders>
              <w:top w:val="nil"/>
            </w:tcBorders>
          </w:tcPr>
          <w:p w14:paraId="7D4DDD88" w14:textId="77777777" w:rsidR="00C436F1" w:rsidRPr="00BC4990" w:rsidRDefault="00C436F1" w:rsidP="00183263">
            <w:pPr>
              <w:spacing w:before="100" w:beforeAutospacing="1" w:after="100" w:afterAutospacing="1" w:line="25" w:lineRule="atLeast"/>
              <w:rPr>
                <w:rFonts w:ascii="Calibri" w:hAnsi="Calibri"/>
                <w:bCs/>
                <w:lang w:val="en-US"/>
              </w:rPr>
            </w:pPr>
            <w:proofErr w:type="spellStart"/>
            <w:r w:rsidRPr="00680EA3">
              <w:rPr>
                <w:rFonts w:ascii="Calibri" w:hAnsi="Calibri"/>
                <w:bCs/>
                <w:lang w:val="en-US"/>
              </w:rPr>
              <w:t>a</w:t>
            </w:r>
            <w:r>
              <w:rPr>
                <w:rFonts w:ascii="Calibri" w:hAnsi="Calibri"/>
                <w:bCs/>
                <w:lang w:val="en-US"/>
              </w:rPr>
              <w:t>dolescen</w:t>
            </w:r>
            <w:proofErr w:type="spellEnd"/>
            <w:r>
              <w:rPr>
                <w:rFonts w:ascii="Calibri" w:hAnsi="Calibri"/>
                <w:bCs/>
                <w:lang w:val="en-US"/>
              </w:rPr>
              <w:t>*[</w:t>
            </w:r>
            <w:proofErr w:type="spellStart"/>
            <w:r>
              <w:rPr>
                <w:rFonts w:ascii="Calibri" w:hAnsi="Calibri"/>
                <w:bCs/>
                <w:lang w:val="en-US"/>
              </w:rPr>
              <w:t>MeSH</w:t>
            </w:r>
            <w:proofErr w:type="spellEnd"/>
            <w:r>
              <w:rPr>
                <w:rFonts w:ascii="Calibri" w:hAnsi="Calibri"/>
                <w:bCs/>
                <w:lang w:val="en-US"/>
              </w:rPr>
              <w:t xml:space="preserve">] OR </w:t>
            </w:r>
            <w:proofErr w:type="spellStart"/>
            <w:r>
              <w:rPr>
                <w:rFonts w:ascii="Calibri" w:hAnsi="Calibri"/>
                <w:bCs/>
                <w:lang w:val="en-US"/>
              </w:rPr>
              <w:t>adolescen</w:t>
            </w:r>
            <w:proofErr w:type="spellEnd"/>
            <w:r>
              <w:rPr>
                <w:rFonts w:ascii="Calibri" w:hAnsi="Calibri"/>
                <w:bCs/>
                <w:lang w:val="en-US"/>
              </w:rPr>
              <w:t>*</w:t>
            </w:r>
            <w:r w:rsidRPr="00BC4990">
              <w:rPr>
                <w:rFonts w:ascii="Calibri" w:hAnsi="Calibri"/>
                <w:bCs/>
                <w:lang w:val="en-US"/>
              </w:rPr>
              <w:t>[Title/Abstract] OR teen</w:t>
            </w:r>
            <w:r>
              <w:rPr>
                <w:rFonts w:ascii="Calibri" w:hAnsi="Calibri"/>
                <w:bCs/>
                <w:lang w:val="en-US"/>
              </w:rPr>
              <w:t>*[Title/Abstract]</w:t>
            </w:r>
            <w:r w:rsidRPr="00BC4990">
              <w:rPr>
                <w:rFonts w:ascii="Calibri" w:hAnsi="Calibri"/>
                <w:bCs/>
                <w:lang w:val="en-US"/>
              </w:rPr>
              <w:t xml:space="preserve"> OR youth</w:t>
            </w:r>
            <w:r>
              <w:rPr>
                <w:rFonts w:ascii="Calibri" w:hAnsi="Calibri"/>
                <w:bCs/>
                <w:lang w:val="en-US"/>
              </w:rPr>
              <w:t>*</w:t>
            </w:r>
            <w:r w:rsidRPr="00BC4990">
              <w:rPr>
                <w:rFonts w:ascii="Calibri" w:hAnsi="Calibri"/>
                <w:bCs/>
                <w:lang w:val="en-US"/>
              </w:rPr>
              <w:t>[Title/Abstract]</w:t>
            </w:r>
          </w:p>
        </w:tc>
      </w:tr>
      <w:tr w:rsidR="00C436F1" w:rsidRPr="007D69F7" w14:paraId="1D22D09E" w14:textId="77777777" w:rsidTr="00183263">
        <w:trPr>
          <w:trHeight w:val="851"/>
        </w:trPr>
        <w:tc>
          <w:tcPr>
            <w:tcW w:w="2808" w:type="dxa"/>
            <w:tcBorders>
              <w:top w:val="nil"/>
            </w:tcBorders>
          </w:tcPr>
          <w:p w14:paraId="2D858285" w14:textId="07C180C7" w:rsidR="00C436F1" w:rsidRPr="00F15B45" w:rsidRDefault="00C436F1" w:rsidP="00183263">
            <w:pPr>
              <w:jc w:val="both"/>
              <w:rPr>
                <w:rFonts w:ascii="Calibri" w:hAnsi="Calibri"/>
                <w:lang w:val="en-US"/>
              </w:rPr>
            </w:pPr>
            <w:r w:rsidRPr="00F15B45">
              <w:rPr>
                <w:rFonts w:ascii="Calibri" w:hAnsi="Calibri"/>
                <w:lang w:val="en-US"/>
              </w:rPr>
              <w:t>#3</w:t>
            </w:r>
            <w:r>
              <w:rPr>
                <w:rFonts w:ascii="Calibri" w:hAnsi="Calibri"/>
                <w:lang w:val="en-US"/>
              </w:rPr>
              <w:t xml:space="preserve"> Q</w:t>
            </w:r>
            <w:r w:rsidRPr="00C436F1">
              <w:rPr>
                <w:rFonts w:cstheme="minorHAnsi"/>
                <w:lang w:val="en-US"/>
              </w:rPr>
              <w:t>ualitative methods and methodologies</w:t>
            </w:r>
          </w:p>
        </w:tc>
        <w:tc>
          <w:tcPr>
            <w:tcW w:w="6002" w:type="dxa"/>
            <w:tcBorders>
              <w:top w:val="nil"/>
            </w:tcBorders>
          </w:tcPr>
          <w:p w14:paraId="75ECEBE6" w14:textId="77777777" w:rsidR="00C436F1" w:rsidRPr="0003495B" w:rsidRDefault="00C436F1" w:rsidP="00183263">
            <w:pPr>
              <w:pStyle w:val="p1"/>
              <w:rPr>
                <w:rFonts w:ascii="Calibri" w:hAnsi="Calibri"/>
                <w:sz w:val="24"/>
                <w:szCs w:val="24"/>
                <w:lang w:val="en-US"/>
              </w:rPr>
            </w:pPr>
            <w:proofErr w:type="gramStart"/>
            <w:r w:rsidRPr="0057328C">
              <w:rPr>
                <w:rFonts w:ascii="Calibri" w:hAnsi="Calibri"/>
                <w:sz w:val="24"/>
                <w:szCs w:val="24"/>
                <w:lang w:val="en-US"/>
              </w:rPr>
              <w:t>anthropology</w:t>
            </w:r>
            <w:r w:rsidRPr="0003495B">
              <w:rPr>
                <w:rFonts w:ascii="Calibri" w:hAnsi="Calibri"/>
                <w:bCs/>
                <w:sz w:val="24"/>
                <w:szCs w:val="24"/>
                <w:lang w:val="en-US"/>
              </w:rPr>
              <w:t>[</w:t>
            </w:r>
            <w:proofErr w:type="gramEnd"/>
            <w:r w:rsidRPr="0003495B">
              <w:rPr>
                <w:rFonts w:ascii="Calibri" w:hAnsi="Calibri"/>
                <w:bCs/>
                <w:sz w:val="24"/>
                <w:szCs w:val="24"/>
                <w:lang w:val="en-US"/>
              </w:rPr>
              <w:t>Title/Abstract]</w:t>
            </w:r>
            <w:r w:rsidRPr="0057328C">
              <w:rPr>
                <w:rFonts w:ascii="Calibri" w:hAnsi="Calibri"/>
                <w:sz w:val="24"/>
                <w:szCs w:val="24"/>
                <w:lang w:val="en-US"/>
              </w:rPr>
              <w:t xml:space="preserve"> OR anthropologic*</w:t>
            </w:r>
            <w:r w:rsidRPr="0003495B">
              <w:rPr>
                <w:rFonts w:ascii="Calibri" w:hAnsi="Calibri"/>
                <w:bCs/>
                <w:sz w:val="24"/>
                <w:szCs w:val="24"/>
                <w:lang w:val="en-US"/>
              </w:rPr>
              <w:t>[Title/Abstract]</w:t>
            </w:r>
            <w:r w:rsidRPr="0057328C">
              <w:rPr>
                <w:rFonts w:ascii="Calibri" w:hAnsi="Calibri"/>
                <w:sz w:val="24"/>
                <w:szCs w:val="24"/>
                <w:lang w:val="en-US"/>
              </w:rPr>
              <w:t xml:space="preserve"> OR ethnography</w:t>
            </w:r>
            <w:r w:rsidRPr="0003495B">
              <w:rPr>
                <w:rFonts w:ascii="Calibri" w:hAnsi="Calibri"/>
                <w:bCs/>
                <w:sz w:val="24"/>
                <w:szCs w:val="24"/>
                <w:lang w:val="en-US"/>
              </w:rPr>
              <w:t>[Title/Abstract]</w:t>
            </w:r>
            <w:r w:rsidRPr="0057328C">
              <w:rPr>
                <w:rFonts w:ascii="Calibri" w:hAnsi="Calibri"/>
                <w:sz w:val="24"/>
                <w:szCs w:val="24"/>
                <w:lang w:val="en-US"/>
              </w:rPr>
              <w:t xml:space="preserve"> OR ethnographic*</w:t>
            </w:r>
            <w:r w:rsidRPr="0003495B">
              <w:rPr>
                <w:rFonts w:ascii="Calibri" w:hAnsi="Calibri"/>
                <w:bCs/>
                <w:sz w:val="24"/>
                <w:szCs w:val="24"/>
                <w:lang w:val="en-US"/>
              </w:rPr>
              <w:t>[Title/Abstract]</w:t>
            </w:r>
            <w:r w:rsidRPr="0057328C">
              <w:rPr>
                <w:rFonts w:ascii="Calibri" w:hAnsi="Calibri"/>
                <w:sz w:val="24"/>
                <w:szCs w:val="24"/>
                <w:lang w:val="en-US"/>
              </w:rPr>
              <w:t xml:space="preserve"> OR qualitative</w:t>
            </w:r>
            <w:r w:rsidRPr="0003495B">
              <w:rPr>
                <w:rFonts w:ascii="Calibri" w:hAnsi="Calibri"/>
                <w:bCs/>
                <w:sz w:val="24"/>
                <w:szCs w:val="24"/>
                <w:lang w:val="en-US"/>
              </w:rPr>
              <w:t>[Title/Abstract]</w:t>
            </w:r>
            <w:r w:rsidRPr="0057328C">
              <w:rPr>
                <w:rFonts w:ascii="Calibri" w:hAnsi="Calibri"/>
                <w:sz w:val="24"/>
                <w:szCs w:val="24"/>
                <w:lang w:val="en-US"/>
              </w:rPr>
              <w:t xml:space="preserve"> OR focus group*</w:t>
            </w:r>
            <w:r w:rsidRPr="0003495B">
              <w:rPr>
                <w:rFonts w:ascii="Calibri" w:hAnsi="Calibri"/>
                <w:bCs/>
                <w:sz w:val="24"/>
                <w:szCs w:val="24"/>
                <w:lang w:val="en-US"/>
              </w:rPr>
              <w:t>[Title/Abstract]</w:t>
            </w:r>
            <w:r w:rsidRPr="0057328C">
              <w:rPr>
                <w:rFonts w:ascii="Calibri" w:hAnsi="Calibri"/>
                <w:sz w:val="24"/>
                <w:szCs w:val="24"/>
                <w:lang w:val="en-US"/>
              </w:rPr>
              <w:t xml:space="preserve"> OR interview*</w:t>
            </w:r>
            <w:r w:rsidRPr="0003495B">
              <w:rPr>
                <w:rFonts w:ascii="Calibri" w:hAnsi="Calibri"/>
                <w:bCs/>
                <w:sz w:val="24"/>
                <w:szCs w:val="24"/>
                <w:lang w:val="en-US"/>
              </w:rPr>
              <w:t>[Title/Abstract]</w:t>
            </w:r>
          </w:p>
        </w:tc>
      </w:tr>
      <w:bookmarkEnd w:id="1"/>
      <w:tr w:rsidR="00C436F1" w:rsidRPr="009F7BAC" w14:paraId="195DB6A8" w14:textId="77777777" w:rsidTr="00183263">
        <w:trPr>
          <w:trHeight w:val="851"/>
        </w:trPr>
        <w:tc>
          <w:tcPr>
            <w:tcW w:w="2808" w:type="dxa"/>
          </w:tcPr>
          <w:p w14:paraId="5BA9ECD4" w14:textId="77777777" w:rsidR="00C436F1" w:rsidRPr="00845F18" w:rsidRDefault="00C436F1" w:rsidP="00183263">
            <w:pPr>
              <w:jc w:val="both"/>
              <w:rPr>
                <w:rFonts w:ascii="Calibri" w:hAnsi="Calibri"/>
              </w:rPr>
            </w:pPr>
            <w:r w:rsidRPr="00845F18">
              <w:rPr>
                <w:rFonts w:ascii="Calibri" w:hAnsi="Calibri"/>
              </w:rPr>
              <w:t>#</w:t>
            </w:r>
            <w:r>
              <w:rPr>
                <w:rFonts w:ascii="Calibri" w:hAnsi="Calibri"/>
              </w:rPr>
              <w:t>4</w:t>
            </w:r>
            <w:r w:rsidRPr="00845F18">
              <w:rPr>
                <w:rFonts w:ascii="Calibri" w:hAnsi="Calibri"/>
              </w:rPr>
              <w:t xml:space="preserve"> =</w:t>
            </w:r>
            <w:r>
              <w:rPr>
                <w:rFonts w:ascii="Calibri" w:hAnsi="Calibri"/>
              </w:rPr>
              <w:t xml:space="preserve"> #1 AND #2 AND #3 </w:t>
            </w:r>
          </w:p>
        </w:tc>
        <w:tc>
          <w:tcPr>
            <w:tcW w:w="6002" w:type="dxa"/>
          </w:tcPr>
          <w:p w14:paraId="20EF5A08" w14:textId="77777777" w:rsidR="00C436F1" w:rsidRPr="006E4852" w:rsidRDefault="00C436F1" w:rsidP="00183263">
            <w:pPr>
              <w:rPr>
                <w:lang w:val="en-US"/>
              </w:rPr>
            </w:pPr>
            <w:r w:rsidRPr="0057328C">
              <w:rPr>
                <w:rFonts w:ascii="Calibri" w:hAnsi="Calibri"/>
                <w:lang w:val="en-US"/>
              </w:rPr>
              <w:t>(((vegetable* [</w:t>
            </w:r>
            <w:proofErr w:type="spellStart"/>
            <w:r w:rsidRPr="0057328C">
              <w:rPr>
                <w:rFonts w:ascii="Calibri" w:hAnsi="Calibri"/>
                <w:lang w:val="en-US"/>
              </w:rPr>
              <w:t>MeSH</w:t>
            </w:r>
            <w:proofErr w:type="spellEnd"/>
            <w:r w:rsidRPr="0057328C">
              <w:rPr>
                <w:rFonts w:ascii="Calibri" w:hAnsi="Calibri"/>
                <w:lang w:val="en-US"/>
              </w:rPr>
              <w:t>] OR vegetable*[Title/Abstract])) AND (</w:t>
            </w:r>
            <w:proofErr w:type="spellStart"/>
            <w:r w:rsidRPr="0057328C">
              <w:rPr>
                <w:rFonts w:ascii="Calibri" w:hAnsi="Calibri"/>
                <w:lang w:val="en-US"/>
              </w:rPr>
              <w:t>adolescen</w:t>
            </w:r>
            <w:proofErr w:type="spellEnd"/>
            <w:r w:rsidRPr="0057328C">
              <w:rPr>
                <w:rFonts w:ascii="Calibri" w:hAnsi="Calibri"/>
                <w:lang w:val="en-US"/>
              </w:rPr>
              <w:t>*[</w:t>
            </w:r>
            <w:proofErr w:type="spellStart"/>
            <w:r w:rsidRPr="0057328C">
              <w:rPr>
                <w:rFonts w:ascii="Calibri" w:hAnsi="Calibri"/>
                <w:lang w:val="en-US"/>
              </w:rPr>
              <w:t>MeSH</w:t>
            </w:r>
            <w:proofErr w:type="spellEnd"/>
            <w:r w:rsidRPr="0057328C">
              <w:rPr>
                <w:rFonts w:ascii="Calibri" w:hAnsi="Calibri"/>
                <w:lang w:val="en-US"/>
              </w:rPr>
              <w:t xml:space="preserve">] OR </w:t>
            </w:r>
            <w:proofErr w:type="spellStart"/>
            <w:r w:rsidRPr="0057328C">
              <w:rPr>
                <w:rFonts w:ascii="Calibri" w:hAnsi="Calibri"/>
                <w:lang w:val="en-US"/>
              </w:rPr>
              <w:t>adolescen</w:t>
            </w:r>
            <w:proofErr w:type="spellEnd"/>
            <w:r w:rsidRPr="0057328C">
              <w:rPr>
                <w:rFonts w:ascii="Calibri" w:hAnsi="Calibri"/>
                <w:lang w:val="en-US"/>
              </w:rPr>
              <w:t>*[Title/Abstract] OR teen*[Title/Abstract] OR youth*[Title/Abstract])) AND (</w:t>
            </w:r>
            <w:proofErr w:type="gramStart"/>
            <w:r w:rsidRPr="0057328C">
              <w:rPr>
                <w:rFonts w:ascii="Calibri" w:hAnsi="Calibri"/>
                <w:lang w:val="en-US"/>
              </w:rPr>
              <w:t>anthropology[</w:t>
            </w:r>
            <w:proofErr w:type="gramEnd"/>
            <w:r w:rsidRPr="0057328C">
              <w:rPr>
                <w:rFonts w:ascii="Calibri" w:hAnsi="Calibri"/>
                <w:lang w:val="en-US"/>
              </w:rPr>
              <w:t>Title/Abstract] OR anthropologic*[Title/Abstract] OR ethnography[Title/Abstract] OR ethnographic*[Title/Abstract] OR qualitative[Title/Abstract] OR focus group*[Title/Abstract] OR interview*[Title/Abstract])</w:t>
            </w:r>
          </w:p>
        </w:tc>
      </w:tr>
      <w:tr w:rsidR="00C436F1" w:rsidRPr="00FC61FB" w14:paraId="5942576E" w14:textId="77777777" w:rsidTr="00183263">
        <w:trPr>
          <w:trHeight w:val="534"/>
        </w:trPr>
        <w:tc>
          <w:tcPr>
            <w:tcW w:w="2808" w:type="dxa"/>
          </w:tcPr>
          <w:p w14:paraId="3B350507" w14:textId="77777777" w:rsidR="00C436F1" w:rsidRPr="00845F18" w:rsidRDefault="00C436F1" w:rsidP="00183263">
            <w:pPr>
              <w:jc w:val="both"/>
              <w:rPr>
                <w:rFonts w:ascii="Calibri" w:hAnsi="Calibri"/>
              </w:rPr>
            </w:pPr>
            <w:r w:rsidRPr="00845F18">
              <w:rPr>
                <w:rFonts w:ascii="Calibri" w:hAnsi="Calibri"/>
              </w:rPr>
              <w:t>#</w:t>
            </w:r>
            <w:r>
              <w:rPr>
                <w:rFonts w:ascii="Calibri" w:hAnsi="Calibri"/>
              </w:rPr>
              <w:t>5</w:t>
            </w:r>
          </w:p>
        </w:tc>
        <w:tc>
          <w:tcPr>
            <w:tcW w:w="6002" w:type="dxa"/>
          </w:tcPr>
          <w:p w14:paraId="7C0EA7A5" w14:textId="77777777" w:rsidR="00C436F1" w:rsidRPr="00FC61FB" w:rsidRDefault="00C436F1" w:rsidP="00183263">
            <w:pPr>
              <w:jc w:val="both"/>
              <w:rPr>
                <w:rFonts w:ascii="Calibri" w:hAnsi="Calibri"/>
                <w:bCs/>
                <w:lang w:val="en-US"/>
              </w:rPr>
            </w:pPr>
            <w:r w:rsidRPr="00FC61FB">
              <w:rPr>
                <w:rFonts w:ascii="Calibri" w:hAnsi="Calibri"/>
                <w:bCs/>
                <w:lang w:val="en-US"/>
              </w:rPr>
              <w:t>Limit #4 to humans and English, Spanish</w:t>
            </w:r>
            <w:r>
              <w:rPr>
                <w:rFonts w:ascii="Calibri" w:hAnsi="Calibri"/>
                <w:bCs/>
                <w:lang w:val="en-US"/>
              </w:rPr>
              <w:t>, Catalan, French and Portuguese</w:t>
            </w:r>
          </w:p>
        </w:tc>
      </w:tr>
    </w:tbl>
    <w:p w14:paraId="5D4FB733" w14:textId="6B4C4887" w:rsidR="00C96C70" w:rsidRDefault="00C96C70" w:rsidP="00C11F6C">
      <w:pPr>
        <w:rPr>
          <w:sz w:val="24"/>
          <w:szCs w:val="24"/>
        </w:rPr>
      </w:pPr>
    </w:p>
    <w:p w14:paraId="2D16D84A" w14:textId="77777777" w:rsidR="00664F9C" w:rsidRDefault="00664F9C" w:rsidP="00C11F6C">
      <w:pPr>
        <w:rPr>
          <w:sz w:val="24"/>
          <w:szCs w:val="24"/>
        </w:rPr>
        <w:sectPr w:rsidR="00664F9C" w:rsidSect="00C11F6C">
          <w:pgSz w:w="11906" w:h="16838"/>
          <w:pgMar w:top="1440" w:right="1440" w:bottom="1440" w:left="1440" w:header="708" w:footer="708" w:gutter="0"/>
          <w:cols w:space="708"/>
          <w:docGrid w:linePitch="360"/>
        </w:sectPr>
      </w:pPr>
    </w:p>
    <w:p w14:paraId="68876411" w14:textId="10408D36" w:rsidR="00664F9C" w:rsidRPr="00664F9C" w:rsidRDefault="00664F9C" w:rsidP="00C11F6C">
      <w:pPr>
        <w:rPr>
          <w:b/>
          <w:bCs/>
          <w:sz w:val="24"/>
          <w:szCs w:val="24"/>
        </w:rPr>
      </w:pPr>
      <w:r w:rsidRPr="00664F9C">
        <w:rPr>
          <w:b/>
          <w:bCs/>
          <w:sz w:val="24"/>
          <w:szCs w:val="24"/>
        </w:rPr>
        <w:lastRenderedPageBreak/>
        <w:t>Additional file 2</w:t>
      </w:r>
    </w:p>
    <w:p w14:paraId="57758A73" w14:textId="573BB722" w:rsidR="00664F9C" w:rsidRDefault="00664F9C" w:rsidP="00664F9C">
      <w:pPr>
        <w:autoSpaceDE w:val="0"/>
        <w:autoSpaceDN w:val="0"/>
        <w:adjustRightInd w:val="0"/>
        <w:spacing w:after="0" w:line="240" w:lineRule="auto"/>
        <w:rPr>
          <w:rFonts w:cstheme="minorHAnsi"/>
          <w:sz w:val="24"/>
          <w:szCs w:val="24"/>
        </w:rPr>
      </w:pPr>
      <w:r w:rsidRPr="002E35DF">
        <w:rPr>
          <w:rFonts w:cstheme="minorHAnsi"/>
          <w:b/>
          <w:bCs/>
          <w:sz w:val="24"/>
          <w:szCs w:val="24"/>
        </w:rPr>
        <w:t>Table.</w:t>
      </w:r>
      <w:r w:rsidRPr="002E35DF">
        <w:rPr>
          <w:rFonts w:cstheme="minorHAnsi"/>
          <w:sz w:val="24"/>
          <w:szCs w:val="24"/>
        </w:rPr>
        <w:t xml:space="preserve"> </w:t>
      </w:r>
      <w:r>
        <w:rPr>
          <w:rFonts w:cstheme="minorHAnsi"/>
          <w:sz w:val="24"/>
          <w:szCs w:val="24"/>
        </w:rPr>
        <w:t>S</w:t>
      </w:r>
      <w:r w:rsidRPr="002E35DF">
        <w:rPr>
          <w:rFonts w:cstheme="minorHAnsi"/>
          <w:sz w:val="24"/>
          <w:szCs w:val="24"/>
        </w:rPr>
        <w:t>ummary table of findings</w:t>
      </w:r>
      <w:r>
        <w:rPr>
          <w:rFonts w:cstheme="minorHAnsi"/>
          <w:sz w:val="24"/>
          <w:szCs w:val="24"/>
        </w:rPr>
        <w:t xml:space="preserve">, </w:t>
      </w:r>
      <w:proofErr w:type="gramStart"/>
      <w:r>
        <w:rPr>
          <w:rFonts w:cstheme="minorHAnsi"/>
          <w:sz w:val="24"/>
          <w:szCs w:val="24"/>
        </w:rPr>
        <w:t>codes</w:t>
      </w:r>
      <w:proofErr w:type="gramEnd"/>
      <w:r>
        <w:rPr>
          <w:rFonts w:cstheme="minorHAnsi"/>
          <w:sz w:val="24"/>
          <w:szCs w:val="24"/>
        </w:rPr>
        <w:t xml:space="preserve"> </w:t>
      </w:r>
      <w:r w:rsidRPr="002E35DF">
        <w:rPr>
          <w:rFonts w:cstheme="minorHAnsi"/>
          <w:sz w:val="24"/>
          <w:szCs w:val="24"/>
        </w:rPr>
        <w:t>and themes</w:t>
      </w:r>
      <w:r>
        <w:rPr>
          <w:rFonts w:cstheme="minorHAnsi"/>
          <w:sz w:val="24"/>
          <w:szCs w:val="24"/>
        </w:rPr>
        <w:t xml:space="preserve"> (an example)</w:t>
      </w:r>
      <w:r w:rsidRPr="002E35DF">
        <w:rPr>
          <w:rFonts w:cstheme="minorHAnsi"/>
          <w:sz w:val="24"/>
          <w:szCs w:val="24"/>
        </w:rPr>
        <w:t>.</w:t>
      </w:r>
    </w:p>
    <w:p w14:paraId="1775FB7B" w14:textId="77D693AD" w:rsidR="00664F9C" w:rsidRDefault="00664F9C" w:rsidP="00C11F6C">
      <w:pPr>
        <w:rPr>
          <w:sz w:val="24"/>
          <w:szCs w:val="24"/>
        </w:rPr>
      </w:pPr>
    </w:p>
    <w:tbl>
      <w:tblPr>
        <w:tblW w:w="14548" w:type="dxa"/>
        <w:tblLayout w:type="fixed"/>
        <w:tblLook w:val="04A0" w:firstRow="1" w:lastRow="0" w:firstColumn="1" w:lastColumn="0" w:noHBand="0" w:noVBand="1"/>
      </w:tblPr>
      <w:tblGrid>
        <w:gridCol w:w="1555"/>
        <w:gridCol w:w="3969"/>
        <w:gridCol w:w="3402"/>
        <w:gridCol w:w="2126"/>
        <w:gridCol w:w="2126"/>
        <w:gridCol w:w="1134"/>
        <w:gridCol w:w="236"/>
      </w:tblGrid>
      <w:tr w:rsidR="00431DE3" w:rsidRPr="008F3CAE" w14:paraId="47575885" w14:textId="77777777" w:rsidTr="00431DE3">
        <w:trPr>
          <w:gridAfter w:val="1"/>
          <w:wAfter w:w="236" w:type="dxa"/>
          <w:trHeight w:val="300"/>
        </w:trPr>
        <w:tc>
          <w:tcPr>
            <w:tcW w:w="1555" w:type="dxa"/>
            <w:tcBorders>
              <w:top w:val="single" w:sz="4" w:space="0" w:color="auto"/>
              <w:left w:val="single" w:sz="4" w:space="0" w:color="auto"/>
              <w:bottom w:val="single" w:sz="4" w:space="0" w:color="auto"/>
              <w:right w:val="single" w:sz="4" w:space="0" w:color="auto"/>
            </w:tcBorders>
            <w:shd w:val="clear" w:color="000000" w:fill="BFBFBF"/>
            <w:noWrap/>
            <w:hideMark/>
          </w:tcPr>
          <w:p w14:paraId="6FBFF8B0"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Study</w:t>
            </w:r>
          </w:p>
        </w:tc>
        <w:tc>
          <w:tcPr>
            <w:tcW w:w="3969" w:type="dxa"/>
            <w:tcBorders>
              <w:top w:val="single" w:sz="4" w:space="0" w:color="auto"/>
              <w:left w:val="nil"/>
              <w:bottom w:val="single" w:sz="4" w:space="0" w:color="auto"/>
              <w:right w:val="single" w:sz="4" w:space="0" w:color="auto"/>
            </w:tcBorders>
            <w:shd w:val="clear" w:color="000000" w:fill="BFBFBF"/>
            <w:noWrap/>
            <w:hideMark/>
          </w:tcPr>
          <w:p w14:paraId="32B47AB0"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Text extracts</w:t>
            </w:r>
          </w:p>
        </w:tc>
        <w:tc>
          <w:tcPr>
            <w:tcW w:w="3402" w:type="dxa"/>
            <w:tcBorders>
              <w:top w:val="single" w:sz="4" w:space="0" w:color="auto"/>
              <w:left w:val="nil"/>
              <w:bottom w:val="single" w:sz="4" w:space="0" w:color="auto"/>
              <w:right w:val="single" w:sz="4" w:space="0" w:color="auto"/>
            </w:tcBorders>
            <w:shd w:val="clear" w:color="000000" w:fill="BFBFBF"/>
            <w:noWrap/>
            <w:hideMark/>
          </w:tcPr>
          <w:p w14:paraId="50D38A6D"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Quotes</w:t>
            </w:r>
          </w:p>
        </w:tc>
        <w:tc>
          <w:tcPr>
            <w:tcW w:w="2126" w:type="dxa"/>
            <w:tcBorders>
              <w:top w:val="single" w:sz="4" w:space="0" w:color="auto"/>
              <w:left w:val="nil"/>
              <w:bottom w:val="single" w:sz="4" w:space="0" w:color="auto"/>
              <w:right w:val="single" w:sz="4" w:space="0" w:color="auto"/>
            </w:tcBorders>
            <w:shd w:val="clear" w:color="000000" w:fill="BFBFBF"/>
            <w:noWrap/>
            <w:hideMark/>
          </w:tcPr>
          <w:p w14:paraId="5E72654B"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Codes</w:t>
            </w:r>
          </w:p>
        </w:tc>
        <w:tc>
          <w:tcPr>
            <w:tcW w:w="2126" w:type="dxa"/>
            <w:tcBorders>
              <w:top w:val="single" w:sz="4" w:space="0" w:color="auto"/>
              <w:left w:val="nil"/>
              <w:bottom w:val="single" w:sz="4" w:space="0" w:color="auto"/>
              <w:right w:val="single" w:sz="4" w:space="0" w:color="auto"/>
            </w:tcBorders>
            <w:shd w:val="clear" w:color="000000" w:fill="BFBFBF"/>
            <w:noWrap/>
            <w:hideMark/>
          </w:tcPr>
          <w:p w14:paraId="65A4C516"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Sub-themes</w:t>
            </w:r>
          </w:p>
        </w:tc>
        <w:tc>
          <w:tcPr>
            <w:tcW w:w="1134" w:type="dxa"/>
            <w:tcBorders>
              <w:top w:val="single" w:sz="4" w:space="0" w:color="auto"/>
              <w:left w:val="nil"/>
              <w:bottom w:val="single" w:sz="4" w:space="0" w:color="auto"/>
              <w:right w:val="single" w:sz="4" w:space="0" w:color="auto"/>
            </w:tcBorders>
            <w:shd w:val="clear" w:color="000000" w:fill="BFBFBF"/>
            <w:noWrap/>
            <w:hideMark/>
          </w:tcPr>
          <w:p w14:paraId="7D29CAD5"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Themes</w:t>
            </w:r>
          </w:p>
        </w:tc>
      </w:tr>
      <w:tr w:rsidR="00431DE3" w:rsidRPr="008F3CAE" w14:paraId="19DC34C3" w14:textId="77777777" w:rsidTr="00431DE3">
        <w:trPr>
          <w:gridAfter w:val="1"/>
          <w:wAfter w:w="236" w:type="dxa"/>
          <w:trHeight w:val="405"/>
        </w:trPr>
        <w:tc>
          <w:tcPr>
            <w:tcW w:w="1555" w:type="dxa"/>
            <w:tcBorders>
              <w:top w:val="nil"/>
              <w:left w:val="single" w:sz="4" w:space="0" w:color="auto"/>
              <w:bottom w:val="nil"/>
              <w:right w:val="single" w:sz="4" w:space="0" w:color="auto"/>
            </w:tcBorders>
            <w:shd w:val="clear" w:color="auto" w:fill="auto"/>
            <w:hideMark/>
          </w:tcPr>
          <w:p w14:paraId="7CEBCBFE"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Campbell, 2009</w:t>
            </w:r>
            <w:r w:rsidRPr="006D54C6">
              <w:rPr>
                <w:rFonts w:eastAsia="Times New Roman" w:cstheme="minorHAnsi"/>
                <w:b/>
                <w:bCs/>
                <w:color w:val="000000"/>
                <w:sz w:val="24"/>
                <w:szCs w:val="24"/>
                <w:lang w:eastAsia="en-IE"/>
              </w:rPr>
              <w:br/>
              <w:t>US</w:t>
            </w:r>
          </w:p>
        </w:tc>
        <w:tc>
          <w:tcPr>
            <w:tcW w:w="3969" w:type="dxa"/>
            <w:tcBorders>
              <w:top w:val="nil"/>
              <w:left w:val="nil"/>
              <w:bottom w:val="single" w:sz="4" w:space="0" w:color="auto"/>
              <w:right w:val="single" w:sz="4" w:space="0" w:color="auto"/>
            </w:tcBorders>
            <w:shd w:val="clear" w:color="auto" w:fill="auto"/>
            <w:hideMark/>
          </w:tcPr>
          <w:p w14:paraId="7CFDBBC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Most participants ate only salads that included lettuce and tomatoes or had this added to a sandwich at school lunch or a fast-food restaurant meal.</w:t>
            </w:r>
          </w:p>
        </w:tc>
        <w:tc>
          <w:tcPr>
            <w:tcW w:w="3402" w:type="dxa"/>
            <w:tcBorders>
              <w:top w:val="nil"/>
              <w:left w:val="nil"/>
              <w:bottom w:val="single" w:sz="4" w:space="0" w:color="auto"/>
              <w:right w:val="single" w:sz="4" w:space="0" w:color="auto"/>
            </w:tcBorders>
            <w:shd w:val="clear" w:color="auto" w:fill="auto"/>
            <w:noWrap/>
            <w:hideMark/>
          </w:tcPr>
          <w:p w14:paraId="2D194F02"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hideMark/>
          </w:tcPr>
          <w:p w14:paraId="3EF8BC7E" w14:textId="77777777" w:rsidR="00664F9C" w:rsidRPr="006D54C6" w:rsidRDefault="00664F9C" w:rsidP="004F658C">
            <w:pPr>
              <w:spacing w:after="24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Liking/preferences of limited vegetables</w:t>
            </w:r>
          </w:p>
        </w:tc>
        <w:tc>
          <w:tcPr>
            <w:tcW w:w="2126" w:type="dxa"/>
            <w:tcBorders>
              <w:top w:val="nil"/>
              <w:left w:val="nil"/>
              <w:bottom w:val="single" w:sz="4" w:space="0" w:color="auto"/>
              <w:right w:val="single" w:sz="4" w:space="0" w:color="auto"/>
            </w:tcBorders>
            <w:shd w:val="clear" w:color="auto" w:fill="auto"/>
            <w:hideMark/>
          </w:tcPr>
          <w:p w14:paraId="67641386"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nil"/>
              <w:left w:val="nil"/>
              <w:bottom w:val="single" w:sz="4" w:space="0" w:color="auto"/>
              <w:right w:val="single" w:sz="4" w:space="0" w:color="auto"/>
            </w:tcBorders>
            <w:shd w:val="clear" w:color="auto" w:fill="auto"/>
            <w:noWrap/>
            <w:hideMark/>
          </w:tcPr>
          <w:p w14:paraId="054DEF26"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r>
      <w:tr w:rsidR="00431DE3" w:rsidRPr="008F3CAE" w14:paraId="527E43ED" w14:textId="77777777" w:rsidTr="00431DE3">
        <w:trPr>
          <w:gridAfter w:val="1"/>
          <w:wAfter w:w="236" w:type="dxa"/>
          <w:trHeight w:val="900"/>
        </w:trPr>
        <w:tc>
          <w:tcPr>
            <w:tcW w:w="1555" w:type="dxa"/>
            <w:tcBorders>
              <w:top w:val="nil"/>
              <w:left w:val="single" w:sz="4" w:space="0" w:color="auto"/>
              <w:bottom w:val="nil"/>
              <w:right w:val="single" w:sz="4" w:space="0" w:color="auto"/>
            </w:tcBorders>
            <w:shd w:val="clear" w:color="auto" w:fill="auto"/>
            <w:noWrap/>
            <w:hideMark/>
          </w:tcPr>
          <w:p w14:paraId="2FE0D9E8"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nil"/>
              <w:left w:val="nil"/>
              <w:bottom w:val="single" w:sz="4" w:space="0" w:color="auto"/>
              <w:right w:val="single" w:sz="4" w:space="0" w:color="auto"/>
            </w:tcBorders>
            <w:shd w:val="clear" w:color="auto" w:fill="auto"/>
            <w:hideMark/>
          </w:tcPr>
          <w:p w14:paraId="6014748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Reasons for not eating vegetables included dislike of cooked vegetables or unavailability at home, and limited availability at school lunch.</w:t>
            </w:r>
          </w:p>
        </w:tc>
        <w:tc>
          <w:tcPr>
            <w:tcW w:w="3402" w:type="dxa"/>
            <w:tcBorders>
              <w:top w:val="nil"/>
              <w:left w:val="nil"/>
              <w:bottom w:val="single" w:sz="4" w:space="0" w:color="auto"/>
              <w:right w:val="single" w:sz="4" w:space="0" w:color="auto"/>
            </w:tcBorders>
            <w:shd w:val="clear" w:color="auto" w:fill="auto"/>
            <w:noWrap/>
            <w:hideMark/>
          </w:tcPr>
          <w:p w14:paraId="0BC7DB7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noWrap/>
            <w:hideMark/>
          </w:tcPr>
          <w:p w14:paraId="0D3BAF2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Dislike of vegetables</w:t>
            </w:r>
          </w:p>
        </w:tc>
        <w:tc>
          <w:tcPr>
            <w:tcW w:w="2126" w:type="dxa"/>
            <w:tcBorders>
              <w:top w:val="nil"/>
              <w:left w:val="nil"/>
              <w:bottom w:val="single" w:sz="4" w:space="0" w:color="auto"/>
              <w:right w:val="single" w:sz="4" w:space="0" w:color="auto"/>
            </w:tcBorders>
            <w:shd w:val="clear" w:color="auto" w:fill="auto"/>
            <w:hideMark/>
          </w:tcPr>
          <w:p w14:paraId="45BAA70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nil"/>
              <w:left w:val="nil"/>
              <w:bottom w:val="single" w:sz="4" w:space="0" w:color="auto"/>
              <w:right w:val="single" w:sz="4" w:space="0" w:color="auto"/>
            </w:tcBorders>
            <w:shd w:val="clear" w:color="auto" w:fill="auto"/>
            <w:noWrap/>
            <w:hideMark/>
          </w:tcPr>
          <w:p w14:paraId="24A7C00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r>
      <w:tr w:rsidR="00431DE3" w:rsidRPr="008F3CAE" w14:paraId="50367C7D" w14:textId="77777777" w:rsidTr="00431DE3">
        <w:trPr>
          <w:gridAfter w:val="1"/>
          <w:wAfter w:w="236" w:type="dxa"/>
          <w:trHeight w:val="600"/>
        </w:trPr>
        <w:tc>
          <w:tcPr>
            <w:tcW w:w="1555" w:type="dxa"/>
            <w:tcBorders>
              <w:top w:val="nil"/>
              <w:left w:val="single" w:sz="4" w:space="0" w:color="auto"/>
              <w:bottom w:val="single" w:sz="4" w:space="0" w:color="auto"/>
              <w:right w:val="single" w:sz="4" w:space="0" w:color="auto"/>
            </w:tcBorders>
            <w:shd w:val="clear" w:color="auto" w:fill="auto"/>
            <w:noWrap/>
            <w:hideMark/>
          </w:tcPr>
          <w:p w14:paraId="5100B935"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nil"/>
              <w:left w:val="nil"/>
              <w:bottom w:val="single" w:sz="4" w:space="0" w:color="auto"/>
              <w:right w:val="single" w:sz="4" w:space="0" w:color="auto"/>
            </w:tcBorders>
            <w:shd w:val="clear" w:color="auto" w:fill="auto"/>
            <w:hideMark/>
          </w:tcPr>
          <w:p w14:paraId="23CE057D"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Participants’ knowledge of food groups was minimal. Several did not distinguish between fruits and vegetables.</w:t>
            </w:r>
          </w:p>
        </w:tc>
        <w:tc>
          <w:tcPr>
            <w:tcW w:w="3402" w:type="dxa"/>
            <w:tcBorders>
              <w:top w:val="nil"/>
              <w:left w:val="nil"/>
              <w:bottom w:val="single" w:sz="4" w:space="0" w:color="auto"/>
              <w:right w:val="single" w:sz="4" w:space="0" w:color="auto"/>
            </w:tcBorders>
            <w:shd w:val="clear" w:color="auto" w:fill="auto"/>
            <w:noWrap/>
            <w:hideMark/>
          </w:tcPr>
          <w:p w14:paraId="31B5611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hideMark/>
          </w:tcPr>
          <w:p w14:paraId="165A1FD9"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No distinction fruits and vegetables</w:t>
            </w:r>
          </w:p>
        </w:tc>
        <w:tc>
          <w:tcPr>
            <w:tcW w:w="2126" w:type="dxa"/>
            <w:tcBorders>
              <w:top w:val="nil"/>
              <w:left w:val="nil"/>
              <w:bottom w:val="single" w:sz="4" w:space="0" w:color="auto"/>
              <w:right w:val="single" w:sz="4" w:space="0" w:color="auto"/>
            </w:tcBorders>
            <w:shd w:val="clear" w:color="auto" w:fill="auto"/>
            <w:hideMark/>
          </w:tcPr>
          <w:p w14:paraId="1A848AA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Nutrition knowledge/Cognitive factors</w:t>
            </w:r>
          </w:p>
        </w:tc>
        <w:tc>
          <w:tcPr>
            <w:tcW w:w="1134" w:type="dxa"/>
            <w:tcBorders>
              <w:top w:val="nil"/>
              <w:left w:val="nil"/>
              <w:bottom w:val="single" w:sz="4" w:space="0" w:color="auto"/>
              <w:right w:val="single" w:sz="4" w:space="0" w:color="auto"/>
            </w:tcBorders>
            <w:shd w:val="clear" w:color="auto" w:fill="auto"/>
            <w:noWrap/>
            <w:hideMark/>
          </w:tcPr>
          <w:p w14:paraId="69C89CD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r>
      <w:tr w:rsidR="00431DE3" w:rsidRPr="008F3CAE" w14:paraId="00528B65" w14:textId="77777777" w:rsidTr="00431DE3">
        <w:trPr>
          <w:gridAfter w:val="1"/>
          <w:wAfter w:w="236" w:type="dxa"/>
          <w:trHeight w:val="1200"/>
        </w:trPr>
        <w:tc>
          <w:tcPr>
            <w:tcW w:w="1555" w:type="dxa"/>
            <w:tcBorders>
              <w:top w:val="nil"/>
              <w:left w:val="single" w:sz="4" w:space="0" w:color="auto"/>
              <w:bottom w:val="single" w:sz="4" w:space="0" w:color="auto"/>
              <w:right w:val="single" w:sz="4" w:space="0" w:color="auto"/>
            </w:tcBorders>
            <w:shd w:val="clear" w:color="auto" w:fill="auto"/>
            <w:hideMark/>
          </w:tcPr>
          <w:p w14:paraId="555295B6" w14:textId="77777777" w:rsidR="00664F9C" w:rsidRPr="008F3CAE" w:rsidRDefault="00664F9C" w:rsidP="004F658C">
            <w:pPr>
              <w:spacing w:after="0" w:line="240" w:lineRule="auto"/>
              <w:rPr>
                <w:rFonts w:eastAsia="Times New Roman" w:cstheme="minorHAnsi"/>
                <w:b/>
                <w:bCs/>
                <w:color w:val="000000"/>
                <w:sz w:val="24"/>
                <w:szCs w:val="24"/>
                <w:lang w:eastAsia="en-IE"/>
              </w:rPr>
            </w:pPr>
            <w:r w:rsidRPr="008F3CAE">
              <w:rPr>
                <w:rFonts w:eastAsia="Times New Roman" w:cstheme="minorHAnsi"/>
                <w:b/>
                <w:bCs/>
                <w:color w:val="000000"/>
                <w:sz w:val="24"/>
                <w:szCs w:val="24"/>
                <w:lang w:eastAsia="en-IE"/>
              </w:rPr>
              <w:t>Chatterjee, 2016</w:t>
            </w:r>
          </w:p>
          <w:p w14:paraId="5C4639D6"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8F3CAE">
              <w:rPr>
                <w:rFonts w:eastAsia="Times New Roman" w:cstheme="minorHAnsi"/>
                <w:b/>
                <w:bCs/>
                <w:color w:val="000000"/>
                <w:sz w:val="24"/>
                <w:szCs w:val="24"/>
                <w:lang w:eastAsia="en-IE"/>
              </w:rPr>
              <w:t>US</w:t>
            </w:r>
          </w:p>
        </w:tc>
        <w:tc>
          <w:tcPr>
            <w:tcW w:w="3969" w:type="dxa"/>
            <w:tcBorders>
              <w:top w:val="nil"/>
              <w:left w:val="nil"/>
              <w:bottom w:val="single" w:sz="4" w:space="0" w:color="auto"/>
              <w:right w:val="single" w:sz="4" w:space="0" w:color="auto"/>
            </w:tcBorders>
            <w:shd w:val="clear" w:color="auto" w:fill="auto"/>
            <w:hideMark/>
          </w:tcPr>
          <w:p w14:paraId="0D25B4F7"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Specifically, families noted cooking the same, healthy, foods—broccoli or baked chicken, for example—at home in a way that was more satisfying to children than what is prepared at school.</w:t>
            </w:r>
          </w:p>
        </w:tc>
        <w:tc>
          <w:tcPr>
            <w:tcW w:w="3402" w:type="dxa"/>
            <w:tcBorders>
              <w:top w:val="nil"/>
              <w:left w:val="nil"/>
              <w:bottom w:val="single" w:sz="4" w:space="0" w:color="auto"/>
              <w:right w:val="single" w:sz="4" w:space="0" w:color="auto"/>
            </w:tcBorders>
            <w:shd w:val="clear" w:color="auto" w:fill="auto"/>
            <w:noWrap/>
            <w:hideMark/>
          </w:tcPr>
          <w:p w14:paraId="7A9C229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hideMark/>
          </w:tcPr>
          <w:p w14:paraId="52E9251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Preparation method</w:t>
            </w:r>
          </w:p>
        </w:tc>
        <w:tc>
          <w:tcPr>
            <w:tcW w:w="2126" w:type="dxa"/>
            <w:tcBorders>
              <w:top w:val="nil"/>
              <w:left w:val="nil"/>
              <w:bottom w:val="single" w:sz="4" w:space="0" w:color="auto"/>
              <w:right w:val="single" w:sz="4" w:space="0" w:color="auto"/>
            </w:tcBorders>
            <w:shd w:val="clear" w:color="auto" w:fill="auto"/>
            <w:hideMark/>
          </w:tcPr>
          <w:p w14:paraId="5541FDBD"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1134" w:type="dxa"/>
            <w:tcBorders>
              <w:top w:val="nil"/>
              <w:left w:val="nil"/>
              <w:bottom w:val="single" w:sz="4" w:space="0" w:color="auto"/>
              <w:right w:val="single" w:sz="4" w:space="0" w:color="auto"/>
            </w:tcBorders>
            <w:shd w:val="clear" w:color="auto" w:fill="auto"/>
            <w:noWrap/>
            <w:hideMark/>
          </w:tcPr>
          <w:p w14:paraId="5FB00F9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r>
      <w:tr w:rsidR="00431DE3" w:rsidRPr="008F3CAE" w14:paraId="0E8E5323" w14:textId="77777777" w:rsidTr="00431DE3">
        <w:trPr>
          <w:trHeight w:val="1200"/>
        </w:trPr>
        <w:tc>
          <w:tcPr>
            <w:tcW w:w="1555" w:type="dxa"/>
            <w:tcBorders>
              <w:top w:val="single" w:sz="4" w:space="0" w:color="auto"/>
              <w:left w:val="single" w:sz="4" w:space="0" w:color="auto"/>
              <w:bottom w:val="nil"/>
              <w:right w:val="single" w:sz="4" w:space="0" w:color="auto"/>
            </w:tcBorders>
            <w:shd w:val="clear" w:color="auto" w:fill="auto"/>
            <w:hideMark/>
          </w:tcPr>
          <w:p w14:paraId="79BA4102"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Davison, 2015</w:t>
            </w:r>
            <w:r w:rsidRPr="006D54C6">
              <w:rPr>
                <w:rFonts w:eastAsia="Times New Roman" w:cstheme="minorHAnsi"/>
                <w:b/>
                <w:bCs/>
                <w:color w:val="000000"/>
                <w:sz w:val="24"/>
                <w:szCs w:val="24"/>
                <w:lang w:eastAsia="en-IE"/>
              </w:rPr>
              <w:br/>
              <w:t>Northern Ireland, UK</w:t>
            </w:r>
          </w:p>
        </w:tc>
        <w:tc>
          <w:tcPr>
            <w:tcW w:w="3969" w:type="dxa"/>
            <w:tcBorders>
              <w:top w:val="single" w:sz="4" w:space="0" w:color="auto"/>
              <w:left w:val="nil"/>
              <w:bottom w:val="single" w:sz="4" w:space="0" w:color="auto"/>
              <w:right w:val="single" w:sz="4" w:space="0" w:color="auto"/>
            </w:tcBorders>
            <w:shd w:val="clear" w:color="auto" w:fill="auto"/>
            <w:hideMark/>
          </w:tcPr>
          <w:p w14:paraId="795CE71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For the young people concepts of healthy eating were limited and largely associated with consumption of fruit and vegetables.</w:t>
            </w:r>
          </w:p>
        </w:tc>
        <w:tc>
          <w:tcPr>
            <w:tcW w:w="3402" w:type="dxa"/>
            <w:tcBorders>
              <w:top w:val="single" w:sz="4" w:space="0" w:color="auto"/>
              <w:left w:val="nil"/>
              <w:bottom w:val="single" w:sz="4" w:space="0" w:color="auto"/>
              <w:right w:val="single" w:sz="4" w:space="0" w:color="auto"/>
            </w:tcBorders>
            <w:shd w:val="clear" w:color="auto" w:fill="auto"/>
            <w:hideMark/>
          </w:tcPr>
          <w:p w14:paraId="7C19F48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‘Eating fruit and veg each day’ (FG1, P2)</w:t>
            </w:r>
            <w:r w:rsidRPr="006D54C6">
              <w:rPr>
                <w:rFonts w:eastAsia="Times New Roman" w:cstheme="minorHAnsi"/>
                <w:color w:val="000000"/>
                <w:sz w:val="24"/>
                <w:szCs w:val="24"/>
                <w:lang w:eastAsia="en-IE"/>
              </w:rPr>
              <w:br/>
              <w:t>‘Like fruit and vegetables, fresh’ (FG2, P3)</w:t>
            </w:r>
            <w:r w:rsidRPr="006D54C6">
              <w:rPr>
                <w:rFonts w:eastAsia="Times New Roman" w:cstheme="minorHAnsi"/>
                <w:color w:val="000000"/>
                <w:sz w:val="24"/>
                <w:szCs w:val="24"/>
                <w:lang w:eastAsia="en-IE"/>
              </w:rPr>
              <w:br/>
              <w:t>‘Like your meant to have like 1/3 vegetables’ (FG3, P3)</w:t>
            </w:r>
          </w:p>
        </w:tc>
        <w:tc>
          <w:tcPr>
            <w:tcW w:w="2126" w:type="dxa"/>
            <w:tcBorders>
              <w:top w:val="single" w:sz="4" w:space="0" w:color="auto"/>
              <w:left w:val="nil"/>
              <w:bottom w:val="single" w:sz="4" w:space="0" w:color="auto"/>
              <w:right w:val="single" w:sz="4" w:space="0" w:color="auto"/>
            </w:tcBorders>
            <w:shd w:val="clear" w:color="auto" w:fill="auto"/>
            <w:hideMark/>
          </w:tcPr>
          <w:p w14:paraId="0AC5FE0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Limited knowledge about nutrition, vegetables as healthy food</w:t>
            </w:r>
          </w:p>
        </w:tc>
        <w:tc>
          <w:tcPr>
            <w:tcW w:w="2126" w:type="dxa"/>
            <w:tcBorders>
              <w:top w:val="single" w:sz="4" w:space="0" w:color="auto"/>
              <w:left w:val="nil"/>
              <w:bottom w:val="single" w:sz="4" w:space="0" w:color="auto"/>
              <w:right w:val="single" w:sz="4" w:space="0" w:color="auto"/>
            </w:tcBorders>
            <w:shd w:val="clear" w:color="auto" w:fill="auto"/>
            <w:hideMark/>
          </w:tcPr>
          <w:p w14:paraId="68AE8A6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Nutrition knowledge/Cognitive factors</w:t>
            </w:r>
          </w:p>
        </w:tc>
        <w:tc>
          <w:tcPr>
            <w:tcW w:w="1134" w:type="dxa"/>
            <w:tcBorders>
              <w:top w:val="single" w:sz="4" w:space="0" w:color="auto"/>
              <w:left w:val="nil"/>
              <w:bottom w:val="single" w:sz="4" w:space="0" w:color="auto"/>
              <w:right w:val="single" w:sz="4" w:space="0" w:color="auto"/>
            </w:tcBorders>
            <w:shd w:val="clear" w:color="auto" w:fill="auto"/>
            <w:noWrap/>
            <w:hideMark/>
          </w:tcPr>
          <w:p w14:paraId="0AFFD4E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13967835"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3D868D79" w14:textId="77777777" w:rsidTr="00431DE3">
        <w:trPr>
          <w:trHeight w:val="900"/>
        </w:trPr>
        <w:tc>
          <w:tcPr>
            <w:tcW w:w="1555" w:type="dxa"/>
            <w:tcBorders>
              <w:top w:val="nil"/>
              <w:left w:val="single" w:sz="4" w:space="0" w:color="auto"/>
              <w:bottom w:val="nil"/>
              <w:right w:val="single" w:sz="4" w:space="0" w:color="auto"/>
            </w:tcBorders>
            <w:shd w:val="clear" w:color="auto" w:fill="auto"/>
            <w:hideMark/>
          </w:tcPr>
          <w:p w14:paraId="05181CF1"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lastRenderedPageBreak/>
              <w:t> </w:t>
            </w:r>
          </w:p>
        </w:tc>
        <w:tc>
          <w:tcPr>
            <w:tcW w:w="3969" w:type="dxa"/>
            <w:tcBorders>
              <w:top w:val="nil"/>
              <w:left w:val="nil"/>
              <w:bottom w:val="nil"/>
              <w:right w:val="single" w:sz="4" w:space="0" w:color="auto"/>
            </w:tcBorders>
            <w:shd w:val="clear" w:color="auto" w:fill="auto"/>
            <w:hideMark/>
          </w:tcPr>
          <w:p w14:paraId="091AF80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The notion that healthy food cost more than junk food was echoed by the service providers.</w:t>
            </w:r>
          </w:p>
        </w:tc>
        <w:tc>
          <w:tcPr>
            <w:tcW w:w="3402" w:type="dxa"/>
            <w:tcBorders>
              <w:top w:val="nil"/>
              <w:left w:val="nil"/>
              <w:bottom w:val="nil"/>
              <w:right w:val="single" w:sz="4" w:space="0" w:color="auto"/>
            </w:tcBorders>
            <w:shd w:val="clear" w:color="auto" w:fill="auto"/>
            <w:hideMark/>
          </w:tcPr>
          <w:p w14:paraId="6AA92FE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xml:space="preserve">‘I do think </w:t>
            </w:r>
            <w:proofErr w:type="spellStart"/>
            <w:r w:rsidRPr="006D54C6">
              <w:rPr>
                <w:rFonts w:eastAsia="Times New Roman" w:cstheme="minorHAnsi"/>
                <w:color w:val="000000"/>
                <w:sz w:val="24"/>
                <w:szCs w:val="24"/>
                <w:lang w:eastAsia="en-IE"/>
              </w:rPr>
              <w:t>emm</w:t>
            </w:r>
            <w:proofErr w:type="spellEnd"/>
            <w:r w:rsidRPr="006D54C6">
              <w:rPr>
                <w:rFonts w:eastAsia="Times New Roman" w:cstheme="minorHAnsi"/>
                <w:color w:val="000000"/>
                <w:sz w:val="24"/>
                <w:szCs w:val="24"/>
                <w:lang w:eastAsia="en-IE"/>
              </w:rPr>
              <w:t xml:space="preserve"> to buy fresh fruit </w:t>
            </w:r>
            <w:proofErr w:type="spellStart"/>
            <w:r w:rsidRPr="006D54C6">
              <w:rPr>
                <w:rFonts w:eastAsia="Times New Roman" w:cstheme="minorHAnsi"/>
                <w:color w:val="000000"/>
                <w:sz w:val="24"/>
                <w:szCs w:val="24"/>
                <w:lang w:eastAsia="en-IE"/>
              </w:rPr>
              <w:t>emm</w:t>
            </w:r>
            <w:proofErr w:type="spellEnd"/>
            <w:r w:rsidRPr="006D54C6">
              <w:rPr>
                <w:rFonts w:eastAsia="Times New Roman" w:cstheme="minorHAnsi"/>
                <w:color w:val="000000"/>
                <w:sz w:val="24"/>
                <w:szCs w:val="24"/>
                <w:lang w:eastAsia="en-IE"/>
              </w:rPr>
              <w:t xml:space="preserve"> and fresh vegetables is a lot more expensive than them going to buy beans and chips’ (</w:t>
            </w:r>
            <w:proofErr w:type="spellStart"/>
            <w:r w:rsidRPr="006D54C6">
              <w:rPr>
                <w:rFonts w:eastAsia="Times New Roman" w:cstheme="minorHAnsi"/>
                <w:color w:val="000000"/>
                <w:sz w:val="24"/>
                <w:szCs w:val="24"/>
                <w:lang w:eastAsia="en-IE"/>
              </w:rPr>
              <w:t>PInt</w:t>
            </w:r>
            <w:proofErr w:type="spellEnd"/>
            <w:r w:rsidRPr="006D54C6">
              <w:rPr>
                <w:rFonts w:eastAsia="Times New Roman" w:cstheme="minorHAnsi"/>
                <w:color w:val="000000"/>
                <w:sz w:val="24"/>
                <w:szCs w:val="24"/>
                <w:lang w:eastAsia="en-IE"/>
              </w:rPr>
              <w:t xml:space="preserve"> 6)</w:t>
            </w:r>
          </w:p>
        </w:tc>
        <w:tc>
          <w:tcPr>
            <w:tcW w:w="2126" w:type="dxa"/>
            <w:tcBorders>
              <w:top w:val="nil"/>
              <w:left w:val="nil"/>
              <w:bottom w:val="single" w:sz="4" w:space="0" w:color="auto"/>
              <w:right w:val="single" w:sz="4" w:space="0" w:color="auto"/>
            </w:tcBorders>
            <w:shd w:val="clear" w:color="auto" w:fill="auto"/>
            <w:noWrap/>
            <w:hideMark/>
          </w:tcPr>
          <w:p w14:paraId="779EABB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Vegetables as expensive food</w:t>
            </w:r>
          </w:p>
        </w:tc>
        <w:tc>
          <w:tcPr>
            <w:tcW w:w="2126" w:type="dxa"/>
            <w:tcBorders>
              <w:top w:val="nil"/>
              <w:left w:val="nil"/>
              <w:bottom w:val="single" w:sz="4" w:space="0" w:color="auto"/>
              <w:right w:val="single" w:sz="4" w:space="0" w:color="auto"/>
            </w:tcBorders>
            <w:shd w:val="clear" w:color="auto" w:fill="auto"/>
            <w:noWrap/>
            <w:hideMark/>
          </w:tcPr>
          <w:p w14:paraId="1D2DA727"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Lifestyle factors</w:t>
            </w:r>
          </w:p>
        </w:tc>
        <w:tc>
          <w:tcPr>
            <w:tcW w:w="1134" w:type="dxa"/>
            <w:tcBorders>
              <w:top w:val="nil"/>
              <w:left w:val="nil"/>
              <w:bottom w:val="single" w:sz="4" w:space="0" w:color="auto"/>
              <w:right w:val="single" w:sz="4" w:space="0" w:color="auto"/>
            </w:tcBorders>
            <w:shd w:val="clear" w:color="auto" w:fill="auto"/>
            <w:noWrap/>
            <w:hideMark/>
          </w:tcPr>
          <w:p w14:paraId="7B7254C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6C2AB59F"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37D04ACB" w14:textId="77777777" w:rsidTr="00431DE3">
        <w:trPr>
          <w:trHeight w:val="300"/>
        </w:trPr>
        <w:tc>
          <w:tcPr>
            <w:tcW w:w="1555" w:type="dxa"/>
            <w:tcBorders>
              <w:top w:val="nil"/>
              <w:left w:val="single" w:sz="4" w:space="0" w:color="auto"/>
              <w:bottom w:val="single" w:sz="4" w:space="0" w:color="auto"/>
              <w:right w:val="single" w:sz="4" w:space="0" w:color="auto"/>
            </w:tcBorders>
            <w:shd w:val="clear" w:color="auto" w:fill="auto"/>
            <w:hideMark/>
          </w:tcPr>
          <w:p w14:paraId="6DEE2668"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nil"/>
              <w:left w:val="nil"/>
              <w:bottom w:val="single" w:sz="4" w:space="0" w:color="auto"/>
              <w:right w:val="single" w:sz="4" w:space="0" w:color="auto"/>
            </w:tcBorders>
            <w:shd w:val="clear" w:color="auto" w:fill="auto"/>
            <w:noWrap/>
            <w:hideMark/>
          </w:tcPr>
          <w:p w14:paraId="6444609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3402" w:type="dxa"/>
            <w:tcBorders>
              <w:top w:val="nil"/>
              <w:left w:val="nil"/>
              <w:bottom w:val="single" w:sz="4" w:space="0" w:color="auto"/>
              <w:right w:val="single" w:sz="4" w:space="0" w:color="auto"/>
            </w:tcBorders>
            <w:shd w:val="clear" w:color="auto" w:fill="auto"/>
            <w:hideMark/>
          </w:tcPr>
          <w:p w14:paraId="2E3B323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noWrap/>
            <w:hideMark/>
          </w:tcPr>
          <w:p w14:paraId="30013C6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Lack of interest/no vegetables prioritisation</w:t>
            </w:r>
          </w:p>
        </w:tc>
        <w:tc>
          <w:tcPr>
            <w:tcW w:w="2126" w:type="dxa"/>
            <w:tcBorders>
              <w:top w:val="nil"/>
              <w:left w:val="nil"/>
              <w:bottom w:val="single" w:sz="4" w:space="0" w:color="auto"/>
              <w:right w:val="single" w:sz="4" w:space="0" w:color="auto"/>
            </w:tcBorders>
            <w:shd w:val="clear" w:color="auto" w:fill="auto"/>
            <w:hideMark/>
          </w:tcPr>
          <w:p w14:paraId="3A76CA2E"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nil"/>
              <w:left w:val="nil"/>
              <w:bottom w:val="single" w:sz="4" w:space="0" w:color="auto"/>
              <w:right w:val="single" w:sz="4" w:space="0" w:color="auto"/>
            </w:tcBorders>
            <w:shd w:val="clear" w:color="auto" w:fill="auto"/>
            <w:noWrap/>
            <w:hideMark/>
          </w:tcPr>
          <w:p w14:paraId="7A37183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2EA98140"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6CEE62E0" w14:textId="77777777" w:rsidTr="00431DE3">
        <w:trPr>
          <w:trHeight w:val="2100"/>
        </w:trPr>
        <w:tc>
          <w:tcPr>
            <w:tcW w:w="1555" w:type="dxa"/>
            <w:tcBorders>
              <w:top w:val="nil"/>
              <w:left w:val="single" w:sz="4" w:space="0" w:color="auto"/>
              <w:bottom w:val="nil"/>
              <w:right w:val="single" w:sz="4" w:space="0" w:color="auto"/>
            </w:tcBorders>
            <w:shd w:val="clear" w:color="auto" w:fill="auto"/>
            <w:hideMark/>
          </w:tcPr>
          <w:p w14:paraId="4CD21FB8" w14:textId="77777777" w:rsidR="00664F9C" w:rsidRPr="008F3CAE" w:rsidRDefault="00664F9C" w:rsidP="004F658C">
            <w:pPr>
              <w:spacing w:after="0" w:line="240" w:lineRule="auto"/>
              <w:rPr>
                <w:rFonts w:eastAsia="Times New Roman" w:cstheme="minorHAnsi"/>
                <w:b/>
                <w:bCs/>
                <w:color w:val="000000"/>
                <w:sz w:val="24"/>
                <w:szCs w:val="24"/>
                <w:lang w:eastAsia="en-IE"/>
              </w:rPr>
            </w:pPr>
            <w:r w:rsidRPr="008F3CAE">
              <w:rPr>
                <w:rFonts w:eastAsia="Times New Roman" w:cstheme="minorHAnsi"/>
                <w:b/>
                <w:bCs/>
                <w:color w:val="000000"/>
                <w:sz w:val="24"/>
                <w:szCs w:val="24"/>
                <w:lang w:eastAsia="en-IE"/>
              </w:rPr>
              <w:t>Dodson, 2009</w:t>
            </w:r>
          </w:p>
          <w:p w14:paraId="3417A4BF"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8F3CAE">
              <w:rPr>
                <w:rFonts w:eastAsia="Times New Roman" w:cstheme="minorHAnsi"/>
                <w:b/>
                <w:bCs/>
                <w:color w:val="000000"/>
                <w:sz w:val="24"/>
                <w:szCs w:val="24"/>
                <w:lang w:eastAsia="en-IE"/>
              </w:rPr>
              <w:t>US</w:t>
            </w:r>
          </w:p>
        </w:tc>
        <w:tc>
          <w:tcPr>
            <w:tcW w:w="3969" w:type="dxa"/>
            <w:tcBorders>
              <w:top w:val="single" w:sz="4" w:space="0" w:color="auto"/>
              <w:left w:val="nil"/>
              <w:bottom w:val="single" w:sz="4" w:space="0" w:color="auto"/>
              <w:right w:val="single" w:sz="4" w:space="0" w:color="auto"/>
            </w:tcBorders>
            <w:shd w:val="clear" w:color="auto" w:fill="auto"/>
            <w:hideMark/>
          </w:tcPr>
          <w:p w14:paraId="0A17F122"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Vegetables (e.g., broccoli), and fruits (e.g., apples, oranges) are classified as “clean” or “home foods”. Vegetables are described as “how we grow”, “giving you minerals, calcium, and calories” while broccoli can “help you be healthy”.</w:t>
            </w:r>
            <w:r w:rsidRPr="006D54C6">
              <w:rPr>
                <w:rFonts w:eastAsia="Times New Roman" w:cstheme="minorHAnsi"/>
                <w:color w:val="000000"/>
                <w:sz w:val="24"/>
                <w:szCs w:val="24"/>
                <w:lang w:eastAsia="en-IE"/>
              </w:rPr>
              <w:br/>
              <w:t>Vegetables, fruits, and water were identified as healthy foods, while greasy and sugary foods were identified as unhealthy.</w:t>
            </w:r>
          </w:p>
        </w:tc>
        <w:tc>
          <w:tcPr>
            <w:tcW w:w="3402" w:type="dxa"/>
            <w:tcBorders>
              <w:top w:val="single" w:sz="4" w:space="0" w:color="auto"/>
              <w:left w:val="nil"/>
              <w:bottom w:val="single" w:sz="4" w:space="0" w:color="auto"/>
              <w:right w:val="single" w:sz="4" w:space="0" w:color="auto"/>
            </w:tcBorders>
            <w:shd w:val="clear" w:color="auto" w:fill="auto"/>
            <w:noWrap/>
            <w:hideMark/>
          </w:tcPr>
          <w:p w14:paraId="538A4C3D"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single" w:sz="4" w:space="0" w:color="auto"/>
              <w:left w:val="nil"/>
              <w:bottom w:val="single" w:sz="4" w:space="0" w:color="auto"/>
              <w:right w:val="single" w:sz="4" w:space="0" w:color="auto"/>
            </w:tcBorders>
            <w:shd w:val="clear" w:color="auto" w:fill="auto"/>
            <w:noWrap/>
            <w:hideMark/>
          </w:tcPr>
          <w:p w14:paraId="7B9BA469"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Knowledge about vegetables properties</w:t>
            </w:r>
          </w:p>
        </w:tc>
        <w:tc>
          <w:tcPr>
            <w:tcW w:w="2126" w:type="dxa"/>
            <w:tcBorders>
              <w:top w:val="nil"/>
              <w:left w:val="nil"/>
              <w:bottom w:val="single" w:sz="4" w:space="0" w:color="auto"/>
              <w:right w:val="single" w:sz="4" w:space="0" w:color="auto"/>
            </w:tcBorders>
            <w:shd w:val="clear" w:color="auto" w:fill="auto"/>
            <w:hideMark/>
          </w:tcPr>
          <w:p w14:paraId="1CFF51B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Nutrition knowledge/Cognitive factors</w:t>
            </w:r>
          </w:p>
        </w:tc>
        <w:tc>
          <w:tcPr>
            <w:tcW w:w="1134" w:type="dxa"/>
            <w:tcBorders>
              <w:top w:val="nil"/>
              <w:left w:val="nil"/>
              <w:bottom w:val="single" w:sz="4" w:space="0" w:color="auto"/>
              <w:right w:val="single" w:sz="4" w:space="0" w:color="auto"/>
            </w:tcBorders>
            <w:shd w:val="clear" w:color="auto" w:fill="auto"/>
            <w:noWrap/>
            <w:hideMark/>
          </w:tcPr>
          <w:p w14:paraId="09EDF5C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08F9A9A9"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27258C3E" w14:textId="77777777" w:rsidTr="00431DE3">
        <w:trPr>
          <w:trHeight w:val="600"/>
        </w:trPr>
        <w:tc>
          <w:tcPr>
            <w:tcW w:w="1555" w:type="dxa"/>
            <w:tcBorders>
              <w:top w:val="nil"/>
              <w:left w:val="single" w:sz="4" w:space="0" w:color="auto"/>
              <w:bottom w:val="single" w:sz="4" w:space="0" w:color="auto"/>
              <w:right w:val="single" w:sz="4" w:space="0" w:color="auto"/>
            </w:tcBorders>
            <w:shd w:val="clear" w:color="auto" w:fill="auto"/>
            <w:hideMark/>
          </w:tcPr>
          <w:p w14:paraId="10542B35"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nil"/>
              <w:left w:val="nil"/>
              <w:bottom w:val="single" w:sz="4" w:space="0" w:color="auto"/>
              <w:right w:val="single" w:sz="4" w:space="0" w:color="auto"/>
            </w:tcBorders>
            <w:shd w:val="clear" w:color="auto" w:fill="auto"/>
            <w:hideMark/>
          </w:tcPr>
          <w:p w14:paraId="080A3F3D"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However, teens rarely chose to eat these healthy foods over the unhealthy foods.</w:t>
            </w:r>
          </w:p>
        </w:tc>
        <w:tc>
          <w:tcPr>
            <w:tcW w:w="3402" w:type="dxa"/>
            <w:tcBorders>
              <w:top w:val="nil"/>
              <w:left w:val="nil"/>
              <w:bottom w:val="single" w:sz="4" w:space="0" w:color="auto"/>
              <w:right w:val="single" w:sz="4" w:space="0" w:color="auto"/>
            </w:tcBorders>
            <w:shd w:val="clear" w:color="auto" w:fill="auto"/>
            <w:noWrap/>
            <w:hideMark/>
          </w:tcPr>
          <w:p w14:paraId="0C28B65E"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noWrap/>
            <w:hideMark/>
          </w:tcPr>
          <w:p w14:paraId="10E8F84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Preferences for some foods over others</w:t>
            </w:r>
          </w:p>
        </w:tc>
        <w:tc>
          <w:tcPr>
            <w:tcW w:w="2126" w:type="dxa"/>
            <w:tcBorders>
              <w:top w:val="nil"/>
              <w:left w:val="nil"/>
              <w:bottom w:val="single" w:sz="4" w:space="0" w:color="auto"/>
              <w:right w:val="single" w:sz="4" w:space="0" w:color="auto"/>
            </w:tcBorders>
            <w:shd w:val="clear" w:color="auto" w:fill="auto"/>
            <w:hideMark/>
          </w:tcPr>
          <w:p w14:paraId="5488DA16"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nil"/>
              <w:left w:val="nil"/>
              <w:bottom w:val="single" w:sz="4" w:space="0" w:color="auto"/>
              <w:right w:val="single" w:sz="4" w:space="0" w:color="auto"/>
            </w:tcBorders>
            <w:shd w:val="clear" w:color="auto" w:fill="auto"/>
            <w:noWrap/>
            <w:hideMark/>
          </w:tcPr>
          <w:p w14:paraId="21235D3A"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64BC4EBD"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42F87789" w14:textId="77777777" w:rsidTr="00431DE3">
        <w:trPr>
          <w:trHeight w:val="1200"/>
        </w:trPr>
        <w:tc>
          <w:tcPr>
            <w:tcW w:w="1555" w:type="dxa"/>
            <w:tcBorders>
              <w:top w:val="nil"/>
              <w:left w:val="single" w:sz="4" w:space="0" w:color="auto"/>
              <w:bottom w:val="nil"/>
              <w:right w:val="single" w:sz="4" w:space="0" w:color="auto"/>
            </w:tcBorders>
            <w:shd w:val="clear" w:color="auto" w:fill="auto"/>
            <w:hideMark/>
          </w:tcPr>
          <w:p w14:paraId="1C7F9139" w14:textId="77777777" w:rsidR="00664F9C" w:rsidRPr="006D54C6" w:rsidRDefault="00664F9C" w:rsidP="004F658C">
            <w:pPr>
              <w:spacing w:after="0" w:line="240" w:lineRule="auto"/>
              <w:rPr>
                <w:rFonts w:eastAsia="Times New Roman" w:cstheme="minorHAnsi"/>
                <w:b/>
                <w:bCs/>
                <w:color w:val="000000"/>
                <w:sz w:val="24"/>
                <w:szCs w:val="24"/>
                <w:lang w:eastAsia="en-IE"/>
              </w:rPr>
            </w:pPr>
            <w:proofErr w:type="spellStart"/>
            <w:r w:rsidRPr="006D54C6">
              <w:rPr>
                <w:rFonts w:eastAsia="Times New Roman" w:cstheme="minorHAnsi"/>
                <w:b/>
                <w:bCs/>
                <w:color w:val="000000"/>
                <w:sz w:val="24"/>
                <w:szCs w:val="24"/>
                <w:lang w:eastAsia="en-IE"/>
              </w:rPr>
              <w:t>Kubik</w:t>
            </w:r>
            <w:proofErr w:type="spellEnd"/>
            <w:r w:rsidRPr="006D54C6">
              <w:rPr>
                <w:rFonts w:eastAsia="Times New Roman" w:cstheme="minorHAnsi"/>
                <w:b/>
                <w:bCs/>
                <w:color w:val="000000"/>
                <w:sz w:val="24"/>
                <w:szCs w:val="24"/>
                <w:lang w:eastAsia="en-IE"/>
              </w:rPr>
              <w:t>, 2005</w:t>
            </w:r>
            <w:r w:rsidRPr="006D54C6">
              <w:rPr>
                <w:rFonts w:eastAsia="Times New Roman" w:cstheme="minorHAnsi"/>
                <w:b/>
                <w:bCs/>
                <w:color w:val="000000"/>
                <w:sz w:val="24"/>
                <w:szCs w:val="24"/>
                <w:lang w:eastAsia="en-IE"/>
              </w:rPr>
              <w:br/>
              <w:t>US</w:t>
            </w:r>
          </w:p>
        </w:tc>
        <w:tc>
          <w:tcPr>
            <w:tcW w:w="3969" w:type="dxa"/>
            <w:tcBorders>
              <w:top w:val="nil"/>
              <w:left w:val="nil"/>
              <w:bottom w:val="single" w:sz="4" w:space="0" w:color="auto"/>
              <w:right w:val="single" w:sz="4" w:space="0" w:color="auto"/>
            </w:tcBorders>
            <w:shd w:val="clear" w:color="auto" w:fill="auto"/>
            <w:noWrap/>
            <w:hideMark/>
          </w:tcPr>
          <w:p w14:paraId="64F2F9A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3402" w:type="dxa"/>
            <w:tcBorders>
              <w:top w:val="nil"/>
              <w:left w:val="nil"/>
              <w:bottom w:val="single" w:sz="4" w:space="0" w:color="auto"/>
              <w:right w:val="single" w:sz="4" w:space="0" w:color="auto"/>
            </w:tcBorders>
            <w:shd w:val="clear" w:color="auto" w:fill="auto"/>
            <w:hideMark/>
          </w:tcPr>
          <w:p w14:paraId="586002C9"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xml:space="preserve">“Everything is convenience nowadays and who wants to like sit there and make an elaborate salad when you can just run to Taco Bell and get your fix, you know?” </w:t>
            </w:r>
          </w:p>
        </w:tc>
        <w:tc>
          <w:tcPr>
            <w:tcW w:w="2126" w:type="dxa"/>
            <w:tcBorders>
              <w:top w:val="nil"/>
              <w:left w:val="nil"/>
              <w:bottom w:val="single" w:sz="4" w:space="0" w:color="auto"/>
              <w:right w:val="single" w:sz="4" w:space="0" w:color="auto"/>
            </w:tcBorders>
            <w:shd w:val="clear" w:color="auto" w:fill="auto"/>
            <w:hideMark/>
          </w:tcPr>
          <w:p w14:paraId="7657BCA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w:t>
            </w:r>
            <w:proofErr w:type="gramStart"/>
            <w:r w:rsidRPr="006D54C6">
              <w:rPr>
                <w:rFonts w:eastAsia="Times New Roman" w:cstheme="minorHAnsi"/>
                <w:color w:val="000000"/>
                <w:sz w:val="24"/>
                <w:szCs w:val="24"/>
                <w:lang w:eastAsia="en-IE"/>
              </w:rPr>
              <w:t>lack</w:t>
            </w:r>
            <w:proofErr w:type="gramEnd"/>
            <w:r w:rsidRPr="006D54C6">
              <w:rPr>
                <w:rFonts w:eastAsia="Times New Roman" w:cstheme="minorHAnsi"/>
                <w:color w:val="000000"/>
                <w:sz w:val="24"/>
                <w:szCs w:val="24"/>
                <w:lang w:eastAsia="en-IE"/>
              </w:rPr>
              <w:t xml:space="preserve"> of) Convenience</w:t>
            </w:r>
          </w:p>
        </w:tc>
        <w:tc>
          <w:tcPr>
            <w:tcW w:w="2126" w:type="dxa"/>
            <w:tcBorders>
              <w:top w:val="nil"/>
              <w:left w:val="nil"/>
              <w:bottom w:val="single" w:sz="4" w:space="0" w:color="auto"/>
              <w:right w:val="single" w:sz="4" w:space="0" w:color="auto"/>
            </w:tcBorders>
            <w:shd w:val="clear" w:color="auto" w:fill="auto"/>
            <w:noWrap/>
            <w:hideMark/>
          </w:tcPr>
          <w:p w14:paraId="1EEE02A8"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Lifestyle factors</w:t>
            </w:r>
          </w:p>
        </w:tc>
        <w:tc>
          <w:tcPr>
            <w:tcW w:w="1134" w:type="dxa"/>
            <w:tcBorders>
              <w:top w:val="nil"/>
              <w:left w:val="nil"/>
              <w:bottom w:val="single" w:sz="4" w:space="0" w:color="auto"/>
              <w:right w:val="single" w:sz="4" w:space="0" w:color="auto"/>
            </w:tcBorders>
            <w:shd w:val="clear" w:color="auto" w:fill="auto"/>
            <w:noWrap/>
            <w:hideMark/>
          </w:tcPr>
          <w:p w14:paraId="2BE8975D"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15038455"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69C985D7" w14:textId="77777777" w:rsidTr="00431DE3">
        <w:trPr>
          <w:trHeight w:val="600"/>
        </w:trPr>
        <w:tc>
          <w:tcPr>
            <w:tcW w:w="1555" w:type="dxa"/>
            <w:tcBorders>
              <w:top w:val="nil"/>
              <w:left w:val="single" w:sz="4" w:space="0" w:color="auto"/>
              <w:bottom w:val="single" w:sz="4" w:space="0" w:color="auto"/>
              <w:right w:val="single" w:sz="4" w:space="0" w:color="auto"/>
            </w:tcBorders>
            <w:shd w:val="clear" w:color="auto" w:fill="auto"/>
            <w:hideMark/>
          </w:tcPr>
          <w:p w14:paraId="510EA79F"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lastRenderedPageBreak/>
              <w:t> </w:t>
            </w:r>
          </w:p>
        </w:tc>
        <w:tc>
          <w:tcPr>
            <w:tcW w:w="3969" w:type="dxa"/>
            <w:tcBorders>
              <w:top w:val="nil"/>
              <w:left w:val="nil"/>
              <w:bottom w:val="single" w:sz="4" w:space="0" w:color="auto"/>
              <w:right w:val="single" w:sz="4" w:space="0" w:color="auto"/>
            </w:tcBorders>
            <w:shd w:val="clear" w:color="auto" w:fill="auto"/>
            <w:hideMark/>
          </w:tcPr>
          <w:p w14:paraId="3A416B5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xml:space="preserve">Students reported liking fruits and vegetables, providing long lists of their </w:t>
            </w:r>
            <w:proofErr w:type="spellStart"/>
            <w:r w:rsidRPr="006D54C6">
              <w:rPr>
                <w:rFonts w:eastAsia="Times New Roman" w:cstheme="minorHAnsi"/>
                <w:color w:val="000000"/>
                <w:sz w:val="24"/>
                <w:szCs w:val="24"/>
                <w:lang w:eastAsia="en-IE"/>
              </w:rPr>
              <w:t>favorites</w:t>
            </w:r>
            <w:proofErr w:type="spellEnd"/>
            <w:r w:rsidRPr="006D54C6">
              <w:rPr>
                <w:rFonts w:eastAsia="Times New Roman" w:cstheme="minorHAnsi"/>
                <w:color w:val="000000"/>
                <w:sz w:val="24"/>
                <w:szCs w:val="24"/>
                <w:lang w:eastAsia="en-IE"/>
              </w:rPr>
              <w:t>.</w:t>
            </w:r>
          </w:p>
        </w:tc>
        <w:tc>
          <w:tcPr>
            <w:tcW w:w="3402" w:type="dxa"/>
            <w:tcBorders>
              <w:top w:val="nil"/>
              <w:left w:val="nil"/>
              <w:bottom w:val="single" w:sz="4" w:space="0" w:color="auto"/>
              <w:right w:val="single" w:sz="4" w:space="0" w:color="auto"/>
            </w:tcBorders>
            <w:shd w:val="clear" w:color="auto" w:fill="auto"/>
            <w:noWrap/>
            <w:hideMark/>
          </w:tcPr>
          <w:p w14:paraId="7ABF7D48"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hideMark/>
          </w:tcPr>
          <w:p w14:paraId="1F36387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Vegetables liking</w:t>
            </w:r>
          </w:p>
        </w:tc>
        <w:tc>
          <w:tcPr>
            <w:tcW w:w="2126" w:type="dxa"/>
            <w:tcBorders>
              <w:top w:val="nil"/>
              <w:left w:val="nil"/>
              <w:bottom w:val="single" w:sz="4" w:space="0" w:color="auto"/>
              <w:right w:val="single" w:sz="4" w:space="0" w:color="auto"/>
            </w:tcBorders>
            <w:shd w:val="clear" w:color="auto" w:fill="auto"/>
            <w:noWrap/>
            <w:hideMark/>
          </w:tcPr>
          <w:p w14:paraId="7E20995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nil"/>
              <w:left w:val="nil"/>
              <w:bottom w:val="single" w:sz="4" w:space="0" w:color="auto"/>
              <w:right w:val="single" w:sz="4" w:space="0" w:color="auto"/>
            </w:tcBorders>
            <w:shd w:val="clear" w:color="auto" w:fill="auto"/>
            <w:noWrap/>
            <w:hideMark/>
          </w:tcPr>
          <w:p w14:paraId="43A8CC8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3DBBD43A"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687A9F6C" w14:textId="77777777" w:rsidTr="00431DE3">
        <w:trPr>
          <w:trHeight w:val="600"/>
        </w:trPr>
        <w:tc>
          <w:tcPr>
            <w:tcW w:w="1555" w:type="dxa"/>
            <w:tcBorders>
              <w:top w:val="single" w:sz="4" w:space="0" w:color="auto"/>
              <w:left w:val="single" w:sz="4" w:space="0" w:color="auto"/>
              <w:bottom w:val="nil"/>
              <w:right w:val="single" w:sz="4" w:space="0" w:color="auto"/>
            </w:tcBorders>
            <w:shd w:val="clear" w:color="auto" w:fill="auto"/>
            <w:hideMark/>
          </w:tcPr>
          <w:p w14:paraId="732081F6" w14:textId="77777777" w:rsidR="00664F9C" w:rsidRPr="006D54C6" w:rsidRDefault="00664F9C" w:rsidP="004F658C">
            <w:pPr>
              <w:spacing w:after="0" w:line="240" w:lineRule="auto"/>
              <w:rPr>
                <w:rFonts w:eastAsia="Times New Roman" w:cstheme="minorHAnsi"/>
                <w:b/>
                <w:bCs/>
                <w:color w:val="000000"/>
                <w:sz w:val="24"/>
                <w:szCs w:val="24"/>
                <w:lang w:eastAsia="en-IE"/>
              </w:rPr>
            </w:pPr>
            <w:proofErr w:type="spellStart"/>
            <w:r w:rsidRPr="006D54C6">
              <w:rPr>
                <w:rFonts w:eastAsia="Times New Roman" w:cstheme="minorHAnsi"/>
                <w:b/>
                <w:bCs/>
                <w:color w:val="000000"/>
                <w:sz w:val="24"/>
                <w:szCs w:val="24"/>
                <w:lang w:eastAsia="en-IE"/>
              </w:rPr>
              <w:t>Payan</w:t>
            </w:r>
            <w:proofErr w:type="spellEnd"/>
            <w:r w:rsidRPr="006D54C6">
              <w:rPr>
                <w:rFonts w:eastAsia="Times New Roman" w:cstheme="minorHAnsi"/>
                <w:b/>
                <w:bCs/>
                <w:color w:val="000000"/>
                <w:sz w:val="24"/>
                <w:szCs w:val="24"/>
                <w:lang w:eastAsia="en-IE"/>
              </w:rPr>
              <w:t>, 2017</w:t>
            </w:r>
            <w:r w:rsidRPr="006D54C6">
              <w:rPr>
                <w:rFonts w:eastAsia="Times New Roman" w:cstheme="minorHAnsi"/>
                <w:b/>
                <w:bCs/>
                <w:color w:val="000000"/>
                <w:sz w:val="24"/>
                <w:szCs w:val="24"/>
                <w:lang w:eastAsia="en-IE"/>
              </w:rPr>
              <w:br/>
              <w:t>US</w:t>
            </w:r>
          </w:p>
        </w:tc>
        <w:tc>
          <w:tcPr>
            <w:tcW w:w="3969" w:type="dxa"/>
            <w:tcBorders>
              <w:top w:val="nil"/>
              <w:left w:val="nil"/>
              <w:bottom w:val="single" w:sz="4" w:space="0" w:color="auto"/>
              <w:right w:val="single" w:sz="4" w:space="0" w:color="auto"/>
            </w:tcBorders>
            <w:shd w:val="clear" w:color="auto" w:fill="auto"/>
            <w:hideMark/>
          </w:tcPr>
          <w:p w14:paraId="4126BA0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When asked to describe a healthy meal, the most popular answer was “fruits and vegetables” in every group.</w:t>
            </w:r>
          </w:p>
        </w:tc>
        <w:tc>
          <w:tcPr>
            <w:tcW w:w="3402" w:type="dxa"/>
            <w:tcBorders>
              <w:top w:val="nil"/>
              <w:left w:val="nil"/>
              <w:bottom w:val="single" w:sz="4" w:space="0" w:color="auto"/>
              <w:right w:val="single" w:sz="4" w:space="0" w:color="auto"/>
            </w:tcBorders>
            <w:shd w:val="clear" w:color="auto" w:fill="auto"/>
            <w:noWrap/>
            <w:hideMark/>
          </w:tcPr>
          <w:p w14:paraId="05BC259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hideMark/>
          </w:tcPr>
          <w:p w14:paraId="1DFBEE46"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Nutrition knowledge about vegetables</w:t>
            </w:r>
          </w:p>
        </w:tc>
        <w:tc>
          <w:tcPr>
            <w:tcW w:w="2126" w:type="dxa"/>
            <w:tcBorders>
              <w:top w:val="nil"/>
              <w:left w:val="nil"/>
              <w:bottom w:val="single" w:sz="4" w:space="0" w:color="auto"/>
              <w:right w:val="single" w:sz="4" w:space="0" w:color="auto"/>
            </w:tcBorders>
            <w:shd w:val="clear" w:color="auto" w:fill="auto"/>
            <w:hideMark/>
          </w:tcPr>
          <w:p w14:paraId="64F0BF08"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Nutrition knowledge/Cognitive factors</w:t>
            </w:r>
          </w:p>
        </w:tc>
        <w:tc>
          <w:tcPr>
            <w:tcW w:w="1134" w:type="dxa"/>
            <w:tcBorders>
              <w:top w:val="nil"/>
              <w:left w:val="nil"/>
              <w:bottom w:val="single" w:sz="4" w:space="0" w:color="auto"/>
              <w:right w:val="single" w:sz="4" w:space="0" w:color="auto"/>
            </w:tcBorders>
            <w:shd w:val="clear" w:color="auto" w:fill="auto"/>
            <w:noWrap/>
            <w:hideMark/>
          </w:tcPr>
          <w:p w14:paraId="02DD7A50"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05AA11D4"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5DBCC380" w14:textId="77777777" w:rsidTr="00431DE3">
        <w:trPr>
          <w:trHeight w:val="600"/>
        </w:trPr>
        <w:tc>
          <w:tcPr>
            <w:tcW w:w="1555" w:type="dxa"/>
            <w:tcBorders>
              <w:top w:val="nil"/>
              <w:left w:val="single" w:sz="4" w:space="0" w:color="auto"/>
              <w:bottom w:val="nil"/>
              <w:right w:val="single" w:sz="4" w:space="0" w:color="auto"/>
            </w:tcBorders>
            <w:shd w:val="clear" w:color="auto" w:fill="auto"/>
            <w:hideMark/>
          </w:tcPr>
          <w:p w14:paraId="4342E5EA"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single" w:sz="4" w:space="0" w:color="auto"/>
              <w:left w:val="nil"/>
              <w:bottom w:val="single" w:sz="4" w:space="0" w:color="auto"/>
              <w:right w:val="single" w:sz="4" w:space="0" w:color="auto"/>
            </w:tcBorders>
            <w:shd w:val="clear" w:color="auto" w:fill="auto"/>
            <w:hideMark/>
          </w:tcPr>
          <w:p w14:paraId="787B1DF1"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Participants said they did not like eating vegetables</w:t>
            </w:r>
          </w:p>
        </w:tc>
        <w:tc>
          <w:tcPr>
            <w:tcW w:w="3402" w:type="dxa"/>
            <w:tcBorders>
              <w:top w:val="single" w:sz="4" w:space="0" w:color="auto"/>
              <w:left w:val="nil"/>
              <w:bottom w:val="single" w:sz="4" w:space="0" w:color="auto"/>
              <w:right w:val="single" w:sz="4" w:space="0" w:color="auto"/>
            </w:tcBorders>
            <w:shd w:val="clear" w:color="auto" w:fill="auto"/>
            <w:noWrap/>
            <w:hideMark/>
          </w:tcPr>
          <w:p w14:paraId="2638A1E2"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single" w:sz="4" w:space="0" w:color="auto"/>
              <w:left w:val="nil"/>
              <w:bottom w:val="single" w:sz="4" w:space="0" w:color="auto"/>
              <w:right w:val="single" w:sz="4" w:space="0" w:color="auto"/>
            </w:tcBorders>
            <w:shd w:val="clear" w:color="auto" w:fill="auto"/>
            <w:hideMark/>
          </w:tcPr>
          <w:p w14:paraId="65A73457"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Liking</w:t>
            </w:r>
          </w:p>
        </w:tc>
        <w:tc>
          <w:tcPr>
            <w:tcW w:w="2126" w:type="dxa"/>
            <w:tcBorders>
              <w:top w:val="single" w:sz="4" w:space="0" w:color="auto"/>
              <w:left w:val="nil"/>
              <w:bottom w:val="single" w:sz="4" w:space="0" w:color="auto"/>
              <w:right w:val="single" w:sz="4" w:space="0" w:color="auto"/>
            </w:tcBorders>
            <w:shd w:val="clear" w:color="auto" w:fill="auto"/>
            <w:noWrap/>
            <w:hideMark/>
          </w:tcPr>
          <w:p w14:paraId="5A8FD442"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single" w:sz="4" w:space="0" w:color="auto"/>
              <w:left w:val="nil"/>
              <w:bottom w:val="single" w:sz="4" w:space="0" w:color="auto"/>
              <w:right w:val="single" w:sz="4" w:space="0" w:color="auto"/>
            </w:tcBorders>
            <w:shd w:val="clear" w:color="auto" w:fill="auto"/>
            <w:noWrap/>
            <w:hideMark/>
          </w:tcPr>
          <w:p w14:paraId="5ACEBBF8"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480E0AAF"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254E0A84" w14:textId="77777777" w:rsidTr="00431DE3">
        <w:trPr>
          <w:trHeight w:val="606"/>
        </w:trPr>
        <w:tc>
          <w:tcPr>
            <w:tcW w:w="1555" w:type="dxa"/>
            <w:tcBorders>
              <w:top w:val="nil"/>
              <w:left w:val="single" w:sz="4" w:space="0" w:color="auto"/>
              <w:bottom w:val="nil"/>
              <w:right w:val="single" w:sz="4" w:space="0" w:color="auto"/>
            </w:tcBorders>
            <w:shd w:val="clear" w:color="auto" w:fill="auto"/>
            <w:hideMark/>
          </w:tcPr>
          <w:p w14:paraId="2DA4DCDE"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nil"/>
              <w:left w:val="nil"/>
              <w:bottom w:val="single" w:sz="4" w:space="0" w:color="auto"/>
              <w:right w:val="single" w:sz="4" w:space="0" w:color="auto"/>
            </w:tcBorders>
            <w:shd w:val="clear" w:color="auto" w:fill="auto"/>
            <w:hideMark/>
          </w:tcPr>
          <w:p w14:paraId="28BA028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Other noted perceived barriers to fruit and vegetable consumption included taste preferences</w:t>
            </w:r>
          </w:p>
        </w:tc>
        <w:tc>
          <w:tcPr>
            <w:tcW w:w="3402" w:type="dxa"/>
            <w:tcBorders>
              <w:top w:val="nil"/>
              <w:left w:val="nil"/>
              <w:bottom w:val="single" w:sz="4" w:space="0" w:color="auto"/>
              <w:right w:val="single" w:sz="4" w:space="0" w:color="auto"/>
            </w:tcBorders>
            <w:shd w:val="clear" w:color="auto" w:fill="auto"/>
            <w:noWrap/>
            <w:hideMark/>
          </w:tcPr>
          <w:p w14:paraId="03007CC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“Yeah, cauliflower is nasty.”</w:t>
            </w:r>
          </w:p>
        </w:tc>
        <w:tc>
          <w:tcPr>
            <w:tcW w:w="2126" w:type="dxa"/>
            <w:tcBorders>
              <w:top w:val="nil"/>
              <w:left w:val="nil"/>
              <w:bottom w:val="single" w:sz="4" w:space="0" w:color="auto"/>
              <w:right w:val="single" w:sz="4" w:space="0" w:color="auto"/>
            </w:tcBorders>
            <w:shd w:val="clear" w:color="auto" w:fill="auto"/>
            <w:hideMark/>
          </w:tcPr>
          <w:p w14:paraId="44C0399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Taste preferences</w:t>
            </w:r>
          </w:p>
        </w:tc>
        <w:tc>
          <w:tcPr>
            <w:tcW w:w="2126" w:type="dxa"/>
            <w:tcBorders>
              <w:top w:val="nil"/>
              <w:left w:val="nil"/>
              <w:bottom w:val="single" w:sz="4" w:space="0" w:color="auto"/>
              <w:right w:val="single" w:sz="4" w:space="0" w:color="auto"/>
            </w:tcBorders>
            <w:shd w:val="clear" w:color="auto" w:fill="auto"/>
            <w:noWrap/>
            <w:hideMark/>
          </w:tcPr>
          <w:p w14:paraId="1D6EE28E"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Cognitive factors</w:t>
            </w:r>
          </w:p>
        </w:tc>
        <w:tc>
          <w:tcPr>
            <w:tcW w:w="1134" w:type="dxa"/>
            <w:tcBorders>
              <w:top w:val="nil"/>
              <w:left w:val="nil"/>
              <w:bottom w:val="single" w:sz="4" w:space="0" w:color="auto"/>
              <w:right w:val="single" w:sz="4" w:space="0" w:color="auto"/>
            </w:tcBorders>
            <w:shd w:val="clear" w:color="auto" w:fill="auto"/>
            <w:noWrap/>
            <w:hideMark/>
          </w:tcPr>
          <w:p w14:paraId="41F613A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185C3AF2"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0940835C" w14:textId="77777777" w:rsidTr="00431DE3">
        <w:trPr>
          <w:trHeight w:val="600"/>
        </w:trPr>
        <w:tc>
          <w:tcPr>
            <w:tcW w:w="1555" w:type="dxa"/>
            <w:tcBorders>
              <w:top w:val="nil"/>
              <w:left w:val="single" w:sz="4" w:space="0" w:color="auto"/>
              <w:bottom w:val="single" w:sz="4" w:space="0" w:color="auto"/>
              <w:right w:val="single" w:sz="4" w:space="0" w:color="auto"/>
            </w:tcBorders>
            <w:shd w:val="clear" w:color="auto" w:fill="auto"/>
            <w:hideMark/>
          </w:tcPr>
          <w:p w14:paraId="3DF6310F"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nil"/>
              <w:left w:val="nil"/>
              <w:bottom w:val="single" w:sz="4" w:space="0" w:color="auto"/>
              <w:right w:val="single" w:sz="4" w:space="0" w:color="auto"/>
            </w:tcBorders>
            <w:shd w:val="clear" w:color="auto" w:fill="auto"/>
            <w:hideMark/>
          </w:tcPr>
          <w:p w14:paraId="28C4F4C0"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3402" w:type="dxa"/>
            <w:tcBorders>
              <w:top w:val="nil"/>
              <w:left w:val="nil"/>
              <w:bottom w:val="single" w:sz="4" w:space="0" w:color="auto"/>
              <w:right w:val="single" w:sz="4" w:space="0" w:color="auto"/>
            </w:tcBorders>
            <w:shd w:val="clear" w:color="auto" w:fill="auto"/>
            <w:hideMark/>
          </w:tcPr>
          <w:p w14:paraId="26EE3D99"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“Maybe like, because my Mum cooks really good things which are healthy at home, that are pretty delicious, so ask the kids like, ‘What do you want?’ instead of just making them steamed vegetables and all that, so you can have something else which is still healthy.”</w:t>
            </w:r>
          </w:p>
        </w:tc>
        <w:tc>
          <w:tcPr>
            <w:tcW w:w="2126" w:type="dxa"/>
            <w:tcBorders>
              <w:top w:val="nil"/>
              <w:left w:val="nil"/>
              <w:bottom w:val="single" w:sz="4" w:space="0" w:color="auto"/>
              <w:right w:val="single" w:sz="4" w:space="0" w:color="auto"/>
            </w:tcBorders>
            <w:shd w:val="clear" w:color="auto" w:fill="auto"/>
            <w:hideMark/>
          </w:tcPr>
          <w:p w14:paraId="1CBDD3E0"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Preparation methods</w:t>
            </w:r>
          </w:p>
        </w:tc>
        <w:tc>
          <w:tcPr>
            <w:tcW w:w="2126" w:type="dxa"/>
            <w:tcBorders>
              <w:top w:val="nil"/>
              <w:left w:val="nil"/>
              <w:bottom w:val="single" w:sz="4" w:space="0" w:color="auto"/>
              <w:right w:val="single" w:sz="4" w:space="0" w:color="auto"/>
            </w:tcBorders>
            <w:shd w:val="clear" w:color="auto" w:fill="auto"/>
            <w:hideMark/>
          </w:tcPr>
          <w:p w14:paraId="3976022E"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1134" w:type="dxa"/>
            <w:tcBorders>
              <w:top w:val="nil"/>
              <w:left w:val="nil"/>
              <w:bottom w:val="single" w:sz="4" w:space="0" w:color="auto"/>
              <w:right w:val="single" w:sz="4" w:space="0" w:color="auto"/>
            </w:tcBorders>
            <w:shd w:val="clear" w:color="auto" w:fill="auto"/>
            <w:noWrap/>
            <w:hideMark/>
          </w:tcPr>
          <w:p w14:paraId="7F3E7553"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1A27F075"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3B258634" w14:textId="77777777" w:rsidTr="00431DE3">
        <w:trPr>
          <w:trHeight w:val="1800"/>
        </w:trPr>
        <w:tc>
          <w:tcPr>
            <w:tcW w:w="1555" w:type="dxa"/>
            <w:tcBorders>
              <w:top w:val="single" w:sz="4" w:space="0" w:color="auto"/>
              <w:left w:val="single" w:sz="4" w:space="0" w:color="auto"/>
              <w:bottom w:val="nil"/>
              <w:right w:val="single" w:sz="4" w:space="0" w:color="auto"/>
            </w:tcBorders>
            <w:shd w:val="clear" w:color="auto" w:fill="auto"/>
            <w:hideMark/>
          </w:tcPr>
          <w:p w14:paraId="0AFC2582"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Stephens, 2015</w:t>
            </w:r>
            <w:r w:rsidRPr="006D54C6">
              <w:rPr>
                <w:rFonts w:eastAsia="Times New Roman" w:cstheme="minorHAnsi"/>
                <w:b/>
                <w:bCs/>
                <w:color w:val="000000"/>
                <w:sz w:val="24"/>
                <w:szCs w:val="24"/>
                <w:lang w:eastAsia="en-IE"/>
              </w:rPr>
              <w:br/>
              <w:t>Australia</w:t>
            </w:r>
          </w:p>
        </w:tc>
        <w:tc>
          <w:tcPr>
            <w:tcW w:w="3969" w:type="dxa"/>
            <w:tcBorders>
              <w:top w:val="single" w:sz="4" w:space="0" w:color="auto"/>
              <w:left w:val="nil"/>
              <w:bottom w:val="single" w:sz="4" w:space="0" w:color="auto"/>
              <w:right w:val="single" w:sz="4" w:space="0" w:color="auto"/>
            </w:tcBorders>
            <w:shd w:val="clear" w:color="auto" w:fill="auto"/>
            <w:hideMark/>
          </w:tcPr>
          <w:p w14:paraId="0637B1D7"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3402" w:type="dxa"/>
            <w:tcBorders>
              <w:top w:val="single" w:sz="4" w:space="0" w:color="auto"/>
              <w:left w:val="nil"/>
              <w:bottom w:val="single" w:sz="4" w:space="0" w:color="auto"/>
              <w:right w:val="single" w:sz="4" w:space="0" w:color="auto"/>
            </w:tcBorders>
            <w:shd w:val="clear" w:color="auto" w:fill="auto"/>
            <w:hideMark/>
          </w:tcPr>
          <w:p w14:paraId="21AE2EC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xml:space="preserve">“If food was </w:t>
            </w:r>
            <w:proofErr w:type="gramStart"/>
            <w:r w:rsidRPr="006D54C6">
              <w:rPr>
                <w:rFonts w:eastAsia="Times New Roman" w:cstheme="minorHAnsi"/>
                <w:color w:val="000000"/>
                <w:sz w:val="24"/>
                <w:szCs w:val="24"/>
                <w:lang w:eastAsia="en-IE"/>
              </w:rPr>
              <w:t>more easier</w:t>
            </w:r>
            <w:proofErr w:type="gramEnd"/>
            <w:r w:rsidRPr="006D54C6">
              <w:rPr>
                <w:rFonts w:eastAsia="Times New Roman" w:cstheme="minorHAnsi"/>
                <w:color w:val="000000"/>
                <w:sz w:val="24"/>
                <w:szCs w:val="24"/>
                <w:lang w:eastAsia="en-IE"/>
              </w:rPr>
              <w:t xml:space="preserve"> to prepare. I already know that [people] have the jars with the tomato sauce and all they </w:t>
            </w:r>
            <w:proofErr w:type="gramStart"/>
            <w:r w:rsidRPr="006D54C6">
              <w:rPr>
                <w:rFonts w:eastAsia="Times New Roman" w:cstheme="minorHAnsi"/>
                <w:color w:val="000000"/>
                <w:sz w:val="24"/>
                <w:szCs w:val="24"/>
                <w:lang w:eastAsia="en-IE"/>
              </w:rPr>
              <w:t>have to</w:t>
            </w:r>
            <w:proofErr w:type="gramEnd"/>
            <w:r w:rsidRPr="006D54C6">
              <w:rPr>
                <w:rFonts w:eastAsia="Times New Roman" w:cstheme="minorHAnsi"/>
                <w:color w:val="000000"/>
                <w:sz w:val="24"/>
                <w:szCs w:val="24"/>
                <w:lang w:eastAsia="en-IE"/>
              </w:rPr>
              <w:t xml:space="preserve"> do is put it in the pan with the meat and the pasta and that's pretty easy. So maybe if that was advertised more, like quick meals and stuff.” </w:t>
            </w:r>
          </w:p>
        </w:tc>
        <w:tc>
          <w:tcPr>
            <w:tcW w:w="2126" w:type="dxa"/>
            <w:tcBorders>
              <w:top w:val="nil"/>
              <w:left w:val="nil"/>
              <w:bottom w:val="single" w:sz="4" w:space="0" w:color="auto"/>
              <w:right w:val="single" w:sz="4" w:space="0" w:color="auto"/>
            </w:tcBorders>
            <w:shd w:val="clear" w:color="auto" w:fill="auto"/>
            <w:hideMark/>
          </w:tcPr>
          <w:p w14:paraId="3244EEBE"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Convenience</w:t>
            </w:r>
          </w:p>
        </w:tc>
        <w:tc>
          <w:tcPr>
            <w:tcW w:w="2126" w:type="dxa"/>
            <w:tcBorders>
              <w:top w:val="nil"/>
              <w:left w:val="nil"/>
              <w:bottom w:val="single" w:sz="4" w:space="0" w:color="auto"/>
              <w:right w:val="single" w:sz="4" w:space="0" w:color="auto"/>
            </w:tcBorders>
            <w:shd w:val="clear" w:color="auto" w:fill="auto"/>
            <w:noWrap/>
            <w:hideMark/>
          </w:tcPr>
          <w:p w14:paraId="1987CB30"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Lifestyle factors</w:t>
            </w:r>
          </w:p>
        </w:tc>
        <w:tc>
          <w:tcPr>
            <w:tcW w:w="1134" w:type="dxa"/>
            <w:tcBorders>
              <w:top w:val="nil"/>
              <w:left w:val="nil"/>
              <w:bottom w:val="single" w:sz="4" w:space="0" w:color="auto"/>
              <w:right w:val="single" w:sz="4" w:space="0" w:color="auto"/>
            </w:tcBorders>
            <w:shd w:val="clear" w:color="auto" w:fill="auto"/>
            <w:noWrap/>
            <w:hideMark/>
          </w:tcPr>
          <w:p w14:paraId="098AB3F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29263E01"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3DF40B21" w14:textId="77777777" w:rsidTr="00431DE3">
        <w:trPr>
          <w:trHeight w:val="1800"/>
        </w:trPr>
        <w:tc>
          <w:tcPr>
            <w:tcW w:w="1555" w:type="dxa"/>
            <w:tcBorders>
              <w:top w:val="nil"/>
              <w:left w:val="single" w:sz="4" w:space="0" w:color="auto"/>
              <w:bottom w:val="nil"/>
              <w:right w:val="single" w:sz="4" w:space="0" w:color="auto"/>
            </w:tcBorders>
            <w:shd w:val="clear" w:color="auto" w:fill="auto"/>
            <w:hideMark/>
          </w:tcPr>
          <w:p w14:paraId="299A4A90"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lastRenderedPageBreak/>
              <w:t> </w:t>
            </w:r>
          </w:p>
        </w:tc>
        <w:tc>
          <w:tcPr>
            <w:tcW w:w="3969" w:type="dxa"/>
            <w:tcBorders>
              <w:top w:val="single" w:sz="4" w:space="0" w:color="auto"/>
              <w:left w:val="nil"/>
              <w:bottom w:val="single" w:sz="4" w:space="0" w:color="auto"/>
              <w:right w:val="single" w:sz="4" w:space="0" w:color="auto"/>
            </w:tcBorders>
            <w:shd w:val="clear" w:color="auto" w:fill="auto"/>
            <w:noWrap/>
            <w:hideMark/>
          </w:tcPr>
          <w:p w14:paraId="1F2B4FB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3402" w:type="dxa"/>
            <w:tcBorders>
              <w:top w:val="single" w:sz="4" w:space="0" w:color="auto"/>
              <w:left w:val="nil"/>
              <w:bottom w:val="single" w:sz="4" w:space="0" w:color="auto"/>
              <w:right w:val="single" w:sz="4" w:space="0" w:color="auto"/>
            </w:tcBorders>
            <w:shd w:val="clear" w:color="auto" w:fill="auto"/>
            <w:hideMark/>
          </w:tcPr>
          <w:p w14:paraId="5B9D7A9D"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xml:space="preserve">“If [fruit and vegetables are] cut up or something and there, it’s ready to eat, I’ll eat it. If there was like less junk food and like only a few </w:t>
            </w:r>
            <w:proofErr w:type="gramStart"/>
            <w:r w:rsidRPr="006D54C6">
              <w:rPr>
                <w:rFonts w:eastAsia="Times New Roman" w:cstheme="minorHAnsi"/>
                <w:color w:val="000000"/>
                <w:sz w:val="24"/>
                <w:szCs w:val="24"/>
                <w:lang w:eastAsia="en-IE"/>
              </w:rPr>
              <w:t>stuff</w:t>
            </w:r>
            <w:proofErr w:type="gramEnd"/>
            <w:r w:rsidRPr="006D54C6">
              <w:rPr>
                <w:rFonts w:eastAsia="Times New Roman" w:cstheme="minorHAnsi"/>
                <w:color w:val="000000"/>
                <w:sz w:val="24"/>
                <w:szCs w:val="24"/>
                <w:lang w:eastAsia="en-IE"/>
              </w:rPr>
              <w:t xml:space="preserve"> of like chip bags and stuff.”</w:t>
            </w:r>
          </w:p>
        </w:tc>
        <w:tc>
          <w:tcPr>
            <w:tcW w:w="2126" w:type="dxa"/>
            <w:tcBorders>
              <w:top w:val="single" w:sz="4" w:space="0" w:color="auto"/>
              <w:left w:val="nil"/>
              <w:bottom w:val="single" w:sz="4" w:space="0" w:color="auto"/>
              <w:right w:val="single" w:sz="4" w:space="0" w:color="auto"/>
            </w:tcBorders>
            <w:shd w:val="clear" w:color="auto" w:fill="auto"/>
            <w:hideMark/>
          </w:tcPr>
          <w:p w14:paraId="4375CB27"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Convenience</w:t>
            </w:r>
          </w:p>
        </w:tc>
        <w:tc>
          <w:tcPr>
            <w:tcW w:w="2126" w:type="dxa"/>
            <w:tcBorders>
              <w:top w:val="single" w:sz="4" w:space="0" w:color="auto"/>
              <w:left w:val="nil"/>
              <w:bottom w:val="single" w:sz="4" w:space="0" w:color="auto"/>
              <w:right w:val="single" w:sz="4" w:space="0" w:color="auto"/>
            </w:tcBorders>
            <w:shd w:val="clear" w:color="auto" w:fill="auto"/>
            <w:noWrap/>
            <w:hideMark/>
          </w:tcPr>
          <w:p w14:paraId="18FF6326"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Lifestyle factors</w:t>
            </w:r>
          </w:p>
        </w:tc>
        <w:tc>
          <w:tcPr>
            <w:tcW w:w="1134" w:type="dxa"/>
            <w:tcBorders>
              <w:top w:val="single" w:sz="4" w:space="0" w:color="auto"/>
              <w:left w:val="nil"/>
              <w:bottom w:val="single" w:sz="4" w:space="0" w:color="auto"/>
              <w:right w:val="single" w:sz="4" w:space="0" w:color="auto"/>
            </w:tcBorders>
            <w:shd w:val="clear" w:color="auto" w:fill="auto"/>
            <w:noWrap/>
            <w:hideMark/>
          </w:tcPr>
          <w:p w14:paraId="188B635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366E3BAC"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5DFF2AF2" w14:textId="77777777" w:rsidTr="00431DE3">
        <w:trPr>
          <w:trHeight w:val="1008"/>
        </w:trPr>
        <w:tc>
          <w:tcPr>
            <w:tcW w:w="1555" w:type="dxa"/>
            <w:tcBorders>
              <w:top w:val="nil"/>
              <w:left w:val="single" w:sz="4" w:space="0" w:color="auto"/>
              <w:bottom w:val="single" w:sz="4" w:space="0" w:color="auto"/>
              <w:right w:val="single" w:sz="4" w:space="0" w:color="auto"/>
            </w:tcBorders>
            <w:shd w:val="clear" w:color="auto" w:fill="auto"/>
            <w:hideMark/>
          </w:tcPr>
          <w:p w14:paraId="565BBC11" w14:textId="77777777" w:rsidR="00664F9C" w:rsidRPr="006D54C6" w:rsidRDefault="00664F9C" w:rsidP="004F658C">
            <w:pPr>
              <w:spacing w:after="0" w:line="240" w:lineRule="auto"/>
              <w:rPr>
                <w:rFonts w:eastAsia="Times New Roman" w:cstheme="minorHAnsi"/>
                <w:b/>
                <w:bCs/>
                <w:color w:val="000000"/>
                <w:sz w:val="24"/>
                <w:szCs w:val="24"/>
                <w:lang w:eastAsia="en-IE"/>
              </w:rPr>
            </w:pPr>
            <w:r w:rsidRPr="006D54C6">
              <w:rPr>
                <w:rFonts w:eastAsia="Times New Roman" w:cstheme="minorHAnsi"/>
                <w:b/>
                <w:bCs/>
                <w:color w:val="000000"/>
                <w:sz w:val="24"/>
                <w:szCs w:val="24"/>
                <w:lang w:eastAsia="en-IE"/>
              </w:rPr>
              <w:t> </w:t>
            </w:r>
          </w:p>
        </w:tc>
        <w:tc>
          <w:tcPr>
            <w:tcW w:w="3969" w:type="dxa"/>
            <w:tcBorders>
              <w:top w:val="single" w:sz="4" w:space="0" w:color="auto"/>
              <w:left w:val="nil"/>
              <w:bottom w:val="single" w:sz="4" w:space="0" w:color="auto"/>
              <w:right w:val="single" w:sz="4" w:space="0" w:color="auto"/>
            </w:tcBorders>
            <w:shd w:val="clear" w:color="auto" w:fill="auto"/>
            <w:noWrap/>
            <w:hideMark/>
          </w:tcPr>
          <w:p w14:paraId="184AB22B"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3402" w:type="dxa"/>
            <w:tcBorders>
              <w:top w:val="single" w:sz="4" w:space="0" w:color="auto"/>
              <w:left w:val="nil"/>
              <w:bottom w:val="single" w:sz="4" w:space="0" w:color="auto"/>
              <w:right w:val="single" w:sz="4" w:space="0" w:color="auto"/>
            </w:tcBorders>
            <w:shd w:val="clear" w:color="auto" w:fill="auto"/>
            <w:hideMark/>
          </w:tcPr>
          <w:p w14:paraId="04A1D4D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"Fruits and vegetables are harder to fix sometimes and take more time"</w:t>
            </w:r>
          </w:p>
        </w:tc>
        <w:tc>
          <w:tcPr>
            <w:tcW w:w="2126" w:type="dxa"/>
            <w:tcBorders>
              <w:top w:val="single" w:sz="4" w:space="0" w:color="auto"/>
              <w:left w:val="nil"/>
              <w:bottom w:val="single" w:sz="4" w:space="0" w:color="auto"/>
              <w:right w:val="single" w:sz="4" w:space="0" w:color="auto"/>
            </w:tcBorders>
            <w:shd w:val="clear" w:color="auto" w:fill="auto"/>
            <w:hideMark/>
          </w:tcPr>
          <w:p w14:paraId="4F7019CC"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Convenience &amp; time</w:t>
            </w:r>
          </w:p>
        </w:tc>
        <w:tc>
          <w:tcPr>
            <w:tcW w:w="2126" w:type="dxa"/>
            <w:tcBorders>
              <w:top w:val="nil"/>
              <w:left w:val="nil"/>
              <w:bottom w:val="single" w:sz="4" w:space="0" w:color="auto"/>
              <w:right w:val="single" w:sz="4" w:space="0" w:color="auto"/>
            </w:tcBorders>
            <w:shd w:val="clear" w:color="auto" w:fill="auto"/>
            <w:noWrap/>
            <w:hideMark/>
          </w:tcPr>
          <w:p w14:paraId="1A9A7616"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Lifestyle factors</w:t>
            </w:r>
          </w:p>
        </w:tc>
        <w:tc>
          <w:tcPr>
            <w:tcW w:w="1134" w:type="dxa"/>
            <w:tcBorders>
              <w:top w:val="nil"/>
              <w:left w:val="nil"/>
              <w:bottom w:val="single" w:sz="4" w:space="0" w:color="auto"/>
              <w:right w:val="single" w:sz="4" w:space="0" w:color="auto"/>
            </w:tcBorders>
            <w:shd w:val="clear" w:color="auto" w:fill="auto"/>
            <w:noWrap/>
            <w:hideMark/>
          </w:tcPr>
          <w:p w14:paraId="32B0EEB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48C23885" w14:textId="77777777" w:rsidR="00664F9C" w:rsidRPr="006D54C6" w:rsidRDefault="00664F9C" w:rsidP="004F658C">
            <w:pPr>
              <w:spacing w:after="0" w:line="240" w:lineRule="auto"/>
              <w:rPr>
                <w:rFonts w:eastAsia="Times New Roman" w:cstheme="minorHAnsi"/>
                <w:color w:val="000000"/>
                <w:sz w:val="24"/>
                <w:szCs w:val="24"/>
                <w:lang w:eastAsia="en-IE"/>
              </w:rPr>
            </w:pPr>
          </w:p>
        </w:tc>
      </w:tr>
      <w:tr w:rsidR="00431DE3" w:rsidRPr="008F3CAE" w14:paraId="08CBE06B" w14:textId="77777777" w:rsidTr="00431DE3">
        <w:trPr>
          <w:trHeight w:val="12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211F5D95" w14:textId="77777777" w:rsidR="00664F9C" w:rsidRPr="006D54C6" w:rsidRDefault="00664F9C" w:rsidP="004F658C">
            <w:pPr>
              <w:spacing w:after="0" w:line="240" w:lineRule="auto"/>
              <w:rPr>
                <w:rFonts w:eastAsia="Times New Roman" w:cstheme="minorHAnsi"/>
                <w:b/>
                <w:bCs/>
                <w:color w:val="000000"/>
                <w:sz w:val="24"/>
                <w:szCs w:val="24"/>
                <w:lang w:eastAsia="en-IE"/>
              </w:rPr>
            </w:pPr>
            <w:proofErr w:type="spellStart"/>
            <w:r w:rsidRPr="006D54C6">
              <w:rPr>
                <w:rFonts w:eastAsia="Times New Roman" w:cstheme="minorHAnsi"/>
                <w:b/>
                <w:bCs/>
                <w:color w:val="000000"/>
                <w:sz w:val="24"/>
                <w:szCs w:val="24"/>
                <w:lang w:eastAsia="en-IE"/>
              </w:rPr>
              <w:t>Neumark-Sztainer</w:t>
            </w:r>
            <w:proofErr w:type="spellEnd"/>
            <w:r w:rsidRPr="006D54C6">
              <w:rPr>
                <w:rFonts w:eastAsia="Times New Roman" w:cstheme="minorHAnsi"/>
                <w:b/>
                <w:bCs/>
                <w:color w:val="000000"/>
                <w:sz w:val="24"/>
                <w:szCs w:val="24"/>
                <w:lang w:eastAsia="en-IE"/>
              </w:rPr>
              <w:t>, 1999</w:t>
            </w:r>
            <w:r w:rsidRPr="006D54C6">
              <w:rPr>
                <w:rFonts w:eastAsia="Times New Roman" w:cstheme="minorHAnsi"/>
                <w:b/>
                <w:bCs/>
                <w:color w:val="000000"/>
                <w:sz w:val="24"/>
                <w:szCs w:val="24"/>
                <w:lang w:eastAsia="en-IE"/>
              </w:rPr>
              <w:br/>
              <w:t>US</w:t>
            </w:r>
          </w:p>
        </w:tc>
        <w:tc>
          <w:tcPr>
            <w:tcW w:w="3969" w:type="dxa"/>
            <w:tcBorders>
              <w:top w:val="nil"/>
              <w:left w:val="nil"/>
              <w:bottom w:val="single" w:sz="4" w:space="0" w:color="auto"/>
              <w:right w:val="single" w:sz="4" w:space="0" w:color="auto"/>
            </w:tcBorders>
            <w:shd w:val="clear" w:color="auto" w:fill="auto"/>
            <w:hideMark/>
          </w:tcPr>
          <w:p w14:paraId="4B55E489"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xml:space="preserve">Some said that fruits, vegetables, and dairy foods are not as convenient as other food because fruits </w:t>
            </w:r>
            <w:proofErr w:type="gramStart"/>
            <w:r w:rsidRPr="006D54C6">
              <w:rPr>
                <w:rFonts w:eastAsia="Times New Roman" w:cstheme="minorHAnsi"/>
                <w:color w:val="000000"/>
                <w:sz w:val="24"/>
                <w:szCs w:val="24"/>
                <w:lang w:eastAsia="en-IE"/>
              </w:rPr>
              <w:t>have to</w:t>
            </w:r>
            <w:proofErr w:type="gramEnd"/>
            <w:r w:rsidRPr="006D54C6">
              <w:rPr>
                <w:rFonts w:eastAsia="Times New Roman" w:cstheme="minorHAnsi"/>
                <w:color w:val="000000"/>
                <w:sz w:val="24"/>
                <w:szCs w:val="24"/>
                <w:lang w:eastAsia="en-IE"/>
              </w:rPr>
              <w:t xml:space="preserve"> be peeled, vegetables need to be cooked, and it is hard to get fruits or vegetables at a fast-food restaurant.</w:t>
            </w:r>
          </w:p>
        </w:tc>
        <w:tc>
          <w:tcPr>
            <w:tcW w:w="3402" w:type="dxa"/>
            <w:tcBorders>
              <w:top w:val="nil"/>
              <w:left w:val="nil"/>
              <w:bottom w:val="single" w:sz="4" w:space="0" w:color="auto"/>
              <w:right w:val="single" w:sz="4" w:space="0" w:color="auto"/>
            </w:tcBorders>
            <w:shd w:val="clear" w:color="auto" w:fill="auto"/>
            <w:hideMark/>
          </w:tcPr>
          <w:p w14:paraId="392D3995"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 </w:t>
            </w:r>
          </w:p>
        </w:tc>
        <w:tc>
          <w:tcPr>
            <w:tcW w:w="2126" w:type="dxa"/>
            <w:tcBorders>
              <w:top w:val="nil"/>
              <w:left w:val="nil"/>
              <w:bottom w:val="single" w:sz="4" w:space="0" w:color="auto"/>
              <w:right w:val="single" w:sz="4" w:space="0" w:color="auto"/>
            </w:tcBorders>
            <w:shd w:val="clear" w:color="auto" w:fill="auto"/>
            <w:hideMark/>
          </w:tcPr>
          <w:p w14:paraId="1706CC7E"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Lack of convenience</w:t>
            </w:r>
          </w:p>
        </w:tc>
        <w:tc>
          <w:tcPr>
            <w:tcW w:w="2126" w:type="dxa"/>
            <w:tcBorders>
              <w:top w:val="nil"/>
              <w:left w:val="nil"/>
              <w:bottom w:val="single" w:sz="4" w:space="0" w:color="auto"/>
              <w:right w:val="single" w:sz="4" w:space="0" w:color="auto"/>
            </w:tcBorders>
            <w:shd w:val="clear" w:color="auto" w:fill="auto"/>
            <w:hideMark/>
          </w:tcPr>
          <w:p w14:paraId="7ADFBC8F"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Lifestyle factors</w:t>
            </w:r>
          </w:p>
        </w:tc>
        <w:tc>
          <w:tcPr>
            <w:tcW w:w="1134" w:type="dxa"/>
            <w:tcBorders>
              <w:top w:val="nil"/>
              <w:left w:val="nil"/>
              <w:bottom w:val="single" w:sz="4" w:space="0" w:color="auto"/>
              <w:right w:val="single" w:sz="4" w:space="0" w:color="auto"/>
            </w:tcBorders>
            <w:shd w:val="clear" w:color="auto" w:fill="auto"/>
            <w:noWrap/>
            <w:hideMark/>
          </w:tcPr>
          <w:p w14:paraId="7451C264" w14:textId="77777777" w:rsidR="00664F9C" w:rsidRPr="006D54C6" w:rsidRDefault="00664F9C" w:rsidP="004F658C">
            <w:pPr>
              <w:spacing w:after="0" w:line="240" w:lineRule="auto"/>
              <w:rPr>
                <w:rFonts w:eastAsia="Times New Roman" w:cstheme="minorHAnsi"/>
                <w:color w:val="000000"/>
                <w:sz w:val="24"/>
                <w:szCs w:val="24"/>
                <w:lang w:eastAsia="en-IE"/>
              </w:rPr>
            </w:pPr>
            <w:r w:rsidRPr="006D54C6">
              <w:rPr>
                <w:rFonts w:eastAsia="Times New Roman" w:cstheme="minorHAnsi"/>
                <w:color w:val="000000"/>
                <w:sz w:val="24"/>
                <w:szCs w:val="24"/>
                <w:lang w:eastAsia="en-IE"/>
              </w:rPr>
              <w:t>Personal factors</w:t>
            </w:r>
          </w:p>
        </w:tc>
        <w:tc>
          <w:tcPr>
            <w:tcW w:w="236" w:type="dxa"/>
            <w:tcBorders>
              <w:top w:val="nil"/>
              <w:left w:val="nil"/>
              <w:bottom w:val="nil"/>
              <w:right w:val="nil"/>
            </w:tcBorders>
            <w:shd w:val="clear" w:color="auto" w:fill="auto"/>
            <w:noWrap/>
            <w:hideMark/>
          </w:tcPr>
          <w:p w14:paraId="7F9B6DAF" w14:textId="77777777" w:rsidR="00664F9C" w:rsidRPr="006D54C6" w:rsidRDefault="00664F9C" w:rsidP="004F658C">
            <w:pPr>
              <w:spacing w:after="0" w:line="240" w:lineRule="auto"/>
              <w:rPr>
                <w:rFonts w:eastAsia="Times New Roman" w:cstheme="minorHAnsi"/>
                <w:color w:val="000000"/>
                <w:sz w:val="24"/>
                <w:szCs w:val="24"/>
                <w:lang w:eastAsia="en-IE"/>
              </w:rPr>
            </w:pPr>
          </w:p>
        </w:tc>
      </w:tr>
    </w:tbl>
    <w:p w14:paraId="7DEC5D30" w14:textId="77777777" w:rsidR="00664F9C" w:rsidRPr="007F356E" w:rsidRDefault="00664F9C" w:rsidP="00C11F6C">
      <w:pPr>
        <w:rPr>
          <w:sz w:val="24"/>
          <w:szCs w:val="24"/>
        </w:rPr>
      </w:pPr>
    </w:p>
    <w:sectPr w:rsidR="00664F9C" w:rsidRPr="007F356E" w:rsidSect="00664F9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9E"/>
    <w:rsid w:val="002F7973"/>
    <w:rsid w:val="00431DE3"/>
    <w:rsid w:val="0053279E"/>
    <w:rsid w:val="0065788C"/>
    <w:rsid w:val="00664F9C"/>
    <w:rsid w:val="007F356E"/>
    <w:rsid w:val="00944DEB"/>
    <w:rsid w:val="00C11F6C"/>
    <w:rsid w:val="00C436F1"/>
    <w:rsid w:val="00C96C70"/>
    <w:rsid w:val="00F508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0A33"/>
  <w15:chartTrackingRefBased/>
  <w15:docId w15:val="{85053242-193D-42AC-A906-ACA095A4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96C70"/>
    <w:pPr>
      <w:spacing w:after="0" w:line="240" w:lineRule="auto"/>
    </w:pPr>
    <w:rPr>
      <w:rFonts w:ascii="Times" w:eastAsia="Times New Roman" w:hAnsi="Times" w:cs="Times New Roman"/>
      <w:sz w:val="15"/>
      <w:szCs w:val="15"/>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59947">
      <w:bodyDiv w:val="1"/>
      <w:marLeft w:val="0"/>
      <w:marRight w:val="0"/>
      <w:marTop w:val="0"/>
      <w:marBottom w:val="0"/>
      <w:divBdr>
        <w:top w:val="none" w:sz="0" w:space="0" w:color="auto"/>
        <w:left w:val="none" w:sz="0" w:space="0" w:color="auto"/>
        <w:bottom w:val="none" w:sz="0" w:space="0" w:color="auto"/>
        <w:right w:val="none" w:sz="0" w:space="0" w:color="auto"/>
      </w:divBdr>
    </w:div>
    <w:div w:id="1167555183">
      <w:bodyDiv w:val="1"/>
      <w:marLeft w:val="0"/>
      <w:marRight w:val="0"/>
      <w:marTop w:val="0"/>
      <w:marBottom w:val="0"/>
      <w:divBdr>
        <w:top w:val="none" w:sz="0" w:space="0" w:color="auto"/>
        <w:left w:val="none" w:sz="0" w:space="0" w:color="auto"/>
        <w:bottom w:val="none" w:sz="0" w:space="0" w:color="auto"/>
        <w:right w:val="none" w:sz="0" w:space="0" w:color="auto"/>
      </w:divBdr>
    </w:div>
    <w:div w:id="119388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Bel-Serrat</dc:creator>
  <cp:keywords/>
  <dc:description/>
  <cp:lastModifiedBy>Silvia Bel-Serrat</cp:lastModifiedBy>
  <cp:revision>6</cp:revision>
  <dcterms:created xsi:type="dcterms:W3CDTF">2020-11-04T14:40:00Z</dcterms:created>
  <dcterms:modified xsi:type="dcterms:W3CDTF">2022-09-25T07:57:00Z</dcterms:modified>
</cp:coreProperties>
</file>