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BB8A2" w14:textId="77777777" w:rsidR="00F740F8" w:rsidRDefault="00F740F8" w:rsidP="00F713F5">
      <w:pPr>
        <w:jc w:val="center"/>
        <w:rPr>
          <w:rFonts w:ascii="Times New Roman" w:hAnsi="Times New Roman" w:cs="Times New Roman"/>
        </w:rPr>
      </w:pPr>
      <w:r w:rsidRPr="00F740F8">
        <w:rPr>
          <w:rFonts w:ascii="Times New Roman" w:hAnsi="Times New Roman" w:cs="Times New Roman"/>
        </w:rPr>
        <w:t>Outcome domains measured in randomized controlled trials of physical activity for older adults: A rapid review</w:t>
      </w:r>
    </w:p>
    <w:p w14:paraId="400D3FE8" w14:textId="77777777" w:rsidR="00F740F8" w:rsidRDefault="00F740F8">
      <w:pPr>
        <w:rPr>
          <w:rFonts w:ascii="Times New Roman" w:hAnsi="Times New Roman" w:cs="Times New Roman"/>
        </w:rPr>
      </w:pPr>
    </w:p>
    <w:p w14:paraId="2E73DE10" w14:textId="780E6CFE" w:rsidR="006A7BC0" w:rsidRPr="00F740F8" w:rsidRDefault="00C40E60">
      <w:pPr>
        <w:rPr>
          <w:rFonts w:ascii="Times New Roman" w:hAnsi="Times New Roman" w:cs="Times New Roman"/>
        </w:rPr>
      </w:pPr>
      <w:r>
        <w:rPr>
          <w:rFonts w:ascii="Times New Roman" w:hAnsi="Times New Roman" w:cs="Times New Roman"/>
        </w:rPr>
        <w:t>Additional</w:t>
      </w:r>
      <w:r w:rsidR="00F740F8" w:rsidRPr="00F740F8">
        <w:rPr>
          <w:rFonts w:ascii="Times New Roman" w:hAnsi="Times New Roman" w:cs="Times New Roman"/>
        </w:rPr>
        <w:t xml:space="preserve"> </w:t>
      </w:r>
      <w:r>
        <w:rPr>
          <w:rFonts w:ascii="Times New Roman" w:hAnsi="Times New Roman" w:cs="Times New Roman"/>
        </w:rPr>
        <w:t>f</w:t>
      </w:r>
      <w:r w:rsidR="00F740F8" w:rsidRPr="00F740F8">
        <w:rPr>
          <w:rFonts w:ascii="Times New Roman" w:hAnsi="Times New Roman" w:cs="Times New Roman"/>
        </w:rPr>
        <w:t xml:space="preserve">ile </w:t>
      </w:r>
      <w:r w:rsidR="00753B1A">
        <w:rPr>
          <w:rFonts w:ascii="Times New Roman" w:hAnsi="Times New Roman" w:cs="Times New Roman"/>
        </w:rPr>
        <w:t>3</w:t>
      </w:r>
      <w:bookmarkStart w:id="0" w:name="_GoBack"/>
      <w:bookmarkEnd w:id="0"/>
    </w:p>
    <w:p w14:paraId="1DB62DC9" w14:textId="77777777" w:rsidR="00F740F8" w:rsidRDefault="00F740F8">
      <w:pPr>
        <w:rPr>
          <w:rFonts w:ascii="Times New Roman" w:hAnsi="Times New Roman" w:cs="Times New Roman"/>
        </w:rPr>
      </w:pPr>
    </w:p>
    <w:p w14:paraId="2E0554F5" w14:textId="3998341F" w:rsidR="00356671" w:rsidRDefault="00356671" w:rsidP="00356671">
      <w:pPr>
        <w:rPr>
          <w:rFonts w:ascii="Times New Roman" w:hAnsi="Times New Roman" w:cs="Times New Roman"/>
          <w:lang w:val="en-CA"/>
        </w:rPr>
      </w:pPr>
      <w:r>
        <w:rPr>
          <w:rFonts w:ascii="Times New Roman" w:hAnsi="Times New Roman" w:cs="Times New Roman"/>
          <w:lang w:val="en-CA"/>
        </w:rPr>
        <w:t>Applying the COMET taxonomy</w:t>
      </w:r>
      <w:r w:rsidR="007E070A">
        <w:rPr>
          <w:rFonts w:ascii="Times New Roman" w:hAnsi="Times New Roman" w:cs="Times New Roman"/>
          <w:lang w:val="en-CA"/>
        </w:rPr>
        <w:t xml:space="preserve"> </w:t>
      </w:r>
      <w:r w:rsidR="004E14DD">
        <w:rPr>
          <w:rFonts w:ascii="Times New Roman" w:hAnsi="Times New Roman" w:cs="Times New Roman"/>
          <w:lang w:val="en-CA"/>
        </w:rPr>
        <w:fldChar w:fldCharType="begin" w:fldLock="1"/>
      </w:r>
      <w:r w:rsidR="004E14DD">
        <w:rPr>
          <w:rFonts w:ascii="Times New Roman" w:hAnsi="Times New Roman" w:cs="Times New Roman"/>
          <w:lang w:val="en-CA"/>
        </w:rPr>
        <w:instrText>ADDIN CSL_CITATION {"citationItems":[{"id":"ITEM-1","itemData":{"DOI":"10.1016/j.jclinepi.2017.12.020","ISSN":"1878-5921 (Electronic)","PMID":"29288712","abstract":"OBJECTIVES: There is increasing recognition that insufficient attention has been  paid to the choice of outcomes measured in clinical trials. The lack of a standardized outcome classification system results in inconsistencies due to ambiguity and variation in how outcomes are described across different studies. Being able to classify by outcome would increase efficiency in searching sources such as clinical trial registries, patient registries, the Cochrane Database of Systematic Reviews, and the Core Outcome Measures in Effectiveness Trials (COMET) database of core outcome sets (COS), thus aiding knowledge discovery. STUDY DESIGN AND SETTING: A literature review was carried out to determine existing outcome classification systems, none of which were sufficiently comprehensive or granular for classification of all potential outcomes from clinical trials. A new taxonomy for outcome classification was developed, and as proof of principle, outcomes extracted from all published COS in the COMET database, selected Cochrane reviews, and clinical trial registry entries were classified using this new system. RESULTS: Application of this new taxonomy to COS in the COMET database revealed that 274/299 (92%) COS include at least one physiological outcome, whereas only 177 (59%) include at least one measure of impact (global quality of life or some measure of functioning) and only 105 (35%) made reference to adverse events. CONCLUSIONS: This outcome taxonomy will be used to annotate outcomes included in COS within the COMET database and is currently being piloted for use in Cochrane Reviews within the Cochrane Linked Data Project. Wider implementation of this standard taxonomy in trial and systematic review databases and registries will further promote efficient searching, reporting, and classification of trial outcomes.","author":[{"dropping-particle":"","family":"Dodd","given":"Susanna","non-dropping-particle":"","parse-names":false,"suffix":""},{"dropping-particle":"","family":"Clarke","given":"Mike","non-dropping-particle":"","parse-names":false,"suffix":""},{"dropping-particle":"","family":"Becker","given":"Lorne","non-dropping-particle":"","parse-names":false,"suffix":""},{"dropping-particle":"","family":"Mavergames","given":"Chris","non-dropping-particle":"","parse-names":false,"suffix":""},{"dropping-particle":"","family":"Fish","given":"Rebecca","non-dropping-particle":"","parse-names":false,"suffix":""},{"dropping-particle":"","family":"Williamson","given":"Paula R","non-dropping-particle":"","parse-names":false,"suffix":""}],"container-title":"Journal of clinical epidemiology","id":"ITEM-1","issued":{"date-parts":[["2018","4"]]},"language":"eng","page":"84-92","publisher-place":"United States","title":"A taxonomy has been developed for outcomes in medical research to help improve  knowledge discovery.","type":"article-journal","volume":"96"},"uris":["http://www.mendeley.com/documents/?uuid=8365d7af-be3d-42d4-9241-ba3489f06d34"]}],"mendeley":{"formattedCitation":"[1]","plainTextFormattedCitation":"[1]","previouslyFormattedCitation":"[1]"},"properties":{"noteIndex":0},"schema":"https://github.com/citation-style-language/schema/raw/master/csl-citation.json"}</w:instrText>
      </w:r>
      <w:r w:rsidR="004E14DD">
        <w:rPr>
          <w:rFonts w:ascii="Times New Roman" w:hAnsi="Times New Roman" w:cs="Times New Roman"/>
          <w:lang w:val="en-CA"/>
        </w:rPr>
        <w:fldChar w:fldCharType="separate"/>
      </w:r>
      <w:r w:rsidR="004E14DD" w:rsidRPr="004E14DD">
        <w:rPr>
          <w:rFonts w:ascii="Times New Roman" w:hAnsi="Times New Roman" w:cs="Times New Roman"/>
          <w:noProof/>
          <w:lang w:val="en-CA"/>
        </w:rPr>
        <w:t>[1]</w:t>
      </w:r>
      <w:r w:rsidR="004E14DD">
        <w:rPr>
          <w:rFonts w:ascii="Times New Roman" w:hAnsi="Times New Roman" w:cs="Times New Roman"/>
          <w:lang w:val="en-CA"/>
        </w:rPr>
        <w:fldChar w:fldCharType="end"/>
      </w:r>
      <w:r>
        <w:rPr>
          <w:rFonts w:ascii="Times New Roman" w:hAnsi="Times New Roman" w:cs="Times New Roman"/>
          <w:lang w:val="en-CA"/>
        </w:rPr>
        <w:t xml:space="preserve"> to some outcomes required discussion among the researchers; decisions about outcome classification are detailed here:</w:t>
      </w:r>
    </w:p>
    <w:p w14:paraId="1D990D94" w14:textId="77777777" w:rsidR="00356671" w:rsidRDefault="00356671" w:rsidP="00356671">
      <w:pPr>
        <w:rPr>
          <w:rFonts w:ascii="Times New Roman" w:hAnsi="Times New Roman" w:cs="Times New Roman"/>
          <w:lang w:val="en-CA"/>
        </w:rPr>
      </w:pPr>
    </w:p>
    <w:p w14:paraId="13AAA0B0"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xml:space="preserve">Fall risk assessments (e.g., </w:t>
      </w:r>
      <w:r>
        <w:rPr>
          <w:rFonts w:ascii="Times New Roman" w:hAnsi="Times New Roman" w:cs="Times New Roman"/>
          <w:lang w:val="en-CA"/>
        </w:rPr>
        <w:t xml:space="preserve">Physiological Profile Assessment) were </w:t>
      </w:r>
      <w:r w:rsidRPr="00E44947">
        <w:rPr>
          <w:rFonts w:ascii="Times New Roman" w:hAnsi="Times New Roman" w:cs="Times New Roman"/>
          <w:lang w:val="en-CA"/>
        </w:rPr>
        <w:t xml:space="preserve">classified as </w:t>
      </w:r>
      <w:r>
        <w:rPr>
          <w:rFonts w:ascii="Times New Roman" w:hAnsi="Times New Roman" w:cs="Times New Roman"/>
          <w:lang w:val="en-CA"/>
        </w:rPr>
        <w:t>‘general outcomes’ (under core area = p</w:t>
      </w:r>
      <w:r w:rsidRPr="00E44947">
        <w:rPr>
          <w:rFonts w:ascii="Times New Roman" w:hAnsi="Times New Roman" w:cs="Times New Roman"/>
          <w:lang w:val="en-CA"/>
        </w:rPr>
        <w:t>hysiological/clinical</w:t>
      </w:r>
      <w:r>
        <w:rPr>
          <w:rFonts w:ascii="Times New Roman" w:hAnsi="Times New Roman" w:cs="Times New Roman"/>
          <w:lang w:val="en-CA"/>
        </w:rPr>
        <w:t xml:space="preserve">), as such </w:t>
      </w:r>
      <w:r w:rsidRPr="00E44947">
        <w:rPr>
          <w:rFonts w:ascii="Times New Roman" w:hAnsi="Times New Roman" w:cs="Times New Roman"/>
          <w:lang w:val="en-CA"/>
        </w:rPr>
        <w:t>assessments often probe whole body risk.</w:t>
      </w:r>
    </w:p>
    <w:p w14:paraId="13E34314"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w:t>
      </w:r>
    </w:p>
    <w:p w14:paraId="10910027" w14:textId="435568EF"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xml:space="preserve">Frailty </w:t>
      </w:r>
      <w:r>
        <w:rPr>
          <w:rFonts w:ascii="Times New Roman" w:hAnsi="Times New Roman" w:cs="Times New Roman"/>
          <w:lang w:val="en-CA"/>
        </w:rPr>
        <w:t>was</w:t>
      </w:r>
      <w:r w:rsidRPr="00E44947">
        <w:rPr>
          <w:rFonts w:ascii="Times New Roman" w:hAnsi="Times New Roman" w:cs="Times New Roman"/>
          <w:lang w:val="en-CA"/>
        </w:rPr>
        <w:t xml:space="preserve"> classified as </w:t>
      </w:r>
      <w:r>
        <w:rPr>
          <w:rFonts w:ascii="Times New Roman" w:hAnsi="Times New Roman" w:cs="Times New Roman"/>
          <w:lang w:val="en-CA"/>
        </w:rPr>
        <w:t>‘general outcomes’ (under core area = p</w:t>
      </w:r>
      <w:r w:rsidRPr="00E44947">
        <w:rPr>
          <w:rFonts w:ascii="Times New Roman" w:hAnsi="Times New Roman" w:cs="Times New Roman"/>
          <w:lang w:val="en-CA"/>
        </w:rPr>
        <w:t>hysiological/clinical</w:t>
      </w:r>
      <w:r>
        <w:rPr>
          <w:rFonts w:ascii="Times New Roman" w:hAnsi="Times New Roman" w:cs="Times New Roman"/>
          <w:lang w:val="en-CA"/>
        </w:rPr>
        <w:t>) because f</w:t>
      </w:r>
      <w:r w:rsidRPr="00E44947">
        <w:rPr>
          <w:rFonts w:ascii="Times New Roman" w:hAnsi="Times New Roman" w:cs="Times New Roman"/>
          <w:lang w:val="en-CA"/>
        </w:rPr>
        <w:t>railty is a clinical condition affecting the whole body and cannot be attributed to a certain body system</w:t>
      </w:r>
      <w:r>
        <w:rPr>
          <w:rFonts w:ascii="Times New Roman" w:hAnsi="Times New Roman" w:cs="Times New Roman"/>
          <w:lang w:val="en-CA"/>
        </w:rPr>
        <w:t xml:space="preserve"> </w:t>
      </w:r>
      <w:r w:rsidR="005013F4">
        <w:rPr>
          <w:rFonts w:ascii="Times New Roman" w:hAnsi="Times New Roman" w:cs="Times New Roman"/>
          <w:lang w:val="en-CA"/>
        </w:rPr>
        <w:fldChar w:fldCharType="begin" w:fldLock="1"/>
      </w:r>
      <w:r w:rsidR="005013F4">
        <w:rPr>
          <w:rFonts w:ascii="Times New Roman" w:hAnsi="Times New Roman" w:cs="Times New Roman"/>
          <w:lang w:val="en-CA"/>
        </w:rPr>
        <w:instrText>ADDIN CSL_CITATION {"citationItems":[{"id":"ITEM-1","itemData":{"DOI":"10.1016/j.apmr.2020.10.136","ISSN":"1532-821X (Electronic)","PMID":"33253693","abstract":"OBJECTIVE: To identify core domains for research studies of physical activity and sedentary behavior during hospitalization for older adults with an acute medical illness. DESIGN: A 4-Round Delphi consensus process. Round 1 invited responses to open-ended questions to generate items for the core domains research. In rounds 2-4, participants were invited to use a Likert scale (1-9) to rate the importance of each core domain for research studies of physical activity and/or sedentary behavior in hospitalized older adults with an acute medical illness. SETTING: Online surveys. PARTICIPANTS: A total of 49 participants were invited to each round (international researchers, clinicians, policy makers and patients). Response rates across rounds 1-4 were 94%, 88%, 83% and 81%, respectively. INTERVENTIONS: None. MAIN OUTCOME MEASURES: Consensus was defined a priori as ≥70% of respondents rating an item as \"critical\" (score≥7) and ≤15% of respondents rating an item as \"not important\" (score≤3). RESULTS: In round 2, a total of 9 of 25 core domains reached consensus agreement (physical functioning, general, role functioning, emotional functioning, global quality of life, hospital, psychiatric, cognitive functioning, carer burden). In round 3, an additional 8 reached consensus (adverse events, perceived health status, musculoskeletal, social functioning, vascular, cardiac, mortality, economic). Round 4 participants provided further review and a final rating of all 17 core domains that met consensus in previous rounds. Four core domains were rated as \"critically important\" to evaluate: physical functioning, social functioning, emotional functioning, and hospital outcomes. CONCLUSIONS: This preliminary work provides international and expert consensus-based core domains for development toward a core-outcome set for research, with the ultimate goal of fostering consistency in outcomes and reporting to accelerate research on effective strategies to address physical activity and/or sedentary behavior in older adults while hospitalized.","author":[{"dropping-particle":"","family":"Baldwin","given":"Claire E","non-dropping-particle":"","parse-names":false,"suffix":""},{"dropping-particle":"","family":"Phillips","given":"Anna C","non-dropping-particle":"","parse-names":false,"suffix":""},{"dropping-particle":"","family":"Edney","given":"Sarah M","non-dropping-particle":"","parse-names":false,"suffix":""},{"dropping-particle":"","family":"Lewis","given":"Lucy K","non-dropping-particle":"","parse-names":false,"suffix":""}],"container-title":"Archives of physical medicine and rehabilitation","id":"ITEM-1","issue":"4","issued":{"date-parts":[["2021","4"]]},"language":"eng","page":"664-674","publisher-place":"United States","title":"Core domains for research on hospital inactivity in acutely ill older adults: A delphi consensus study","type":"article-journal","volume":"102"},"uris":["http://www.mendeley.com/documents/?uuid=7a3ecb3d-d2a1-4fe5-8f07-7a226b180f2a"]}],"mendeley":{"formattedCitation":"[2]","plainTextFormattedCitation":"[2]","previouslyFormattedCitation":"[2]"},"properties":{"noteIndex":0},"schema":"https://github.com/citation-style-language/schema/raw/master/csl-citation.json"}</w:instrText>
      </w:r>
      <w:r w:rsidR="005013F4">
        <w:rPr>
          <w:rFonts w:ascii="Times New Roman" w:hAnsi="Times New Roman" w:cs="Times New Roman"/>
          <w:lang w:val="en-CA"/>
        </w:rPr>
        <w:fldChar w:fldCharType="separate"/>
      </w:r>
      <w:r w:rsidR="005013F4" w:rsidRPr="005013F4">
        <w:rPr>
          <w:rFonts w:ascii="Times New Roman" w:hAnsi="Times New Roman" w:cs="Times New Roman"/>
          <w:noProof/>
          <w:lang w:val="en-CA"/>
        </w:rPr>
        <w:t>[2]</w:t>
      </w:r>
      <w:r w:rsidR="005013F4">
        <w:rPr>
          <w:rFonts w:ascii="Times New Roman" w:hAnsi="Times New Roman" w:cs="Times New Roman"/>
          <w:lang w:val="en-CA"/>
        </w:rPr>
        <w:fldChar w:fldCharType="end"/>
      </w:r>
      <w:r w:rsidR="005013F4">
        <w:rPr>
          <w:rFonts w:ascii="Times New Roman" w:hAnsi="Times New Roman" w:cs="Times New Roman"/>
          <w:lang w:val="en-CA"/>
        </w:rPr>
        <w:t>.</w:t>
      </w:r>
    </w:p>
    <w:p w14:paraId="25BFA040"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w:t>
      </w:r>
    </w:p>
    <w:p w14:paraId="4373870C" w14:textId="77777777" w:rsidR="00356671" w:rsidRDefault="00356671" w:rsidP="00356671">
      <w:pPr>
        <w:ind w:left="567"/>
        <w:rPr>
          <w:rFonts w:ascii="Times New Roman" w:hAnsi="Times New Roman" w:cs="Times New Roman"/>
          <w:lang w:val="en-CA"/>
        </w:rPr>
      </w:pPr>
      <w:r w:rsidRPr="00E44947">
        <w:rPr>
          <w:rFonts w:ascii="Times New Roman" w:hAnsi="Times New Roman" w:cs="Times New Roman"/>
          <w:lang w:val="en-CA"/>
        </w:rPr>
        <w:t>Measures of muscle strength (</w:t>
      </w:r>
      <w:r>
        <w:rPr>
          <w:rFonts w:ascii="Times New Roman" w:hAnsi="Times New Roman" w:cs="Times New Roman"/>
          <w:lang w:val="en-CA"/>
        </w:rPr>
        <w:t>e.g.,</w:t>
      </w:r>
      <w:r w:rsidRPr="00E44947">
        <w:rPr>
          <w:rFonts w:ascii="Times New Roman" w:hAnsi="Times New Roman" w:cs="Times New Roman"/>
          <w:lang w:val="en-CA"/>
        </w:rPr>
        <w:t xml:space="preserve"> lower extremity, upper extremity, hand grip), muscle power, muscle fatigue, </w:t>
      </w:r>
      <w:r>
        <w:rPr>
          <w:rFonts w:ascii="Times New Roman" w:hAnsi="Times New Roman" w:cs="Times New Roman"/>
          <w:lang w:val="en-CA"/>
        </w:rPr>
        <w:t xml:space="preserve">and </w:t>
      </w:r>
      <w:r w:rsidRPr="00E44947">
        <w:rPr>
          <w:rFonts w:ascii="Times New Roman" w:hAnsi="Times New Roman" w:cs="Times New Roman"/>
          <w:lang w:val="en-CA"/>
        </w:rPr>
        <w:t>muscle torque</w:t>
      </w:r>
      <w:r>
        <w:rPr>
          <w:rFonts w:ascii="Times New Roman" w:hAnsi="Times New Roman" w:cs="Times New Roman"/>
          <w:lang w:val="en-CA"/>
        </w:rPr>
        <w:t xml:space="preserve"> were </w:t>
      </w:r>
      <w:r w:rsidRPr="00E44947">
        <w:rPr>
          <w:rFonts w:ascii="Times New Roman" w:hAnsi="Times New Roman" w:cs="Times New Roman"/>
          <w:lang w:val="en-CA"/>
        </w:rPr>
        <w:t xml:space="preserve">classified as </w:t>
      </w:r>
      <w:r>
        <w:rPr>
          <w:rFonts w:ascii="Times New Roman" w:hAnsi="Times New Roman" w:cs="Times New Roman"/>
          <w:lang w:val="en-CA"/>
        </w:rPr>
        <w:t>‘</w:t>
      </w:r>
      <w:r w:rsidRPr="00E44947">
        <w:rPr>
          <w:rFonts w:ascii="Times New Roman" w:hAnsi="Times New Roman" w:cs="Times New Roman"/>
          <w:lang w:val="en-CA"/>
        </w:rPr>
        <w:t>musculoskeletal &amp; connective tissue outcomes</w:t>
      </w:r>
      <w:r>
        <w:rPr>
          <w:rFonts w:ascii="Times New Roman" w:hAnsi="Times New Roman" w:cs="Times New Roman"/>
          <w:lang w:val="en-CA"/>
        </w:rPr>
        <w:t>’ (under core area = p</w:t>
      </w:r>
      <w:r w:rsidRPr="00E44947">
        <w:rPr>
          <w:rFonts w:ascii="Times New Roman" w:hAnsi="Times New Roman" w:cs="Times New Roman"/>
          <w:lang w:val="en-CA"/>
        </w:rPr>
        <w:t>hysiological/clinical</w:t>
      </w:r>
      <w:r>
        <w:rPr>
          <w:rFonts w:ascii="Times New Roman" w:hAnsi="Times New Roman" w:cs="Times New Roman"/>
          <w:lang w:val="en-CA"/>
        </w:rPr>
        <w:t>). T</w:t>
      </w:r>
      <w:r w:rsidRPr="00E44947">
        <w:rPr>
          <w:rFonts w:ascii="Times New Roman" w:hAnsi="Times New Roman" w:cs="Times New Roman"/>
          <w:lang w:val="en-CA"/>
        </w:rPr>
        <w:t xml:space="preserve">hese tests are </w:t>
      </w:r>
      <w:r>
        <w:rPr>
          <w:rFonts w:ascii="Times New Roman" w:hAnsi="Times New Roman" w:cs="Times New Roman"/>
          <w:lang w:val="en-CA"/>
        </w:rPr>
        <w:t xml:space="preserve">typically </w:t>
      </w:r>
      <w:r w:rsidRPr="00E44947">
        <w:rPr>
          <w:rFonts w:ascii="Times New Roman" w:hAnsi="Times New Roman" w:cs="Times New Roman"/>
          <w:lang w:val="en-CA"/>
        </w:rPr>
        <w:t xml:space="preserve">direct measures of physiological function more so than </w:t>
      </w:r>
      <w:r>
        <w:rPr>
          <w:rFonts w:ascii="Times New Roman" w:hAnsi="Times New Roman" w:cs="Times New Roman"/>
          <w:lang w:val="en-CA"/>
        </w:rPr>
        <w:t xml:space="preserve">daily physical function. </w:t>
      </w:r>
    </w:p>
    <w:p w14:paraId="4210C25B" w14:textId="77777777" w:rsidR="00356671" w:rsidRDefault="00356671" w:rsidP="00356671">
      <w:pPr>
        <w:ind w:left="567"/>
        <w:rPr>
          <w:rFonts w:ascii="Times New Roman" w:hAnsi="Times New Roman" w:cs="Times New Roman"/>
          <w:lang w:val="en-CA"/>
        </w:rPr>
      </w:pPr>
    </w:p>
    <w:p w14:paraId="17FD0596" w14:textId="5EC8D783" w:rsidR="00356671" w:rsidRPr="00E44947" w:rsidRDefault="005F626A" w:rsidP="00356671">
      <w:pPr>
        <w:ind w:left="567"/>
        <w:rPr>
          <w:rFonts w:ascii="Times New Roman" w:hAnsi="Times New Roman" w:cs="Times New Roman"/>
          <w:lang w:val="en-CA"/>
        </w:rPr>
      </w:pPr>
      <w:r>
        <w:rPr>
          <w:rFonts w:ascii="Times New Roman" w:hAnsi="Times New Roman" w:cs="Times New Roman"/>
          <w:lang w:val="en-CA"/>
        </w:rPr>
        <w:t>M</w:t>
      </w:r>
      <w:r w:rsidR="00356671" w:rsidRPr="00E44947">
        <w:rPr>
          <w:rFonts w:ascii="Times New Roman" w:hAnsi="Times New Roman" w:cs="Times New Roman"/>
          <w:lang w:val="en-CA"/>
        </w:rPr>
        <w:t xml:space="preserve">easures of balance (e.g., postural sway, balance scales and tests) </w:t>
      </w:r>
      <w:r w:rsidR="00356671">
        <w:rPr>
          <w:rFonts w:ascii="Times New Roman" w:hAnsi="Times New Roman" w:cs="Times New Roman"/>
          <w:lang w:val="en-CA"/>
        </w:rPr>
        <w:t>were</w:t>
      </w:r>
      <w:r w:rsidR="00356671" w:rsidRPr="00E44947">
        <w:rPr>
          <w:rFonts w:ascii="Times New Roman" w:hAnsi="Times New Roman" w:cs="Times New Roman"/>
          <w:lang w:val="en-CA"/>
        </w:rPr>
        <w:t xml:space="preserve"> classified as </w:t>
      </w:r>
      <w:r w:rsidR="00356671">
        <w:rPr>
          <w:rFonts w:ascii="Times New Roman" w:hAnsi="Times New Roman" w:cs="Times New Roman"/>
          <w:lang w:val="en-CA"/>
        </w:rPr>
        <w:t>‘general outcomes’ (under core area = p</w:t>
      </w:r>
      <w:r w:rsidR="00356671" w:rsidRPr="00E44947">
        <w:rPr>
          <w:rFonts w:ascii="Times New Roman" w:hAnsi="Times New Roman" w:cs="Times New Roman"/>
          <w:lang w:val="en-CA"/>
        </w:rPr>
        <w:t>hysiological/clinical</w:t>
      </w:r>
      <w:r w:rsidR="00356671">
        <w:rPr>
          <w:rFonts w:ascii="Times New Roman" w:hAnsi="Times New Roman" w:cs="Times New Roman"/>
          <w:lang w:val="en-CA"/>
        </w:rPr>
        <w:t>), as t</w:t>
      </w:r>
      <w:r w:rsidR="00356671" w:rsidRPr="00E44947">
        <w:rPr>
          <w:rFonts w:ascii="Times New Roman" w:hAnsi="Times New Roman" w:cs="Times New Roman"/>
          <w:lang w:val="en-CA"/>
        </w:rPr>
        <w:t xml:space="preserve">hese tests are </w:t>
      </w:r>
      <w:r w:rsidR="00356671">
        <w:rPr>
          <w:rFonts w:ascii="Times New Roman" w:hAnsi="Times New Roman" w:cs="Times New Roman"/>
          <w:lang w:val="en-CA"/>
        </w:rPr>
        <w:t>typically</w:t>
      </w:r>
      <w:r w:rsidR="00356671" w:rsidRPr="00E44947">
        <w:rPr>
          <w:rFonts w:ascii="Times New Roman" w:hAnsi="Times New Roman" w:cs="Times New Roman"/>
          <w:lang w:val="en-CA"/>
        </w:rPr>
        <w:t xml:space="preserve"> direct measures of physiological function, involving multiple body systems, more so than functional tests</w:t>
      </w:r>
      <w:r w:rsidR="00356671">
        <w:rPr>
          <w:rFonts w:ascii="Times New Roman" w:hAnsi="Times New Roman" w:cs="Times New Roman"/>
          <w:lang w:val="en-CA"/>
        </w:rPr>
        <w:t xml:space="preserve"> </w:t>
      </w:r>
      <w:r w:rsidR="005013F4">
        <w:rPr>
          <w:rFonts w:ascii="Times New Roman" w:hAnsi="Times New Roman" w:cs="Times New Roman"/>
          <w:lang w:val="en-CA"/>
        </w:rPr>
        <w:fldChar w:fldCharType="begin" w:fldLock="1"/>
      </w:r>
      <w:r w:rsidR="005013F4">
        <w:rPr>
          <w:rFonts w:ascii="Times New Roman" w:hAnsi="Times New Roman" w:cs="Times New Roman"/>
          <w:lang w:val="en-CA"/>
        </w:rPr>
        <w:instrText>ADDIN CSL_CITATION {"citationItems":[{"id":"ITEM-1","itemData":{"DOI":"10.1016/j.apmr.2020.10.136","ISSN":"1532-821X (Electronic)","PMID":"33253693","abstract":"OBJECTIVE: To identify core domains for research studies of physical activity and sedentary behavior during hospitalization for older adults with an acute medical illness. DESIGN: A 4-Round Delphi consensus process. Round 1 invited responses to open-ended questions to generate items for the core domains research. In rounds 2-4, participants were invited to use a Likert scale (1-9) to rate the importance of each core domain for research studies of physical activity and/or sedentary behavior in hospitalized older adults with an acute medical illness. SETTING: Online surveys. PARTICIPANTS: A total of 49 participants were invited to each round (international researchers, clinicians, policy makers and patients). Response rates across rounds 1-4 were 94%, 88%, 83% and 81%, respectively. INTERVENTIONS: None. MAIN OUTCOME MEASURES: Consensus was defined a priori as ≥70% of respondents rating an item as \"critical\" (score≥7) and ≤15% of respondents rating an item as \"not important\" (score≤3). RESULTS: In round 2, a total of 9 of 25 core domains reached consensus agreement (physical functioning, general, role functioning, emotional functioning, global quality of life, hospital, psychiatric, cognitive functioning, carer burden). In round 3, an additional 8 reached consensus (adverse events, perceived health status, musculoskeletal, social functioning, vascular, cardiac, mortality, economic). Round 4 participants provided further review and a final rating of all 17 core domains that met consensus in previous rounds. Four core domains were rated as \"critically important\" to evaluate: physical functioning, social functioning, emotional functioning, and hospital outcomes. CONCLUSIONS: This preliminary work provides international and expert consensus-based core domains for development toward a core-outcome set for research, with the ultimate goal of fostering consistency in outcomes and reporting to accelerate research on effective strategies to address physical activity and/or sedentary behavior in older adults while hospitalized.","author":[{"dropping-particle":"","family":"Baldwin","given":"Claire E","non-dropping-particle":"","parse-names":false,"suffix":""},{"dropping-particle":"","family":"Phillips","given":"Anna C","non-dropping-particle":"","parse-names":false,"suffix":""},{"dropping-particle":"","family":"Edney","given":"Sarah M","non-dropping-particle":"","parse-names":false,"suffix":""},{"dropping-particle":"","family":"Lewis","given":"Lucy K","non-dropping-particle":"","parse-names":false,"suffix":""}],"container-title":"Archives of physical medicine and rehabilitation","id":"ITEM-1","issue":"4","issued":{"date-parts":[["2021","4"]]},"language":"eng","page":"664-674","publisher-place":"United States","title":"Core domains for research on hospital inactivity in acutely ill older adults: A delphi consensus study","type":"article-journal","volume":"102"},"uris":["http://www.mendeley.com/documents/?uuid=7a3ecb3d-d2a1-4fe5-8f07-7a226b180f2a"]}],"mendeley":{"formattedCitation":"[2]","plainTextFormattedCitation":"[2]"},"properties":{"noteIndex":0},"schema":"https://github.com/citation-style-language/schema/raw/master/csl-citation.json"}</w:instrText>
      </w:r>
      <w:r w:rsidR="005013F4">
        <w:rPr>
          <w:rFonts w:ascii="Times New Roman" w:hAnsi="Times New Roman" w:cs="Times New Roman"/>
          <w:lang w:val="en-CA"/>
        </w:rPr>
        <w:fldChar w:fldCharType="separate"/>
      </w:r>
      <w:r w:rsidR="005013F4" w:rsidRPr="005013F4">
        <w:rPr>
          <w:rFonts w:ascii="Times New Roman" w:hAnsi="Times New Roman" w:cs="Times New Roman"/>
          <w:noProof/>
          <w:lang w:val="en-CA"/>
        </w:rPr>
        <w:t>[2]</w:t>
      </w:r>
      <w:r w:rsidR="005013F4">
        <w:rPr>
          <w:rFonts w:ascii="Times New Roman" w:hAnsi="Times New Roman" w:cs="Times New Roman"/>
          <w:lang w:val="en-CA"/>
        </w:rPr>
        <w:fldChar w:fldCharType="end"/>
      </w:r>
      <w:r w:rsidR="005013F4">
        <w:rPr>
          <w:rFonts w:ascii="Times New Roman" w:hAnsi="Times New Roman" w:cs="Times New Roman"/>
          <w:lang w:val="en-CA"/>
        </w:rPr>
        <w:t>.</w:t>
      </w:r>
    </w:p>
    <w:p w14:paraId="60CC0DE1" w14:textId="77777777" w:rsidR="00356671" w:rsidRPr="00E44947" w:rsidRDefault="00356671" w:rsidP="00356671">
      <w:pPr>
        <w:ind w:left="567"/>
        <w:rPr>
          <w:rFonts w:ascii="Times New Roman" w:hAnsi="Times New Roman" w:cs="Times New Roman"/>
          <w:lang w:val="en-CA"/>
        </w:rPr>
      </w:pPr>
    </w:p>
    <w:p w14:paraId="0F3D4808"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xml:space="preserve">Functional tests (e.g., SPPB, TUG, chair stands, step tests, walking/gait tests) </w:t>
      </w:r>
      <w:r>
        <w:rPr>
          <w:rFonts w:ascii="Times New Roman" w:hAnsi="Times New Roman" w:cs="Times New Roman"/>
          <w:lang w:val="en-CA"/>
        </w:rPr>
        <w:t>were</w:t>
      </w:r>
      <w:r w:rsidRPr="00E44947">
        <w:rPr>
          <w:rFonts w:ascii="Times New Roman" w:hAnsi="Times New Roman" w:cs="Times New Roman"/>
          <w:lang w:val="en-CA"/>
        </w:rPr>
        <w:t xml:space="preserve"> classified as </w:t>
      </w:r>
      <w:r>
        <w:rPr>
          <w:rFonts w:ascii="Times New Roman" w:hAnsi="Times New Roman" w:cs="Times New Roman"/>
          <w:lang w:val="en-CA"/>
        </w:rPr>
        <w:t>‘</w:t>
      </w:r>
      <w:r w:rsidRPr="00E44947">
        <w:rPr>
          <w:rFonts w:ascii="Times New Roman" w:hAnsi="Times New Roman" w:cs="Times New Roman"/>
          <w:lang w:val="en-CA"/>
        </w:rPr>
        <w:t>physical functioning</w:t>
      </w:r>
      <w:r>
        <w:rPr>
          <w:rFonts w:ascii="Times New Roman" w:hAnsi="Times New Roman" w:cs="Times New Roman"/>
          <w:lang w:val="en-CA"/>
        </w:rPr>
        <w:t xml:space="preserve"> outcomes’ (under core area = life impact).</w:t>
      </w:r>
    </w:p>
    <w:p w14:paraId="3D0125D6"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w:t>
      </w:r>
    </w:p>
    <w:p w14:paraId="70154ECB" w14:textId="7A524B32"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Dietary measures (</w:t>
      </w:r>
      <w:r>
        <w:rPr>
          <w:rFonts w:ascii="Times New Roman" w:hAnsi="Times New Roman" w:cs="Times New Roman"/>
          <w:lang w:val="en-CA"/>
        </w:rPr>
        <w:t>e.g.,</w:t>
      </w:r>
      <w:r w:rsidRPr="00E44947">
        <w:rPr>
          <w:rFonts w:ascii="Times New Roman" w:hAnsi="Times New Roman" w:cs="Times New Roman"/>
          <w:lang w:val="en-CA"/>
        </w:rPr>
        <w:t xml:space="preserve"> food frequency questionnaires) </w:t>
      </w:r>
      <w:r>
        <w:rPr>
          <w:rFonts w:ascii="Times New Roman" w:hAnsi="Times New Roman" w:cs="Times New Roman"/>
          <w:lang w:val="en-CA"/>
        </w:rPr>
        <w:t>were</w:t>
      </w:r>
      <w:r w:rsidRPr="00E44947">
        <w:rPr>
          <w:rFonts w:ascii="Times New Roman" w:hAnsi="Times New Roman" w:cs="Times New Roman"/>
          <w:lang w:val="en-CA"/>
        </w:rPr>
        <w:t xml:space="preserve"> classified as </w:t>
      </w:r>
      <w:r>
        <w:rPr>
          <w:rFonts w:ascii="Times New Roman" w:hAnsi="Times New Roman" w:cs="Times New Roman"/>
          <w:lang w:val="en-CA"/>
        </w:rPr>
        <w:t xml:space="preserve">‘physical functioning outcomes’ (under core area = life impact), per </w:t>
      </w:r>
      <w:r w:rsidR="005F626A">
        <w:rPr>
          <w:rFonts w:ascii="Times New Roman" w:hAnsi="Times New Roman" w:cs="Times New Roman"/>
          <w:lang w:val="en-CA"/>
        </w:rPr>
        <w:t xml:space="preserve">personal communication and </w:t>
      </w:r>
      <w:r w:rsidRPr="00E44947">
        <w:rPr>
          <w:rFonts w:ascii="Times New Roman" w:hAnsi="Times New Roman" w:cs="Times New Roman"/>
          <w:lang w:val="en-CA"/>
        </w:rPr>
        <w:t>recommendation from Susana Dodd.</w:t>
      </w:r>
    </w:p>
    <w:p w14:paraId="7C7CA998"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w:t>
      </w:r>
    </w:p>
    <w:p w14:paraId="55832321"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xml:space="preserve">Vitamin D (e.g., 25(OH)D) </w:t>
      </w:r>
      <w:r>
        <w:rPr>
          <w:rFonts w:ascii="Times New Roman" w:hAnsi="Times New Roman" w:cs="Times New Roman"/>
          <w:lang w:val="en-CA"/>
        </w:rPr>
        <w:t>was</w:t>
      </w:r>
      <w:r w:rsidRPr="00E44947">
        <w:rPr>
          <w:rFonts w:ascii="Times New Roman" w:hAnsi="Times New Roman" w:cs="Times New Roman"/>
          <w:lang w:val="en-CA"/>
        </w:rPr>
        <w:t xml:space="preserve"> classified as </w:t>
      </w:r>
      <w:r>
        <w:rPr>
          <w:rFonts w:ascii="Times New Roman" w:hAnsi="Times New Roman" w:cs="Times New Roman"/>
          <w:lang w:val="en-CA"/>
        </w:rPr>
        <w:t>‘metabolism and nutrition’ (under core area = p</w:t>
      </w:r>
      <w:r w:rsidRPr="00E44947">
        <w:rPr>
          <w:rFonts w:ascii="Times New Roman" w:hAnsi="Times New Roman" w:cs="Times New Roman"/>
          <w:lang w:val="en-CA"/>
        </w:rPr>
        <w:t>hysiological/clinical</w:t>
      </w:r>
      <w:r>
        <w:rPr>
          <w:rFonts w:ascii="Times New Roman" w:hAnsi="Times New Roman" w:cs="Times New Roman"/>
          <w:lang w:val="en-CA"/>
        </w:rPr>
        <w:t>).</w:t>
      </w:r>
      <w:r w:rsidRPr="00E44947">
        <w:rPr>
          <w:rFonts w:ascii="Times New Roman" w:hAnsi="Times New Roman" w:cs="Times New Roman"/>
          <w:lang w:val="en-CA"/>
        </w:rPr>
        <w:t> </w:t>
      </w:r>
    </w:p>
    <w:p w14:paraId="22E78D05"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w:t>
      </w:r>
    </w:p>
    <w:p w14:paraId="2819BF1A"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xml:space="preserve">Measures of confidence, efficacy, </w:t>
      </w:r>
      <w:r>
        <w:rPr>
          <w:rFonts w:ascii="Times New Roman" w:hAnsi="Times New Roman" w:cs="Times New Roman"/>
          <w:lang w:val="en-CA"/>
        </w:rPr>
        <w:t xml:space="preserve">and </w:t>
      </w:r>
      <w:r w:rsidRPr="00E44947">
        <w:rPr>
          <w:rFonts w:ascii="Times New Roman" w:hAnsi="Times New Roman" w:cs="Times New Roman"/>
          <w:lang w:val="en-CA"/>
        </w:rPr>
        <w:t xml:space="preserve">fear (e.g., falls efficacy, balance confidence) </w:t>
      </w:r>
      <w:r>
        <w:rPr>
          <w:rFonts w:ascii="Times New Roman" w:hAnsi="Times New Roman" w:cs="Times New Roman"/>
          <w:lang w:val="en-CA"/>
        </w:rPr>
        <w:t>were</w:t>
      </w:r>
      <w:r w:rsidRPr="00E44947">
        <w:rPr>
          <w:rFonts w:ascii="Times New Roman" w:hAnsi="Times New Roman" w:cs="Times New Roman"/>
          <w:lang w:val="en-CA"/>
        </w:rPr>
        <w:t xml:space="preserve"> classified as </w:t>
      </w:r>
      <w:r>
        <w:rPr>
          <w:rFonts w:ascii="Times New Roman" w:hAnsi="Times New Roman" w:cs="Times New Roman"/>
          <w:lang w:val="en-CA"/>
        </w:rPr>
        <w:t xml:space="preserve">‘emotional functioning/wellbeing’ (under core area = life impact). </w:t>
      </w:r>
    </w:p>
    <w:p w14:paraId="7EC50A74"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w:t>
      </w:r>
    </w:p>
    <w:p w14:paraId="682F0551" w14:textId="77777777" w:rsidR="00356671" w:rsidRPr="00E44947" w:rsidRDefault="00356671" w:rsidP="005013F4">
      <w:pPr>
        <w:widowControl w:val="0"/>
        <w:ind w:left="567"/>
        <w:rPr>
          <w:rFonts w:ascii="Times New Roman" w:hAnsi="Times New Roman" w:cs="Times New Roman"/>
          <w:lang w:val="en-CA"/>
        </w:rPr>
      </w:pPr>
      <w:r w:rsidRPr="00E44947">
        <w:rPr>
          <w:rFonts w:ascii="Times New Roman" w:hAnsi="Times New Roman" w:cs="Times New Roman"/>
          <w:lang w:val="en-CA"/>
        </w:rPr>
        <w:t xml:space="preserve">Physical activity and sedentary behaviour </w:t>
      </w:r>
      <w:r>
        <w:rPr>
          <w:rFonts w:ascii="Times New Roman" w:hAnsi="Times New Roman" w:cs="Times New Roman"/>
          <w:lang w:val="en-CA"/>
        </w:rPr>
        <w:t>were</w:t>
      </w:r>
      <w:r w:rsidRPr="00E44947">
        <w:rPr>
          <w:rFonts w:ascii="Times New Roman" w:hAnsi="Times New Roman" w:cs="Times New Roman"/>
          <w:lang w:val="en-CA"/>
        </w:rPr>
        <w:t xml:space="preserve"> classified as </w:t>
      </w:r>
      <w:r>
        <w:rPr>
          <w:rFonts w:ascii="Times New Roman" w:hAnsi="Times New Roman" w:cs="Times New Roman"/>
          <w:lang w:val="en-CA"/>
        </w:rPr>
        <w:t>‘physical functioning outcomes’ (under core area = l</w:t>
      </w:r>
      <w:r w:rsidRPr="00E44947">
        <w:rPr>
          <w:rFonts w:ascii="Times New Roman" w:hAnsi="Times New Roman" w:cs="Times New Roman"/>
          <w:lang w:val="en-CA"/>
        </w:rPr>
        <w:t>ife impact</w:t>
      </w:r>
      <w:r>
        <w:rPr>
          <w:rFonts w:ascii="Times New Roman" w:hAnsi="Times New Roman" w:cs="Times New Roman"/>
          <w:lang w:val="en-CA"/>
        </w:rPr>
        <w:t xml:space="preserve">) because they are </w:t>
      </w:r>
      <w:r w:rsidRPr="00E44947">
        <w:rPr>
          <w:rFonts w:ascii="Times New Roman" w:hAnsi="Times New Roman" w:cs="Times New Roman"/>
          <w:lang w:val="en-CA"/>
        </w:rPr>
        <w:t>examples of health behaviours. </w:t>
      </w:r>
    </w:p>
    <w:p w14:paraId="6EEBD3F5" w14:textId="77777777" w:rsidR="00356671" w:rsidRDefault="00356671" w:rsidP="005013F4">
      <w:pPr>
        <w:widowControl w:val="0"/>
        <w:rPr>
          <w:rFonts w:ascii="Times New Roman" w:hAnsi="Times New Roman" w:cs="Times New Roman"/>
          <w:lang w:val="en-CA"/>
        </w:rPr>
      </w:pPr>
    </w:p>
    <w:p w14:paraId="327C932B" w14:textId="77777777" w:rsidR="00F713F5" w:rsidRDefault="00F713F5" w:rsidP="005013F4">
      <w:pPr>
        <w:widowControl w:val="0"/>
        <w:rPr>
          <w:rFonts w:ascii="Times New Roman" w:hAnsi="Times New Roman" w:cs="Times New Roman"/>
          <w:lang w:val="en-CA"/>
        </w:rPr>
      </w:pPr>
      <w:r>
        <w:rPr>
          <w:rFonts w:ascii="Times New Roman" w:hAnsi="Times New Roman" w:cs="Times New Roman"/>
          <w:lang w:val="en-CA"/>
        </w:rPr>
        <w:br w:type="page"/>
      </w:r>
    </w:p>
    <w:p w14:paraId="682F4E8B" w14:textId="6B269619" w:rsidR="00356671" w:rsidRDefault="00356671" w:rsidP="005013F4">
      <w:pPr>
        <w:widowControl w:val="0"/>
        <w:rPr>
          <w:rFonts w:ascii="Times New Roman" w:hAnsi="Times New Roman" w:cs="Times New Roman"/>
          <w:lang w:val="en-CA"/>
        </w:rPr>
      </w:pPr>
      <w:r>
        <w:rPr>
          <w:rFonts w:ascii="Times New Roman" w:hAnsi="Times New Roman" w:cs="Times New Roman"/>
          <w:lang w:val="en-CA"/>
        </w:rPr>
        <w:lastRenderedPageBreak/>
        <w:t>Also consistent with guidance on how to apply the COMET taxonomy</w:t>
      </w:r>
      <w:r w:rsidR="004E14DD">
        <w:rPr>
          <w:rFonts w:ascii="Times New Roman" w:hAnsi="Times New Roman" w:cs="Times New Roman"/>
          <w:lang w:val="en-CA"/>
        </w:rPr>
        <w:t xml:space="preserve"> </w:t>
      </w:r>
      <w:r w:rsidR="004E14DD">
        <w:rPr>
          <w:rFonts w:ascii="Times New Roman" w:hAnsi="Times New Roman" w:cs="Times New Roman"/>
          <w:lang w:val="en-CA"/>
        </w:rPr>
        <w:fldChar w:fldCharType="begin" w:fldLock="1"/>
      </w:r>
      <w:r w:rsidR="005013F4">
        <w:rPr>
          <w:rFonts w:ascii="Times New Roman" w:hAnsi="Times New Roman" w:cs="Times New Roman"/>
          <w:lang w:val="en-CA"/>
        </w:rPr>
        <w:instrText>ADDIN CSL_CITATION {"citationItems":[{"id":"ITEM-1","itemData":{"DOI":"10.1016/j.jclinepi.2017.12.020","ISSN":"1878-5921 (Electronic)","PMID":"29288712","abstract":"OBJECTIVES: There is increasing recognition that insufficient attention has been  paid to the choice of outcomes measured in clinical trials. The lack of a standardized outcome classification system results in inconsistencies due to ambiguity and variation in how outcomes are described across different studies. Being able to classify by outcome would increase efficiency in searching sources such as clinical trial registries, patient registries, the Cochrane Database of Systematic Reviews, and the Core Outcome Measures in Effectiveness Trials (COMET) database of core outcome sets (COS), thus aiding knowledge discovery. STUDY DESIGN AND SETTING: A literature review was carried out to determine existing outcome classification systems, none of which were sufficiently comprehensive or granular for classification of all potential outcomes from clinical trials. A new taxonomy for outcome classification was developed, and as proof of principle, outcomes extracted from all published COS in the COMET database, selected Cochrane reviews, and clinical trial registry entries were classified using this new system. RESULTS: Application of this new taxonomy to COS in the COMET database revealed that 274/299 (92%) COS include at least one physiological outcome, whereas only 177 (59%) include at least one measure of impact (global quality of life or some measure of functioning) and only 105 (35%) made reference to adverse events. CONCLUSIONS: This outcome taxonomy will be used to annotate outcomes included in COS within the COMET database and is currently being piloted for use in Cochrane Reviews within the Cochrane Linked Data Project. Wider implementation of this standard taxonomy in trial and systematic review databases and registries will further promote efficient searching, reporting, and classification of trial outcomes.","author":[{"dropping-particle":"","family":"Dodd","given":"Susanna","non-dropping-particle":"","parse-names":false,"suffix":""},{"dropping-particle":"","family":"Clarke","given":"Mike","non-dropping-particle":"","parse-names":false,"suffix":""},{"dropping-particle":"","family":"Becker","given":"Lorne","non-dropping-particle":"","parse-names":false,"suffix":""},{"dropping-particle":"","family":"Mavergames","given":"Chris","non-dropping-particle":"","parse-names":false,"suffix":""},{"dropping-particle":"","family":"Fish","given":"Rebecca","non-dropping-particle":"","parse-names":false,"suffix":""},{"dropping-particle":"","family":"Williamson","given":"Paula R","non-dropping-particle":"","parse-names":false,"suffix":""}],"container-title":"Journal of clinical epidemiology","id":"ITEM-1","issued":{"date-parts":[["2018","4"]]},"language":"eng","page":"84-92","publisher-place":"United States","title":"A taxonomy has been developed for outcomes in medical research to help improve  knowledge discovery.","type":"article-journal","volume":"96"},"uris":["http://www.mendeley.com/documents/?uuid=8365d7af-be3d-42d4-9241-ba3489f06d34"]}],"mendeley":{"formattedCitation":"[1]","plainTextFormattedCitation":"[1]","previouslyFormattedCitation":"[1]"},"properties":{"noteIndex":0},"schema":"https://github.com/citation-style-language/schema/raw/master/csl-citation.json"}</w:instrText>
      </w:r>
      <w:r w:rsidR="004E14DD">
        <w:rPr>
          <w:rFonts w:ascii="Times New Roman" w:hAnsi="Times New Roman" w:cs="Times New Roman"/>
          <w:lang w:val="en-CA"/>
        </w:rPr>
        <w:fldChar w:fldCharType="separate"/>
      </w:r>
      <w:r w:rsidR="004E14DD" w:rsidRPr="004E14DD">
        <w:rPr>
          <w:rFonts w:ascii="Times New Roman" w:hAnsi="Times New Roman" w:cs="Times New Roman"/>
          <w:noProof/>
          <w:lang w:val="en-CA"/>
        </w:rPr>
        <w:t>[1]</w:t>
      </w:r>
      <w:r w:rsidR="004E14DD">
        <w:rPr>
          <w:rFonts w:ascii="Times New Roman" w:hAnsi="Times New Roman" w:cs="Times New Roman"/>
          <w:lang w:val="en-CA"/>
        </w:rPr>
        <w:fldChar w:fldCharType="end"/>
      </w:r>
      <w:r>
        <w:rPr>
          <w:rFonts w:ascii="Times New Roman" w:hAnsi="Times New Roman" w:cs="Times New Roman"/>
          <w:lang w:val="en-CA"/>
        </w:rPr>
        <w:t>, and following discussion among the researchers, some outcomes were classified under multiple domains.</w:t>
      </w:r>
    </w:p>
    <w:p w14:paraId="79E5241A" w14:textId="77777777" w:rsidR="00356671" w:rsidRDefault="00356671" w:rsidP="005013F4">
      <w:pPr>
        <w:widowControl w:val="0"/>
        <w:rPr>
          <w:rFonts w:ascii="Times New Roman" w:hAnsi="Times New Roman" w:cs="Times New Roman"/>
          <w:lang w:val="en-CA"/>
        </w:rPr>
      </w:pPr>
    </w:p>
    <w:p w14:paraId="66A6F214" w14:textId="77777777" w:rsidR="00356671" w:rsidRPr="00E44947" w:rsidRDefault="00356671" w:rsidP="005013F4">
      <w:pPr>
        <w:widowControl w:val="0"/>
        <w:ind w:left="567"/>
        <w:rPr>
          <w:rFonts w:ascii="Times New Roman" w:hAnsi="Times New Roman" w:cs="Times New Roman"/>
          <w:lang w:val="en-CA"/>
        </w:rPr>
      </w:pPr>
      <w:r w:rsidRPr="00E44947">
        <w:rPr>
          <w:rFonts w:ascii="Times New Roman" w:hAnsi="Times New Roman" w:cs="Times New Roman"/>
          <w:lang w:val="en-CA"/>
        </w:rPr>
        <w:t xml:space="preserve">Falls </w:t>
      </w:r>
      <w:r>
        <w:rPr>
          <w:rFonts w:ascii="Times New Roman" w:hAnsi="Times New Roman" w:cs="Times New Roman"/>
          <w:lang w:val="en-CA"/>
        </w:rPr>
        <w:t>were</w:t>
      </w:r>
      <w:r w:rsidRPr="00E44947">
        <w:rPr>
          <w:rFonts w:ascii="Times New Roman" w:hAnsi="Times New Roman" w:cs="Times New Roman"/>
          <w:lang w:val="en-CA"/>
        </w:rPr>
        <w:t xml:space="preserve"> classified as </w:t>
      </w:r>
      <w:r>
        <w:rPr>
          <w:rFonts w:ascii="Times New Roman" w:hAnsi="Times New Roman" w:cs="Times New Roman"/>
          <w:lang w:val="en-CA"/>
        </w:rPr>
        <w:t>‘general outcomes’ (under core area = p</w:t>
      </w:r>
      <w:r w:rsidRPr="00E44947">
        <w:rPr>
          <w:rFonts w:ascii="Times New Roman" w:hAnsi="Times New Roman" w:cs="Times New Roman"/>
          <w:lang w:val="en-CA"/>
        </w:rPr>
        <w:t>hysiological/clinical</w:t>
      </w:r>
      <w:r>
        <w:rPr>
          <w:rFonts w:ascii="Times New Roman" w:hAnsi="Times New Roman" w:cs="Times New Roman"/>
          <w:lang w:val="en-CA"/>
        </w:rPr>
        <w:t>) and as ‘physical functioning’ (under core area = l</w:t>
      </w:r>
      <w:r w:rsidRPr="00E44947">
        <w:rPr>
          <w:rFonts w:ascii="Times New Roman" w:hAnsi="Times New Roman" w:cs="Times New Roman"/>
          <w:lang w:val="en-CA"/>
        </w:rPr>
        <w:t>ife impact</w:t>
      </w:r>
      <w:r>
        <w:rPr>
          <w:rFonts w:ascii="Times New Roman" w:hAnsi="Times New Roman" w:cs="Times New Roman"/>
          <w:lang w:val="en-CA"/>
        </w:rPr>
        <w:t>)</w:t>
      </w:r>
      <w:r w:rsidRPr="00E44947">
        <w:rPr>
          <w:rFonts w:ascii="Times New Roman" w:hAnsi="Times New Roman" w:cs="Times New Roman"/>
          <w:lang w:val="en-CA"/>
        </w:rPr>
        <w:t>. Falls are a clinically relevant health event</w:t>
      </w:r>
      <w:r>
        <w:rPr>
          <w:rFonts w:ascii="Times New Roman" w:hAnsi="Times New Roman" w:cs="Times New Roman"/>
          <w:lang w:val="en-CA"/>
        </w:rPr>
        <w:t xml:space="preserve">, </w:t>
      </w:r>
      <w:r w:rsidRPr="00E44947">
        <w:rPr>
          <w:rFonts w:ascii="Times New Roman" w:hAnsi="Times New Roman" w:cs="Times New Roman"/>
          <w:lang w:val="en-CA"/>
        </w:rPr>
        <w:t>which may be prevented by physical activity</w:t>
      </w:r>
      <w:r>
        <w:rPr>
          <w:rFonts w:ascii="Times New Roman" w:hAnsi="Times New Roman" w:cs="Times New Roman"/>
          <w:lang w:val="en-CA"/>
        </w:rPr>
        <w:t>,</w:t>
      </w:r>
      <w:r w:rsidRPr="00E44947">
        <w:rPr>
          <w:rFonts w:ascii="Times New Roman" w:hAnsi="Times New Roman" w:cs="Times New Roman"/>
          <w:lang w:val="en-CA"/>
        </w:rPr>
        <w:t xml:space="preserve"> and may be measured in </w:t>
      </w:r>
      <w:r>
        <w:rPr>
          <w:rFonts w:ascii="Times New Roman" w:hAnsi="Times New Roman" w:cs="Times New Roman"/>
          <w:lang w:val="en-CA"/>
        </w:rPr>
        <w:t xml:space="preserve">physical activity </w:t>
      </w:r>
      <w:r w:rsidRPr="00E44947">
        <w:rPr>
          <w:rFonts w:ascii="Times New Roman" w:hAnsi="Times New Roman" w:cs="Times New Roman"/>
          <w:lang w:val="en-CA"/>
        </w:rPr>
        <w:t xml:space="preserve">RCTs as an index of impact on physical functioning. We </w:t>
      </w:r>
      <w:r>
        <w:rPr>
          <w:rFonts w:ascii="Times New Roman" w:hAnsi="Times New Roman" w:cs="Times New Roman"/>
          <w:lang w:val="en-CA"/>
        </w:rPr>
        <w:t>considered but chose</w:t>
      </w:r>
      <w:r w:rsidRPr="00C4388A">
        <w:rPr>
          <w:rFonts w:ascii="Times New Roman" w:hAnsi="Times New Roman" w:cs="Times New Roman"/>
          <w:lang w:val="en-CA"/>
        </w:rPr>
        <w:t xml:space="preserve"> not</w:t>
      </w:r>
      <w:r w:rsidRPr="00E44947">
        <w:rPr>
          <w:rFonts w:ascii="Times New Roman" w:hAnsi="Times New Roman" w:cs="Times New Roman"/>
          <w:lang w:val="en-CA"/>
        </w:rPr>
        <w:t> </w:t>
      </w:r>
      <w:r>
        <w:rPr>
          <w:rFonts w:ascii="Times New Roman" w:hAnsi="Times New Roman" w:cs="Times New Roman"/>
          <w:lang w:val="en-CA"/>
        </w:rPr>
        <w:t xml:space="preserve">to </w:t>
      </w:r>
      <w:r w:rsidRPr="00E44947">
        <w:rPr>
          <w:rFonts w:ascii="Times New Roman" w:hAnsi="Times New Roman" w:cs="Times New Roman"/>
          <w:lang w:val="en-CA"/>
        </w:rPr>
        <w:t>classify falls as</w:t>
      </w:r>
      <w:r>
        <w:rPr>
          <w:rFonts w:ascii="Times New Roman" w:hAnsi="Times New Roman" w:cs="Times New Roman"/>
          <w:lang w:val="en-CA"/>
        </w:rPr>
        <w:t xml:space="preserve"> ‘</w:t>
      </w:r>
      <w:r w:rsidRPr="00E44947">
        <w:rPr>
          <w:rFonts w:ascii="Times New Roman" w:hAnsi="Times New Roman" w:cs="Times New Roman"/>
          <w:lang w:val="en-CA"/>
        </w:rPr>
        <w:t>injury &amp; poisoning outcomes</w:t>
      </w:r>
      <w:r>
        <w:rPr>
          <w:rFonts w:ascii="Times New Roman" w:hAnsi="Times New Roman" w:cs="Times New Roman"/>
          <w:lang w:val="en-CA"/>
        </w:rPr>
        <w:t>’</w:t>
      </w:r>
      <w:r w:rsidRPr="00E44947">
        <w:rPr>
          <w:rFonts w:ascii="Times New Roman" w:hAnsi="Times New Roman" w:cs="Times New Roman"/>
          <w:lang w:val="en-CA"/>
        </w:rPr>
        <w:t> </w:t>
      </w:r>
      <w:r>
        <w:rPr>
          <w:rFonts w:ascii="Times New Roman" w:hAnsi="Times New Roman" w:cs="Times New Roman"/>
          <w:lang w:val="en-CA"/>
        </w:rPr>
        <w:t>(under core area = p</w:t>
      </w:r>
      <w:r w:rsidRPr="00E44947">
        <w:rPr>
          <w:rFonts w:ascii="Times New Roman" w:hAnsi="Times New Roman" w:cs="Times New Roman"/>
          <w:lang w:val="en-CA"/>
        </w:rPr>
        <w:t>hysiological/clinical</w:t>
      </w:r>
      <w:r>
        <w:rPr>
          <w:rFonts w:ascii="Times New Roman" w:hAnsi="Times New Roman" w:cs="Times New Roman"/>
          <w:lang w:val="en-CA"/>
        </w:rPr>
        <w:t>)</w:t>
      </w:r>
      <w:r w:rsidRPr="00E44947">
        <w:rPr>
          <w:rFonts w:ascii="Times New Roman" w:hAnsi="Times New Roman" w:cs="Times New Roman"/>
          <w:lang w:val="en-CA"/>
        </w:rPr>
        <w:t xml:space="preserve"> </w:t>
      </w:r>
      <w:r>
        <w:rPr>
          <w:rFonts w:ascii="Times New Roman" w:hAnsi="Times New Roman" w:cs="Times New Roman"/>
          <w:lang w:val="en-CA"/>
        </w:rPr>
        <w:t xml:space="preserve">because </w:t>
      </w:r>
      <w:r w:rsidRPr="00E44947">
        <w:rPr>
          <w:rFonts w:ascii="Times New Roman" w:hAnsi="Times New Roman" w:cs="Times New Roman"/>
          <w:lang w:val="en-CA"/>
        </w:rPr>
        <w:t>not all falls result in injury.</w:t>
      </w:r>
    </w:p>
    <w:p w14:paraId="2DA1D431"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w:t>
      </w:r>
    </w:p>
    <w:p w14:paraId="345616FF"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xml:space="preserve">Fractures </w:t>
      </w:r>
      <w:r>
        <w:rPr>
          <w:rFonts w:ascii="Times New Roman" w:hAnsi="Times New Roman" w:cs="Times New Roman"/>
          <w:lang w:val="en-CA"/>
        </w:rPr>
        <w:t xml:space="preserve">were </w:t>
      </w:r>
      <w:r w:rsidRPr="00E44947">
        <w:rPr>
          <w:rFonts w:ascii="Times New Roman" w:hAnsi="Times New Roman" w:cs="Times New Roman"/>
          <w:lang w:val="en-CA"/>
        </w:rPr>
        <w:t>classified as</w:t>
      </w:r>
      <w:r>
        <w:rPr>
          <w:rFonts w:ascii="Times New Roman" w:hAnsi="Times New Roman" w:cs="Times New Roman"/>
          <w:lang w:val="en-CA"/>
        </w:rPr>
        <w:t xml:space="preserve"> ‘injury &amp; poisoning outcomes’ (under core area = p</w:t>
      </w:r>
      <w:r w:rsidRPr="00E44947">
        <w:rPr>
          <w:rFonts w:ascii="Times New Roman" w:hAnsi="Times New Roman" w:cs="Times New Roman"/>
          <w:lang w:val="en-CA"/>
        </w:rPr>
        <w:t>hysiological/clinical</w:t>
      </w:r>
      <w:r>
        <w:rPr>
          <w:rFonts w:ascii="Times New Roman" w:hAnsi="Times New Roman" w:cs="Times New Roman"/>
          <w:lang w:val="en-CA"/>
        </w:rPr>
        <w:t xml:space="preserve">) and as </w:t>
      </w:r>
      <w:r w:rsidRPr="00E44947">
        <w:rPr>
          <w:rFonts w:ascii="Times New Roman" w:hAnsi="Times New Roman" w:cs="Times New Roman"/>
          <w:lang w:val="en-CA"/>
        </w:rPr>
        <w:t>musculoskeletal &amp; connective tissue outcomes</w:t>
      </w:r>
      <w:r>
        <w:rPr>
          <w:rFonts w:ascii="Times New Roman" w:hAnsi="Times New Roman" w:cs="Times New Roman"/>
          <w:lang w:val="en-CA"/>
        </w:rPr>
        <w:t xml:space="preserve"> (also under core area = ph</w:t>
      </w:r>
      <w:r w:rsidRPr="00E44947">
        <w:rPr>
          <w:rFonts w:ascii="Times New Roman" w:hAnsi="Times New Roman" w:cs="Times New Roman"/>
          <w:lang w:val="en-CA"/>
        </w:rPr>
        <w:t>ysiological/clinical</w:t>
      </w:r>
      <w:r>
        <w:rPr>
          <w:rFonts w:ascii="Times New Roman" w:hAnsi="Times New Roman" w:cs="Times New Roman"/>
          <w:lang w:val="en-CA"/>
        </w:rPr>
        <w:t>) because f</w:t>
      </w:r>
      <w:r w:rsidRPr="00E44947">
        <w:rPr>
          <w:rFonts w:ascii="Times New Roman" w:hAnsi="Times New Roman" w:cs="Times New Roman"/>
          <w:lang w:val="en-CA"/>
        </w:rPr>
        <w:t>ractures are a musculoskeletal injury.</w:t>
      </w:r>
    </w:p>
    <w:p w14:paraId="65BCFB24" w14:textId="77777777"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 </w:t>
      </w:r>
    </w:p>
    <w:p w14:paraId="1DFB915C" w14:textId="2ECA0B93" w:rsidR="00356671" w:rsidRPr="00E44947" w:rsidRDefault="00356671" w:rsidP="00356671">
      <w:pPr>
        <w:ind w:left="567"/>
        <w:rPr>
          <w:rFonts w:ascii="Times New Roman" w:hAnsi="Times New Roman" w:cs="Times New Roman"/>
          <w:lang w:val="en-CA"/>
        </w:rPr>
      </w:pPr>
      <w:r w:rsidRPr="00E44947">
        <w:rPr>
          <w:rFonts w:ascii="Times New Roman" w:hAnsi="Times New Roman" w:cs="Times New Roman"/>
          <w:lang w:val="en-CA"/>
        </w:rPr>
        <w:t>Blood pressure measures (</w:t>
      </w:r>
      <w:r w:rsidR="005F626A">
        <w:rPr>
          <w:rFonts w:ascii="Times New Roman" w:hAnsi="Times New Roman" w:cs="Times New Roman"/>
          <w:lang w:val="en-CA"/>
        </w:rPr>
        <w:t>at all locations</w:t>
      </w:r>
      <w:r w:rsidRPr="00E44947">
        <w:rPr>
          <w:rFonts w:ascii="Times New Roman" w:hAnsi="Times New Roman" w:cs="Times New Roman"/>
          <w:lang w:val="en-CA"/>
        </w:rPr>
        <w:t xml:space="preserve"> in the body) </w:t>
      </w:r>
      <w:r>
        <w:rPr>
          <w:rFonts w:ascii="Times New Roman" w:hAnsi="Times New Roman" w:cs="Times New Roman"/>
          <w:lang w:val="en-CA"/>
        </w:rPr>
        <w:t>were</w:t>
      </w:r>
      <w:r w:rsidRPr="00E44947">
        <w:rPr>
          <w:rFonts w:ascii="Times New Roman" w:hAnsi="Times New Roman" w:cs="Times New Roman"/>
          <w:lang w:val="en-CA"/>
        </w:rPr>
        <w:t xml:space="preserve"> classified as </w:t>
      </w:r>
      <w:r>
        <w:rPr>
          <w:rFonts w:ascii="Times New Roman" w:hAnsi="Times New Roman" w:cs="Times New Roman"/>
          <w:lang w:val="en-CA"/>
        </w:rPr>
        <w:t>‘cardiac outcomes’ and ‘vascular outcomes’ (both under core area = p</w:t>
      </w:r>
      <w:r w:rsidRPr="00E44947">
        <w:rPr>
          <w:rFonts w:ascii="Times New Roman" w:hAnsi="Times New Roman" w:cs="Times New Roman"/>
          <w:lang w:val="en-CA"/>
        </w:rPr>
        <w:t>hysiological/clinical</w:t>
      </w:r>
      <w:r>
        <w:rPr>
          <w:rFonts w:ascii="Times New Roman" w:hAnsi="Times New Roman" w:cs="Times New Roman"/>
          <w:lang w:val="en-CA"/>
        </w:rPr>
        <w:t xml:space="preserve">). </w:t>
      </w:r>
      <w:r w:rsidRPr="00E44947">
        <w:rPr>
          <w:rFonts w:ascii="Times New Roman" w:hAnsi="Times New Roman" w:cs="Times New Roman"/>
          <w:lang w:val="en-CA"/>
        </w:rPr>
        <w:t xml:space="preserve"> </w:t>
      </w:r>
    </w:p>
    <w:p w14:paraId="7A9D039A" w14:textId="1527B15F" w:rsidR="00F740F8" w:rsidRDefault="00F740F8">
      <w:pPr>
        <w:rPr>
          <w:rFonts w:ascii="Times New Roman" w:hAnsi="Times New Roman" w:cs="Times New Roman"/>
        </w:rPr>
      </w:pPr>
    </w:p>
    <w:p w14:paraId="2ECC33FF" w14:textId="6AF39719" w:rsidR="004E14DD" w:rsidRDefault="004E14DD">
      <w:pPr>
        <w:rPr>
          <w:rFonts w:ascii="Times New Roman" w:hAnsi="Times New Roman" w:cs="Times New Roman"/>
        </w:rPr>
      </w:pPr>
    </w:p>
    <w:p w14:paraId="1DF895A4" w14:textId="68A03922" w:rsidR="004E14DD" w:rsidRPr="004E14DD" w:rsidRDefault="004E14DD">
      <w:pPr>
        <w:rPr>
          <w:rFonts w:ascii="Times New Roman" w:hAnsi="Times New Roman" w:cs="Times New Roman"/>
          <w:b/>
          <w:bCs/>
        </w:rPr>
      </w:pPr>
      <w:r w:rsidRPr="004E14DD">
        <w:rPr>
          <w:rFonts w:ascii="Times New Roman" w:hAnsi="Times New Roman" w:cs="Times New Roman"/>
          <w:b/>
          <w:bCs/>
        </w:rPr>
        <w:t>Abbreviations</w:t>
      </w:r>
      <w:r w:rsidRPr="004E14DD">
        <w:rPr>
          <w:rFonts w:ascii="Times New Roman" w:hAnsi="Times New Roman" w:cs="Times New Roman"/>
          <w:b/>
          <w:bCs/>
        </w:rPr>
        <w:br/>
      </w:r>
      <w:r w:rsidRPr="004E14DD">
        <w:rPr>
          <w:rFonts w:ascii="Times New Roman" w:hAnsi="Times New Roman" w:cs="Times New Roman"/>
        </w:rPr>
        <w:t>COMET: Core Outcome Measures in Effectiveness Trials; RCT: Randomized Controlled Trial</w:t>
      </w:r>
      <w:r w:rsidR="00DE0887">
        <w:rPr>
          <w:rFonts w:ascii="Times New Roman" w:hAnsi="Times New Roman" w:cs="Times New Roman"/>
        </w:rPr>
        <w:t xml:space="preserve">; SPPB: Short Physical Performance Battery; TUG: Timed Up and Go </w:t>
      </w:r>
    </w:p>
    <w:p w14:paraId="269690EF" w14:textId="427ED3E5" w:rsidR="004E14DD" w:rsidRDefault="004E14DD">
      <w:pPr>
        <w:rPr>
          <w:rFonts w:ascii="Times New Roman" w:hAnsi="Times New Roman" w:cs="Times New Roman"/>
        </w:rPr>
      </w:pPr>
    </w:p>
    <w:p w14:paraId="1693DD92" w14:textId="71459310" w:rsidR="004E14DD" w:rsidRPr="004E14DD" w:rsidRDefault="004E14DD">
      <w:pPr>
        <w:rPr>
          <w:rFonts w:ascii="Times New Roman" w:hAnsi="Times New Roman" w:cs="Times New Roman"/>
          <w:b/>
          <w:bCs/>
        </w:rPr>
      </w:pPr>
      <w:r w:rsidRPr="004E14DD">
        <w:rPr>
          <w:rFonts w:ascii="Times New Roman" w:hAnsi="Times New Roman" w:cs="Times New Roman"/>
          <w:b/>
          <w:bCs/>
        </w:rPr>
        <w:t>References</w:t>
      </w:r>
    </w:p>
    <w:p w14:paraId="1DED3ACB" w14:textId="33A9E30F" w:rsidR="005013F4" w:rsidRPr="005013F4" w:rsidRDefault="004E14DD" w:rsidP="005013F4">
      <w:pPr>
        <w:widowControl w:val="0"/>
        <w:autoSpaceDE w:val="0"/>
        <w:autoSpaceDN w:val="0"/>
        <w:adjustRightInd w:val="0"/>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5013F4" w:rsidRPr="005013F4">
        <w:rPr>
          <w:rFonts w:ascii="Times New Roman" w:hAnsi="Times New Roman" w:cs="Times New Roman"/>
          <w:noProof/>
        </w:rPr>
        <w:t xml:space="preserve">1. Dodd S, Clarke M, Becker L, Mavergames C, Fish R, Williamson PR. A taxonomy has been developed for outcomes in medical research to help improve  knowledge discovery. J. Clin. Epidemiol. United States; 2018;96:84–92. </w:t>
      </w:r>
    </w:p>
    <w:p w14:paraId="30F53A97" w14:textId="77777777" w:rsidR="005013F4" w:rsidRPr="005013F4" w:rsidRDefault="005013F4" w:rsidP="005013F4">
      <w:pPr>
        <w:widowControl w:val="0"/>
        <w:autoSpaceDE w:val="0"/>
        <w:autoSpaceDN w:val="0"/>
        <w:adjustRightInd w:val="0"/>
        <w:rPr>
          <w:rFonts w:ascii="Times New Roman" w:hAnsi="Times New Roman" w:cs="Times New Roman"/>
          <w:noProof/>
        </w:rPr>
      </w:pPr>
      <w:r w:rsidRPr="005013F4">
        <w:rPr>
          <w:rFonts w:ascii="Times New Roman" w:hAnsi="Times New Roman" w:cs="Times New Roman"/>
          <w:noProof/>
        </w:rPr>
        <w:t xml:space="preserve">2. Baldwin CE, Phillips AC, Edney SM, Lewis LK. Core domains for research on hospital inactivity in acutely ill older adults: A delphi consensus study. Arch. Phys. Med. Rehabil. United States; 2021;102:664–74. </w:t>
      </w:r>
    </w:p>
    <w:p w14:paraId="18D3A63A" w14:textId="4AD57936" w:rsidR="004E14DD" w:rsidRPr="00F740F8" w:rsidRDefault="004E14DD" w:rsidP="005013F4">
      <w:pPr>
        <w:widowControl w:val="0"/>
        <w:autoSpaceDE w:val="0"/>
        <w:autoSpaceDN w:val="0"/>
        <w:adjustRightInd w:val="0"/>
        <w:rPr>
          <w:rFonts w:ascii="Times New Roman" w:hAnsi="Times New Roman" w:cs="Times New Roman"/>
        </w:rPr>
      </w:pPr>
      <w:r>
        <w:rPr>
          <w:rFonts w:ascii="Times New Roman" w:hAnsi="Times New Roman" w:cs="Times New Roman"/>
        </w:rPr>
        <w:fldChar w:fldCharType="end"/>
      </w:r>
    </w:p>
    <w:sectPr w:rsidR="004E14DD" w:rsidRPr="00F740F8" w:rsidSect="00F815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0F8"/>
    <w:rsid w:val="00013F9D"/>
    <w:rsid w:val="00266439"/>
    <w:rsid w:val="00356671"/>
    <w:rsid w:val="004E14DD"/>
    <w:rsid w:val="005013F4"/>
    <w:rsid w:val="005F626A"/>
    <w:rsid w:val="0069570B"/>
    <w:rsid w:val="00753B1A"/>
    <w:rsid w:val="007E070A"/>
    <w:rsid w:val="00844A3A"/>
    <w:rsid w:val="00883E39"/>
    <w:rsid w:val="00A86A5C"/>
    <w:rsid w:val="00AA6171"/>
    <w:rsid w:val="00B24CF4"/>
    <w:rsid w:val="00C40E60"/>
    <w:rsid w:val="00CB6F57"/>
    <w:rsid w:val="00D56B93"/>
    <w:rsid w:val="00DE0887"/>
    <w:rsid w:val="00EF3E0C"/>
    <w:rsid w:val="00F54914"/>
    <w:rsid w:val="00F713F5"/>
    <w:rsid w:val="00F740F8"/>
    <w:rsid w:val="00F81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FAD08"/>
  <w14:defaultImageDpi w14:val="32767"/>
  <w15:chartTrackingRefBased/>
  <w15:docId w15:val="{8628BC2F-5B52-1142-99C0-2A2B84602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40F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740F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56671"/>
    <w:rPr>
      <w:sz w:val="16"/>
      <w:szCs w:val="16"/>
    </w:rPr>
  </w:style>
  <w:style w:type="paragraph" w:styleId="CommentText">
    <w:name w:val="annotation text"/>
    <w:basedOn w:val="Normal"/>
    <w:link w:val="CommentTextChar"/>
    <w:uiPriority w:val="99"/>
    <w:semiHidden/>
    <w:unhideWhenUsed/>
    <w:rsid w:val="00CB6F57"/>
    <w:rPr>
      <w:sz w:val="20"/>
      <w:szCs w:val="20"/>
    </w:rPr>
  </w:style>
  <w:style w:type="character" w:customStyle="1" w:styleId="CommentTextChar">
    <w:name w:val="Comment Text Char"/>
    <w:basedOn w:val="DefaultParagraphFont"/>
    <w:link w:val="CommentText"/>
    <w:uiPriority w:val="99"/>
    <w:semiHidden/>
    <w:rsid w:val="00CB6F57"/>
    <w:rPr>
      <w:sz w:val="20"/>
      <w:szCs w:val="20"/>
    </w:rPr>
  </w:style>
  <w:style w:type="paragraph" w:styleId="CommentSubject">
    <w:name w:val="annotation subject"/>
    <w:basedOn w:val="CommentText"/>
    <w:next w:val="CommentText"/>
    <w:link w:val="CommentSubjectChar"/>
    <w:uiPriority w:val="99"/>
    <w:semiHidden/>
    <w:unhideWhenUsed/>
    <w:rsid w:val="00CB6F57"/>
    <w:rPr>
      <w:b/>
      <w:bCs/>
    </w:rPr>
  </w:style>
  <w:style w:type="character" w:customStyle="1" w:styleId="CommentSubjectChar">
    <w:name w:val="Comment Subject Char"/>
    <w:basedOn w:val="CommentTextChar"/>
    <w:link w:val="CommentSubject"/>
    <w:uiPriority w:val="99"/>
    <w:semiHidden/>
    <w:rsid w:val="00CB6F57"/>
    <w:rPr>
      <w:b/>
      <w:bCs/>
      <w:sz w:val="20"/>
      <w:szCs w:val="20"/>
    </w:rPr>
  </w:style>
  <w:style w:type="paragraph" w:styleId="Revision">
    <w:name w:val="Revision"/>
    <w:hidden/>
    <w:uiPriority w:val="99"/>
    <w:semiHidden/>
    <w:rsid w:val="004E1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106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41F44-F381-D548-A2A4-674B7326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2599</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Mackey</dc:creator>
  <cp:keywords/>
  <dc:description/>
  <cp:lastModifiedBy>Dawn Mackey</cp:lastModifiedBy>
  <cp:revision>4</cp:revision>
  <cp:lastPrinted>2022-07-20T00:08:00Z</cp:lastPrinted>
  <dcterms:created xsi:type="dcterms:W3CDTF">2023-02-22T18:58:00Z</dcterms:created>
  <dcterms:modified xsi:type="dcterms:W3CDTF">2023-02-23T19:45:00Z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http://www.zotero.org/styles/bmc-public-health</vt:lpwstr>
  </property>
  <property fmtid="{D5CDD505-2E9C-101B-9397-08002B2CF9AE}" pid="11" name="Mendeley Recent Style Name 4_1">
    <vt:lpwstr>BMC Public Health</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http://www.zotero.org/styles/international-journal-of-behavioral-nutrition-and-physical-activity</vt:lpwstr>
  </property>
  <property fmtid="{D5CDD505-2E9C-101B-9397-08002B2CF9AE}" pid="15" name="Mendeley Recent Style Name 6_1">
    <vt:lpwstr>International Journal of Behavioral Nutrition and Physical Activity</vt:lpwstr>
  </property>
  <property fmtid="{D5CDD505-2E9C-101B-9397-08002B2CF9AE}" pid="16" name="Mendeley Recent Style Id 7_1">
    <vt:lpwstr>http://www.zotero.org/styles/journal-of-transport-and-health</vt:lpwstr>
  </property>
  <property fmtid="{D5CDD505-2E9C-101B-9397-08002B2CF9AE}" pid="17" name="Mendeley Recent Style Name 7_1">
    <vt:lpwstr>Journal of Transport &amp; Health</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3f7cb9b9-96db-31c2-8656-fb0121c68e8d</vt:lpwstr>
  </property>
  <property fmtid="{D5CDD505-2E9C-101B-9397-08002B2CF9AE}" pid="24" name="Mendeley Citation Style_1">
    <vt:lpwstr>http://www.zotero.org/styles/international-journal-of-behavioral-nutrition-and-physical-activity</vt:lpwstr>
  </property>
</Properties>
</file>