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8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629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628"/>
        <w:gridCol w:w="851"/>
        <w:gridCol w:w="1195"/>
      </w:tblGrid>
      <w:tr w:rsidR="001A58ED" w:rsidRPr="0091796A" w14:paraId="697A7E7B" w14:textId="6D851475" w:rsidTr="00BE63F0">
        <w:trPr>
          <w:trHeight w:val="399"/>
        </w:trPr>
        <w:tc>
          <w:tcPr>
            <w:tcW w:w="1117" w:type="pct"/>
            <w:shd w:val="clear" w:color="auto" w:fill="auto"/>
            <w:vAlign w:val="bottom"/>
            <w:hideMark/>
          </w:tcPr>
          <w:p w14:paraId="2126F2C8" w14:textId="220C31EC" w:rsidR="00094E4D" w:rsidRPr="0091796A" w:rsidRDefault="00094E4D" w:rsidP="0030352C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  <w:t>A</w:t>
            </w:r>
            <w:r w:rsidRPr="0091796A"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  <w:t xml:space="preserve">uthors </w:t>
            </w:r>
          </w:p>
        </w:tc>
        <w:tc>
          <w:tcPr>
            <w:tcW w:w="225" w:type="pct"/>
            <w:shd w:val="clear" w:color="auto" w:fill="auto"/>
            <w:vAlign w:val="bottom"/>
          </w:tcPr>
          <w:p w14:paraId="6E3CB00E" w14:textId="151E5C90" w:rsidR="00094E4D" w:rsidRPr="0091796A" w:rsidRDefault="00094E4D" w:rsidP="00381D2A">
            <w:pPr>
              <w:widowControl/>
              <w:spacing w:line="0" w:lineRule="atLeast"/>
              <w:jc w:val="right"/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</w:pPr>
            <w:r>
              <w:rPr>
                <w:rFonts w:ascii="Palatino Linotype" w:eastAsia="新細明體" w:hAnsi="Palatino Linotype" w:cs="Open Sans" w:hint="eastAsia"/>
                <w:color w:val="222222"/>
                <w:kern w:val="0"/>
                <w:szCs w:val="24"/>
              </w:rPr>
              <w:t>1</w:t>
            </w:r>
          </w:p>
        </w:tc>
        <w:tc>
          <w:tcPr>
            <w:tcW w:w="225" w:type="pct"/>
            <w:shd w:val="clear" w:color="auto" w:fill="auto"/>
            <w:vAlign w:val="bottom"/>
          </w:tcPr>
          <w:p w14:paraId="293AFB47" w14:textId="2676F0D9" w:rsidR="00094E4D" w:rsidRPr="0091796A" w:rsidRDefault="00094E4D" w:rsidP="00381D2A">
            <w:pPr>
              <w:widowControl/>
              <w:spacing w:line="0" w:lineRule="atLeast"/>
              <w:jc w:val="right"/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</w:pPr>
            <w:r>
              <w:rPr>
                <w:rFonts w:ascii="Palatino Linotype" w:eastAsia="新細明體" w:hAnsi="Palatino Linotype" w:cs="Open Sans" w:hint="eastAsia"/>
                <w:color w:val="222222"/>
                <w:kern w:val="0"/>
                <w:szCs w:val="24"/>
              </w:rPr>
              <w:t>2</w:t>
            </w:r>
          </w:p>
        </w:tc>
        <w:tc>
          <w:tcPr>
            <w:tcW w:w="225" w:type="pct"/>
            <w:shd w:val="clear" w:color="auto" w:fill="auto"/>
            <w:vAlign w:val="bottom"/>
          </w:tcPr>
          <w:p w14:paraId="56C6A5BD" w14:textId="3C02757F" w:rsidR="00094E4D" w:rsidRPr="0091796A" w:rsidRDefault="00094E4D" w:rsidP="00381D2A">
            <w:pPr>
              <w:widowControl/>
              <w:spacing w:line="0" w:lineRule="atLeast"/>
              <w:jc w:val="right"/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</w:pPr>
            <w:r>
              <w:rPr>
                <w:rFonts w:ascii="Palatino Linotype" w:eastAsia="新細明體" w:hAnsi="Palatino Linotype" w:cs="Open Sans" w:hint="eastAsia"/>
                <w:color w:val="222222"/>
                <w:kern w:val="0"/>
                <w:szCs w:val="24"/>
              </w:rPr>
              <w:t>3</w:t>
            </w:r>
          </w:p>
        </w:tc>
        <w:tc>
          <w:tcPr>
            <w:tcW w:w="225" w:type="pct"/>
            <w:shd w:val="clear" w:color="auto" w:fill="auto"/>
            <w:vAlign w:val="bottom"/>
          </w:tcPr>
          <w:p w14:paraId="1DD1206C" w14:textId="4562599C" w:rsidR="00094E4D" w:rsidRPr="0091796A" w:rsidRDefault="00094E4D" w:rsidP="00381D2A">
            <w:pPr>
              <w:widowControl/>
              <w:spacing w:line="0" w:lineRule="atLeast"/>
              <w:jc w:val="right"/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</w:pPr>
            <w:r>
              <w:rPr>
                <w:rFonts w:ascii="Palatino Linotype" w:eastAsia="新細明體" w:hAnsi="Palatino Linotype" w:cs="Open Sans" w:hint="eastAsia"/>
                <w:color w:val="222222"/>
                <w:kern w:val="0"/>
                <w:szCs w:val="24"/>
              </w:rPr>
              <w:t>4</w:t>
            </w:r>
          </w:p>
        </w:tc>
        <w:tc>
          <w:tcPr>
            <w:tcW w:w="225" w:type="pct"/>
            <w:shd w:val="clear" w:color="auto" w:fill="auto"/>
            <w:vAlign w:val="bottom"/>
          </w:tcPr>
          <w:p w14:paraId="7AD5A420" w14:textId="691492A8" w:rsidR="00094E4D" w:rsidRPr="0091796A" w:rsidRDefault="00094E4D" w:rsidP="00381D2A">
            <w:pPr>
              <w:widowControl/>
              <w:spacing w:line="0" w:lineRule="atLeast"/>
              <w:jc w:val="right"/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</w:pPr>
            <w:r>
              <w:rPr>
                <w:rFonts w:ascii="Palatino Linotype" w:eastAsia="新細明體" w:hAnsi="Palatino Linotype" w:cs="Open Sans" w:hint="eastAsia"/>
                <w:color w:val="222222"/>
                <w:kern w:val="0"/>
                <w:szCs w:val="24"/>
              </w:rPr>
              <w:t>5</w:t>
            </w:r>
          </w:p>
        </w:tc>
        <w:tc>
          <w:tcPr>
            <w:tcW w:w="225" w:type="pct"/>
            <w:shd w:val="clear" w:color="auto" w:fill="auto"/>
            <w:vAlign w:val="bottom"/>
          </w:tcPr>
          <w:p w14:paraId="7106581B" w14:textId="554B20D4" w:rsidR="00094E4D" w:rsidRPr="0091796A" w:rsidRDefault="00094E4D" w:rsidP="00381D2A">
            <w:pPr>
              <w:widowControl/>
              <w:spacing w:line="0" w:lineRule="atLeast"/>
              <w:jc w:val="right"/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</w:pPr>
            <w:r>
              <w:rPr>
                <w:rFonts w:ascii="Palatino Linotype" w:eastAsia="新細明體" w:hAnsi="Palatino Linotype" w:cs="Open Sans" w:hint="eastAsia"/>
                <w:color w:val="222222"/>
                <w:kern w:val="0"/>
                <w:szCs w:val="24"/>
              </w:rPr>
              <w:t>6</w:t>
            </w:r>
          </w:p>
        </w:tc>
        <w:tc>
          <w:tcPr>
            <w:tcW w:w="225" w:type="pct"/>
            <w:shd w:val="clear" w:color="auto" w:fill="auto"/>
            <w:vAlign w:val="bottom"/>
          </w:tcPr>
          <w:p w14:paraId="1B6F0703" w14:textId="3E375123" w:rsidR="00094E4D" w:rsidRPr="0091796A" w:rsidRDefault="00094E4D" w:rsidP="00381D2A">
            <w:pPr>
              <w:widowControl/>
              <w:spacing w:line="0" w:lineRule="atLeast"/>
              <w:jc w:val="right"/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</w:pPr>
            <w:r>
              <w:rPr>
                <w:rFonts w:ascii="Palatino Linotype" w:eastAsia="新細明體" w:hAnsi="Palatino Linotype" w:cs="Open Sans" w:hint="eastAsia"/>
                <w:color w:val="222222"/>
                <w:kern w:val="0"/>
                <w:szCs w:val="24"/>
              </w:rPr>
              <w:t>7</w:t>
            </w:r>
          </w:p>
        </w:tc>
        <w:tc>
          <w:tcPr>
            <w:tcW w:w="225" w:type="pct"/>
            <w:shd w:val="clear" w:color="auto" w:fill="auto"/>
            <w:vAlign w:val="bottom"/>
          </w:tcPr>
          <w:p w14:paraId="0D6CB3AB" w14:textId="6B3089AC" w:rsidR="00094E4D" w:rsidRPr="0091796A" w:rsidRDefault="00094E4D" w:rsidP="00381D2A">
            <w:pPr>
              <w:widowControl/>
              <w:spacing w:line="0" w:lineRule="atLeast"/>
              <w:jc w:val="right"/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</w:pPr>
            <w:r>
              <w:rPr>
                <w:rFonts w:ascii="Palatino Linotype" w:eastAsia="新細明體" w:hAnsi="Palatino Linotype" w:cs="Open Sans" w:hint="eastAsia"/>
                <w:color w:val="222222"/>
                <w:kern w:val="0"/>
                <w:szCs w:val="24"/>
              </w:rPr>
              <w:t>8</w:t>
            </w:r>
          </w:p>
        </w:tc>
        <w:tc>
          <w:tcPr>
            <w:tcW w:w="225" w:type="pct"/>
            <w:shd w:val="clear" w:color="auto" w:fill="auto"/>
            <w:vAlign w:val="bottom"/>
          </w:tcPr>
          <w:p w14:paraId="1E3555BB" w14:textId="401E8325" w:rsidR="00094E4D" w:rsidRPr="0091796A" w:rsidRDefault="00094E4D" w:rsidP="00381D2A">
            <w:pPr>
              <w:widowControl/>
              <w:spacing w:line="0" w:lineRule="atLeast"/>
              <w:jc w:val="right"/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</w:pPr>
            <w:r>
              <w:rPr>
                <w:rFonts w:ascii="Palatino Linotype" w:eastAsia="新細明體" w:hAnsi="Palatino Linotype" w:cs="Open Sans" w:hint="eastAsia"/>
                <w:color w:val="222222"/>
                <w:kern w:val="0"/>
                <w:szCs w:val="24"/>
              </w:rPr>
              <w:t>9</w:t>
            </w:r>
          </w:p>
        </w:tc>
        <w:tc>
          <w:tcPr>
            <w:tcW w:w="225" w:type="pct"/>
            <w:shd w:val="clear" w:color="auto" w:fill="auto"/>
            <w:vAlign w:val="bottom"/>
          </w:tcPr>
          <w:p w14:paraId="7F2699A8" w14:textId="47E8E265" w:rsidR="00094E4D" w:rsidRPr="0091796A" w:rsidRDefault="00094E4D" w:rsidP="00381D2A">
            <w:pPr>
              <w:widowControl/>
              <w:spacing w:line="0" w:lineRule="atLeast"/>
              <w:jc w:val="right"/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</w:pPr>
            <w:r>
              <w:rPr>
                <w:rFonts w:ascii="Palatino Linotype" w:eastAsia="新細明體" w:hAnsi="Palatino Linotype" w:cs="Open Sans" w:hint="eastAsia"/>
                <w:color w:val="222222"/>
                <w:kern w:val="0"/>
                <w:szCs w:val="24"/>
              </w:rPr>
              <w:t>1</w:t>
            </w:r>
            <w:r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  <w:t>0</w:t>
            </w:r>
          </w:p>
        </w:tc>
        <w:tc>
          <w:tcPr>
            <w:tcW w:w="225" w:type="pct"/>
            <w:shd w:val="clear" w:color="auto" w:fill="auto"/>
            <w:vAlign w:val="bottom"/>
          </w:tcPr>
          <w:p w14:paraId="06E1C11D" w14:textId="21249186" w:rsidR="00094E4D" w:rsidRPr="0091796A" w:rsidRDefault="00094E4D" w:rsidP="00381D2A">
            <w:pPr>
              <w:widowControl/>
              <w:spacing w:line="0" w:lineRule="atLeast"/>
              <w:jc w:val="right"/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</w:pPr>
            <w:r>
              <w:rPr>
                <w:rFonts w:ascii="Palatino Linotype" w:eastAsia="新細明體" w:hAnsi="Palatino Linotype" w:cs="Open Sans" w:hint="eastAsia"/>
                <w:color w:val="222222"/>
                <w:kern w:val="0"/>
                <w:szCs w:val="24"/>
              </w:rPr>
              <w:t>1</w:t>
            </w:r>
            <w:r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  <w:t>1</w:t>
            </w:r>
          </w:p>
        </w:tc>
        <w:tc>
          <w:tcPr>
            <w:tcW w:w="225" w:type="pct"/>
            <w:shd w:val="clear" w:color="auto" w:fill="auto"/>
            <w:vAlign w:val="bottom"/>
          </w:tcPr>
          <w:p w14:paraId="1DBA2B69" w14:textId="0BE65DBC" w:rsidR="00094E4D" w:rsidRPr="0091796A" w:rsidRDefault="00094E4D" w:rsidP="00381D2A">
            <w:pPr>
              <w:widowControl/>
              <w:spacing w:line="0" w:lineRule="atLeast"/>
              <w:jc w:val="right"/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</w:pPr>
            <w:r>
              <w:rPr>
                <w:rFonts w:ascii="Palatino Linotype" w:eastAsia="新細明體" w:hAnsi="Palatino Linotype" w:cs="Open Sans" w:hint="eastAsia"/>
                <w:color w:val="222222"/>
                <w:kern w:val="0"/>
                <w:szCs w:val="24"/>
              </w:rPr>
              <w:t>1</w:t>
            </w:r>
            <w:r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  <w:t>2</w:t>
            </w:r>
          </w:p>
        </w:tc>
        <w:tc>
          <w:tcPr>
            <w:tcW w:w="225" w:type="pct"/>
            <w:shd w:val="clear" w:color="auto" w:fill="auto"/>
            <w:vAlign w:val="bottom"/>
          </w:tcPr>
          <w:p w14:paraId="0A2025A0" w14:textId="58FE7615" w:rsidR="00094E4D" w:rsidRPr="0091796A" w:rsidRDefault="00094E4D" w:rsidP="00381D2A">
            <w:pPr>
              <w:widowControl/>
              <w:spacing w:line="0" w:lineRule="atLeast"/>
              <w:jc w:val="right"/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</w:pPr>
            <w:r>
              <w:rPr>
                <w:rFonts w:ascii="Palatino Linotype" w:eastAsia="新細明體" w:hAnsi="Palatino Linotype" w:cs="Open Sans" w:hint="eastAsia"/>
                <w:color w:val="222222"/>
                <w:kern w:val="0"/>
                <w:szCs w:val="24"/>
              </w:rPr>
              <w:t>1</w:t>
            </w:r>
            <w:r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  <w:t>3</w:t>
            </w:r>
          </w:p>
        </w:tc>
        <w:tc>
          <w:tcPr>
            <w:tcW w:w="225" w:type="pct"/>
            <w:shd w:val="clear" w:color="auto" w:fill="auto"/>
            <w:vAlign w:val="bottom"/>
          </w:tcPr>
          <w:p w14:paraId="0E5033BC" w14:textId="1740CFCD" w:rsidR="00094E4D" w:rsidRPr="0091796A" w:rsidRDefault="00094E4D" w:rsidP="00381D2A">
            <w:pPr>
              <w:widowControl/>
              <w:spacing w:line="0" w:lineRule="atLeast"/>
              <w:jc w:val="right"/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</w:pPr>
            <w:r>
              <w:rPr>
                <w:rFonts w:ascii="Palatino Linotype" w:eastAsia="新細明體" w:hAnsi="Palatino Linotype" w:cs="Open Sans" w:hint="eastAsia"/>
                <w:color w:val="222222"/>
                <w:kern w:val="0"/>
                <w:szCs w:val="24"/>
              </w:rPr>
              <w:t>1</w:t>
            </w:r>
            <w:r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  <w:t>4</w:t>
            </w:r>
          </w:p>
        </w:tc>
        <w:tc>
          <w:tcPr>
            <w:tcW w:w="305" w:type="pct"/>
            <w:shd w:val="clear" w:color="auto" w:fill="auto"/>
            <w:vAlign w:val="bottom"/>
            <w:hideMark/>
          </w:tcPr>
          <w:p w14:paraId="48A47DCA" w14:textId="4C52C8B2" w:rsidR="00094E4D" w:rsidRPr="0091796A" w:rsidRDefault="00094E4D" w:rsidP="001A58ED">
            <w:pPr>
              <w:widowControl/>
              <w:jc w:val="right"/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</w:pPr>
            <w:r>
              <w:rPr>
                <w:rFonts w:ascii="Palatino Linotype" w:eastAsia="新細明體" w:hAnsi="Palatino Linotype" w:cs="Open Sans" w:hint="eastAsia"/>
                <w:color w:val="222222"/>
                <w:kern w:val="0"/>
                <w:szCs w:val="24"/>
              </w:rPr>
              <w:t>t</w:t>
            </w:r>
            <w:r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  <w:t>otal</w:t>
            </w:r>
          </w:p>
        </w:tc>
        <w:tc>
          <w:tcPr>
            <w:tcW w:w="428" w:type="pct"/>
          </w:tcPr>
          <w:p w14:paraId="256ECAD6" w14:textId="19162370" w:rsidR="00094E4D" w:rsidRPr="0091796A" w:rsidRDefault="001A58ED" w:rsidP="001A58ED">
            <w:pPr>
              <w:widowControl/>
              <w:jc w:val="right"/>
              <w:rPr>
                <w:rFonts w:ascii="Palatino Linotype" w:eastAsia="新細明體" w:hAnsi="Palatino Linotype" w:cs="Open Sans"/>
                <w:color w:val="222222"/>
                <w:kern w:val="0"/>
                <w:szCs w:val="24"/>
              </w:rPr>
            </w:pPr>
            <w:r>
              <w:rPr>
                <w:rFonts w:ascii="Palatino Linotype" w:eastAsia="新細明體" w:hAnsi="Palatino Linotype" w:cs="Open Sans" w:hint="eastAsia"/>
                <w:color w:val="222222"/>
                <w:kern w:val="0"/>
                <w:szCs w:val="24"/>
              </w:rPr>
              <w:t>%</w:t>
            </w:r>
          </w:p>
        </w:tc>
      </w:tr>
      <w:tr w:rsidR="00BE63F0" w:rsidRPr="0091796A" w14:paraId="0C6CD72B" w14:textId="266830D0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1B531532" w14:textId="08A0DE38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 xml:space="preserve">Bisson et al. (2019) </w:t>
            </w:r>
          </w:p>
        </w:tc>
        <w:tc>
          <w:tcPr>
            <w:tcW w:w="225" w:type="pct"/>
            <w:shd w:val="clear" w:color="auto" w:fill="auto"/>
            <w:noWrap/>
          </w:tcPr>
          <w:p w14:paraId="5D60D0D7" w14:textId="1E79C1A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638B25A" w14:textId="40068C5E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81F1644" w14:textId="5643B92E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BA5F3F0" w14:textId="7F23FB0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388C11BC" w14:textId="2262ACF7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70912113" w14:textId="3E923CC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0AAED68F" w14:textId="0B33396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069DAC7" w14:textId="472CD47E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7FAF24A" w14:textId="1DE0BD98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12DCD3C" w14:textId="51D61F3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5275429" w14:textId="1E77BD1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0D468CF" w14:textId="729E2C3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FC5A4B7" w14:textId="391231E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C4CE050" w14:textId="0A1196E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305" w:type="pct"/>
            <w:shd w:val="clear" w:color="auto" w:fill="auto"/>
            <w:noWrap/>
          </w:tcPr>
          <w:p w14:paraId="2FAC9F6D" w14:textId="69B290D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11</w:t>
            </w:r>
          </w:p>
        </w:tc>
        <w:tc>
          <w:tcPr>
            <w:tcW w:w="428" w:type="pct"/>
          </w:tcPr>
          <w:p w14:paraId="06255077" w14:textId="026B0A82" w:rsidR="00BE63F0" w:rsidRPr="000B0619" w:rsidRDefault="00BE63F0" w:rsidP="00BE63F0">
            <w:pPr>
              <w:widowControl/>
              <w:jc w:val="right"/>
            </w:pPr>
            <w:r w:rsidRPr="002C40D8">
              <w:t>78.57%</w:t>
            </w:r>
          </w:p>
        </w:tc>
      </w:tr>
      <w:tr w:rsidR="00BE63F0" w:rsidRPr="0091796A" w14:paraId="138BA5F7" w14:textId="608CA1D9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4687336F" w14:textId="5FD60A68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Murawski et al. (2019)</w:t>
            </w:r>
          </w:p>
        </w:tc>
        <w:tc>
          <w:tcPr>
            <w:tcW w:w="225" w:type="pct"/>
            <w:shd w:val="clear" w:color="auto" w:fill="auto"/>
            <w:noWrap/>
          </w:tcPr>
          <w:p w14:paraId="4BCD069C" w14:textId="315A1B5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3836DFC" w14:textId="68D8819E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41F11D2" w14:textId="54F18B8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6FB84C0" w14:textId="51818611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1A207CF7" w14:textId="7101087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6B66C095" w14:textId="4FAF030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FF6FE73" w14:textId="081484DB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18C7864" w14:textId="1639807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4F35C69" w14:textId="3701B32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72CF7F2" w14:textId="57422D1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330C38D" w14:textId="20C9A4D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0CABA63" w14:textId="72C6079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C5D2A5A" w14:textId="321D7E1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1D2EACFD" w14:textId="307A797E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305" w:type="pct"/>
            <w:shd w:val="clear" w:color="auto" w:fill="auto"/>
            <w:noWrap/>
          </w:tcPr>
          <w:p w14:paraId="01DCED63" w14:textId="5F7EC98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10</w:t>
            </w:r>
          </w:p>
        </w:tc>
        <w:tc>
          <w:tcPr>
            <w:tcW w:w="428" w:type="pct"/>
          </w:tcPr>
          <w:p w14:paraId="0E29D9A7" w14:textId="1E05677C" w:rsidR="00BE63F0" w:rsidRPr="000B0619" w:rsidRDefault="00BE63F0" w:rsidP="00BE63F0">
            <w:pPr>
              <w:widowControl/>
              <w:jc w:val="right"/>
            </w:pPr>
            <w:r w:rsidRPr="002C40D8">
              <w:t>71.43%</w:t>
            </w:r>
          </w:p>
        </w:tc>
      </w:tr>
      <w:tr w:rsidR="00BE63F0" w:rsidRPr="0091796A" w14:paraId="6DA19E0B" w14:textId="768F8AA5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6F6AB4A5" w14:textId="6593A166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McDonough et al. (2021)</w:t>
            </w:r>
          </w:p>
        </w:tc>
        <w:tc>
          <w:tcPr>
            <w:tcW w:w="225" w:type="pct"/>
            <w:shd w:val="clear" w:color="auto" w:fill="auto"/>
            <w:noWrap/>
          </w:tcPr>
          <w:p w14:paraId="6BA10C75" w14:textId="6BA3C2F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C67E1B6" w14:textId="047B2958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84ACAAC" w14:textId="03EDBDA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84E143B" w14:textId="5291A1B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766AFCEA" w14:textId="37F58821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17582EA" w14:textId="617418A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42BFFAF" w14:textId="3DE1ACA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6FCAAA6" w14:textId="15A89C0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62B91FC" w14:textId="0076252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08C5387" w14:textId="4F7B87D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26D39DD" w14:textId="5116C13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3518244" w14:textId="70FFEB58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8FF4046" w14:textId="24F472E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351988B" w14:textId="50E9AD9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305" w:type="pct"/>
            <w:shd w:val="clear" w:color="auto" w:fill="auto"/>
            <w:noWrap/>
          </w:tcPr>
          <w:p w14:paraId="56E36B8B" w14:textId="505FAFB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13</w:t>
            </w:r>
          </w:p>
        </w:tc>
        <w:tc>
          <w:tcPr>
            <w:tcW w:w="428" w:type="pct"/>
          </w:tcPr>
          <w:p w14:paraId="7BC6D7DF" w14:textId="01E453F4" w:rsidR="00BE63F0" w:rsidRPr="000B0619" w:rsidRDefault="00BE63F0" w:rsidP="00BE63F0">
            <w:pPr>
              <w:widowControl/>
              <w:jc w:val="right"/>
            </w:pPr>
            <w:r w:rsidRPr="002C40D8">
              <w:t>92.86%</w:t>
            </w:r>
          </w:p>
        </w:tc>
      </w:tr>
      <w:tr w:rsidR="00BE63F0" w:rsidRPr="0091796A" w14:paraId="26BBD941" w14:textId="165470A3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6C38F112" w14:textId="2FB44162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Rayward et al. (2020)</w:t>
            </w:r>
          </w:p>
        </w:tc>
        <w:tc>
          <w:tcPr>
            <w:tcW w:w="225" w:type="pct"/>
            <w:shd w:val="clear" w:color="auto" w:fill="auto"/>
            <w:noWrap/>
          </w:tcPr>
          <w:p w14:paraId="5F854117" w14:textId="313D1EC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61EEB72" w14:textId="10D35BEB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B3B30F5" w14:textId="1779F7C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8D1F7D9" w14:textId="3D224F2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5A1E3FA9" w14:textId="6842585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57D0B96" w14:textId="5442DF2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932677D" w14:textId="24780987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DB8F2C3" w14:textId="2C124D8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B460034" w14:textId="5534BA1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7828ACD" w14:textId="62D4B95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613D85B" w14:textId="15D7DB9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25FD488" w14:textId="150ECE5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1692519" w14:textId="740E03A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39C0F2B2" w14:textId="58AF95D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305" w:type="pct"/>
            <w:shd w:val="clear" w:color="auto" w:fill="auto"/>
            <w:noWrap/>
          </w:tcPr>
          <w:p w14:paraId="07857A92" w14:textId="2F7556A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12</w:t>
            </w:r>
          </w:p>
        </w:tc>
        <w:tc>
          <w:tcPr>
            <w:tcW w:w="428" w:type="pct"/>
          </w:tcPr>
          <w:p w14:paraId="4071E2F9" w14:textId="438A72E1" w:rsidR="00BE63F0" w:rsidRPr="000B0619" w:rsidRDefault="00BE63F0" w:rsidP="00BE63F0">
            <w:pPr>
              <w:widowControl/>
              <w:jc w:val="right"/>
            </w:pPr>
            <w:r w:rsidRPr="002C40D8">
              <w:t>85.71%</w:t>
            </w:r>
          </w:p>
        </w:tc>
      </w:tr>
      <w:tr w:rsidR="00BE63F0" w:rsidRPr="0091796A" w14:paraId="2EB2E3FF" w14:textId="6C1D486A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0F8A5E85" w14:textId="6313D6A2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Chee et al. (2019)</w:t>
            </w:r>
          </w:p>
        </w:tc>
        <w:tc>
          <w:tcPr>
            <w:tcW w:w="225" w:type="pct"/>
            <w:shd w:val="clear" w:color="auto" w:fill="auto"/>
            <w:noWrap/>
          </w:tcPr>
          <w:p w14:paraId="4A58C7DE" w14:textId="0B1DDEEB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AF8684A" w14:textId="13FD9D9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6C5B427" w14:textId="0393508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99D0AC4" w14:textId="4584CDA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78B2EFCB" w14:textId="12D2DA5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03A642D9" w14:textId="3E0DE39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C5F3B4D" w14:textId="35E0D7F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C72C2DB" w14:textId="0DCB17B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9AA02C8" w14:textId="4358DB2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A398779" w14:textId="42DB8E87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C0F1E7A" w14:textId="7BF7AF7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B10E8FD" w14:textId="6812C9E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12C7145E" w14:textId="33D7CDB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A65278C" w14:textId="78FC1E4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305" w:type="pct"/>
            <w:shd w:val="clear" w:color="auto" w:fill="auto"/>
            <w:noWrap/>
          </w:tcPr>
          <w:p w14:paraId="5CCFE5E2" w14:textId="3165F848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11</w:t>
            </w:r>
          </w:p>
        </w:tc>
        <w:tc>
          <w:tcPr>
            <w:tcW w:w="428" w:type="pct"/>
          </w:tcPr>
          <w:p w14:paraId="3A70022B" w14:textId="2FF2B421" w:rsidR="00BE63F0" w:rsidRPr="000B0619" w:rsidRDefault="00BE63F0" w:rsidP="00BE63F0">
            <w:pPr>
              <w:widowControl/>
              <w:jc w:val="right"/>
            </w:pPr>
            <w:r w:rsidRPr="002C40D8">
              <w:t>78.57%</w:t>
            </w:r>
          </w:p>
        </w:tc>
      </w:tr>
      <w:tr w:rsidR="00BE63F0" w:rsidRPr="0091796A" w14:paraId="77358AB6" w14:textId="7610089B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1FE17FC3" w14:textId="7B217A9A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Alessi et al. (1995)</w:t>
            </w:r>
          </w:p>
        </w:tc>
        <w:tc>
          <w:tcPr>
            <w:tcW w:w="225" w:type="pct"/>
            <w:shd w:val="clear" w:color="auto" w:fill="auto"/>
            <w:noWrap/>
          </w:tcPr>
          <w:p w14:paraId="28EF1250" w14:textId="4E6961C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69E62EC" w14:textId="3BD9D90E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3545EC19" w14:textId="2F68B0E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67F585E" w14:textId="5E58287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6E6DED74" w14:textId="7715828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A3B7D25" w14:textId="0F3D1CF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73CAD9D" w14:textId="368D9BFB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DDD2A36" w14:textId="71A5BB01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8A95314" w14:textId="7E0418D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2E4EA99" w14:textId="7E3AA7BB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308E29A" w14:textId="2B419BD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6E9DA75" w14:textId="0F05023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46E69EF" w14:textId="4E31DF47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AE2E5D6" w14:textId="6A4F799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305" w:type="pct"/>
            <w:shd w:val="clear" w:color="auto" w:fill="auto"/>
            <w:noWrap/>
          </w:tcPr>
          <w:p w14:paraId="566EE434" w14:textId="0CF524E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12</w:t>
            </w:r>
          </w:p>
        </w:tc>
        <w:tc>
          <w:tcPr>
            <w:tcW w:w="428" w:type="pct"/>
          </w:tcPr>
          <w:p w14:paraId="60270C1B" w14:textId="3394FC92" w:rsidR="00BE63F0" w:rsidRPr="000B0619" w:rsidRDefault="00BE63F0" w:rsidP="00BE63F0">
            <w:pPr>
              <w:widowControl/>
              <w:jc w:val="right"/>
            </w:pPr>
            <w:r w:rsidRPr="002C40D8">
              <w:t>85.71%</w:t>
            </w:r>
          </w:p>
        </w:tc>
      </w:tr>
      <w:tr w:rsidR="00BE63F0" w:rsidRPr="0091796A" w14:paraId="301F56B1" w14:textId="550853EE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5C175091" w14:textId="05F864AF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Alessi et al. (1999)</w:t>
            </w:r>
          </w:p>
        </w:tc>
        <w:tc>
          <w:tcPr>
            <w:tcW w:w="225" w:type="pct"/>
            <w:shd w:val="clear" w:color="auto" w:fill="auto"/>
            <w:noWrap/>
          </w:tcPr>
          <w:p w14:paraId="057AAC9C" w14:textId="253B445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E3C9FA8" w14:textId="6DB9DBB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06C5D8B6" w14:textId="0E2E6C4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6F176813" w14:textId="25FC71D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70009650" w14:textId="60A8896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61936D2D" w14:textId="3CACA3D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FD049C3" w14:textId="4615498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4AAA5B1" w14:textId="39B2167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1A347D9" w14:textId="0014679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00833CA" w14:textId="29D7B51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5B78BB2" w14:textId="534B495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D771829" w14:textId="0A4A4EA1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4CE6B755" w14:textId="5FB721C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A141AEF" w14:textId="0F986881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305" w:type="pct"/>
            <w:shd w:val="clear" w:color="auto" w:fill="auto"/>
            <w:noWrap/>
          </w:tcPr>
          <w:p w14:paraId="46BBDD23" w14:textId="75AA3A4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9</w:t>
            </w:r>
          </w:p>
        </w:tc>
        <w:tc>
          <w:tcPr>
            <w:tcW w:w="428" w:type="pct"/>
          </w:tcPr>
          <w:p w14:paraId="3B88AF6C" w14:textId="1E8B0D24" w:rsidR="00BE63F0" w:rsidRPr="000B0619" w:rsidRDefault="00BE63F0" w:rsidP="00BE63F0">
            <w:pPr>
              <w:widowControl/>
              <w:jc w:val="right"/>
            </w:pPr>
            <w:r w:rsidRPr="002C40D8">
              <w:t>64.29%</w:t>
            </w:r>
          </w:p>
        </w:tc>
      </w:tr>
      <w:tr w:rsidR="00BE63F0" w:rsidRPr="0091796A" w14:paraId="28222761" w14:textId="05BE9389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1596FCC4" w14:textId="64EDC4B9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Seol et al. (2021)</w:t>
            </w:r>
          </w:p>
        </w:tc>
        <w:tc>
          <w:tcPr>
            <w:tcW w:w="225" w:type="pct"/>
            <w:shd w:val="clear" w:color="auto" w:fill="auto"/>
            <w:noWrap/>
          </w:tcPr>
          <w:p w14:paraId="5C6BADBD" w14:textId="10A0DF5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9F510E4" w14:textId="06A43F2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995BD84" w14:textId="6616B5DE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0943DC1" w14:textId="104C008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1211F5EC" w14:textId="4EBD370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56142C49" w14:textId="4BF5B8C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EF3C648" w14:textId="2CBF6A77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90AA939" w14:textId="4664107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90ACD38" w14:textId="07D8E97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E6FAB31" w14:textId="27816F9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D076C70" w14:textId="2BA1F8C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0D7E56C" w14:textId="7FD0A6E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58926D1" w14:textId="029EEA5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9A2FDCF" w14:textId="2591EFE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305" w:type="pct"/>
            <w:shd w:val="clear" w:color="auto" w:fill="auto"/>
            <w:noWrap/>
          </w:tcPr>
          <w:p w14:paraId="7946B1DB" w14:textId="5783D30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12</w:t>
            </w:r>
          </w:p>
        </w:tc>
        <w:tc>
          <w:tcPr>
            <w:tcW w:w="428" w:type="pct"/>
          </w:tcPr>
          <w:p w14:paraId="7B2EA550" w14:textId="774483AB" w:rsidR="00BE63F0" w:rsidRPr="000B0619" w:rsidRDefault="00BE63F0" w:rsidP="00BE63F0">
            <w:pPr>
              <w:widowControl/>
              <w:jc w:val="right"/>
            </w:pPr>
            <w:r w:rsidRPr="002C40D8">
              <w:t>85.71%</w:t>
            </w:r>
          </w:p>
        </w:tc>
      </w:tr>
      <w:tr w:rsidR="00BE63F0" w:rsidRPr="0091796A" w14:paraId="3609944B" w14:textId="4788F742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5D77CA28" w14:textId="6AACCC34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Bademlim et al. (2019)</w:t>
            </w:r>
          </w:p>
        </w:tc>
        <w:tc>
          <w:tcPr>
            <w:tcW w:w="225" w:type="pct"/>
            <w:shd w:val="clear" w:color="auto" w:fill="auto"/>
            <w:noWrap/>
          </w:tcPr>
          <w:p w14:paraId="57935651" w14:textId="0222D79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A634FF2" w14:textId="0DB5502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EFECDAE" w14:textId="7FD1175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0257316" w14:textId="1379BC1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67BCFBE4" w14:textId="4031F43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58183F0E" w14:textId="5772690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537E523" w14:textId="5B33E7D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C5E3C84" w14:textId="7152FD9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64474C4" w14:textId="17D6C6A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B402A65" w14:textId="258F847B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7A71818" w14:textId="0DDA22A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0541B6D" w14:textId="0470FEF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5ACDBBE" w14:textId="7DF24BC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376FC3C" w14:textId="5353044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305" w:type="pct"/>
            <w:shd w:val="clear" w:color="auto" w:fill="auto"/>
            <w:noWrap/>
          </w:tcPr>
          <w:p w14:paraId="28A0A5E9" w14:textId="1A7C312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12</w:t>
            </w:r>
          </w:p>
        </w:tc>
        <w:tc>
          <w:tcPr>
            <w:tcW w:w="428" w:type="pct"/>
          </w:tcPr>
          <w:p w14:paraId="6C8268EE" w14:textId="29778781" w:rsidR="00BE63F0" w:rsidRPr="000B0619" w:rsidRDefault="00BE63F0" w:rsidP="00BE63F0">
            <w:pPr>
              <w:widowControl/>
              <w:jc w:val="right"/>
            </w:pPr>
            <w:r w:rsidRPr="002C40D8">
              <w:t>85.71%</w:t>
            </w:r>
          </w:p>
        </w:tc>
      </w:tr>
      <w:tr w:rsidR="00BE63F0" w:rsidRPr="0091796A" w14:paraId="2D7A7C2B" w14:textId="62005703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3D4D8903" w14:textId="32D763DE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Vazfragoso et al. (2015)</w:t>
            </w:r>
          </w:p>
        </w:tc>
        <w:tc>
          <w:tcPr>
            <w:tcW w:w="225" w:type="pct"/>
            <w:shd w:val="clear" w:color="auto" w:fill="auto"/>
            <w:noWrap/>
          </w:tcPr>
          <w:p w14:paraId="628E0138" w14:textId="0C1F1A3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CD1A5F8" w14:textId="203D45F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1D91920" w14:textId="69B0C421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0A5A82E" w14:textId="3D610BD1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7E31D874" w14:textId="4F0F24F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949E1FC" w14:textId="130B1CD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26F6687" w14:textId="2C5DFB2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6BD04B1" w14:textId="2C7A11D1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C699DE6" w14:textId="620A4D4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ADB2F61" w14:textId="40445CA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5B5549F" w14:textId="19A3A97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87C38AE" w14:textId="36AA2868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097565C" w14:textId="38DCEB4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8D8D7AB" w14:textId="0E3A15C7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305" w:type="pct"/>
            <w:shd w:val="clear" w:color="auto" w:fill="auto"/>
            <w:noWrap/>
          </w:tcPr>
          <w:p w14:paraId="2A76DFF5" w14:textId="699638E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13</w:t>
            </w:r>
          </w:p>
        </w:tc>
        <w:tc>
          <w:tcPr>
            <w:tcW w:w="428" w:type="pct"/>
          </w:tcPr>
          <w:p w14:paraId="4217054D" w14:textId="4310E17C" w:rsidR="00BE63F0" w:rsidRPr="000B0619" w:rsidRDefault="00BE63F0" w:rsidP="00BE63F0">
            <w:pPr>
              <w:widowControl/>
              <w:jc w:val="right"/>
            </w:pPr>
            <w:r w:rsidRPr="002C40D8">
              <w:t>92.86%</w:t>
            </w:r>
          </w:p>
        </w:tc>
      </w:tr>
      <w:tr w:rsidR="00BE63F0" w:rsidRPr="0091796A" w14:paraId="505F847E" w14:textId="08333471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4EFA4002" w14:textId="65621BC1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Rodriguez-blanque et al. (2018)</w:t>
            </w:r>
          </w:p>
        </w:tc>
        <w:tc>
          <w:tcPr>
            <w:tcW w:w="225" w:type="pct"/>
            <w:shd w:val="clear" w:color="auto" w:fill="auto"/>
            <w:noWrap/>
          </w:tcPr>
          <w:p w14:paraId="71766404" w14:textId="7FCF983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5E7DEBE" w14:textId="5A10A09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B591171" w14:textId="4AEED7C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2FEDD89" w14:textId="47D94D07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3685C788" w14:textId="766CEDE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45448280" w14:textId="4BF02B2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04F3706" w14:textId="57B5899B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9FEC8CF" w14:textId="6A6CEFD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E6A68C5" w14:textId="703A514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342108D" w14:textId="084D6E9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881D9E5" w14:textId="1D9816C8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8911CE2" w14:textId="6EAEC98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20DB2CA" w14:textId="427615D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290BB10" w14:textId="47308BD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305" w:type="pct"/>
            <w:shd w:val="clear" w:color="auto" w:fill="auto"/>
            <w:noWrap/>
          </w:tcPr>
          <w:p w14:paraId="36D97B64" w14:textId="79A73267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11</w:t>
            </w:r>
          </w:p>
        </w:tc>
        <w:tc>
          <w:tcPr>
            <w:tcW w:w="428" w:type="pct"/>
          </w:tcPr>
          <w:p w14:paraId="2F6F81E2" w14:textId="1E4589E3" w:rsidR="00BE63F0" w:rsidRPr="000B0619" w:rsidRDefault="00BE63F0" w:rsidP="00BE63F0">
            <w:pPr>
              <w:widowControl/>
              <w:jc w:val="right"/>
            </w:pPr>
            <w:r w:rsidRPr="002C40D8">
              <w:t>78.57%</w:t>
            </w:r>
          </w:p>
        </w:tc>
      </w:tr>
      <w:tr w:rsidR="00BE63F0" w:rsidRPr="0091796A" w14:paraId="0B9C652F" w14:textId="63D682BB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688BCE6C" w14:textId="2C714318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Hawkins et al. (2019)</w:t>
            </w:r>
          </w:p>
        </w:tc>
        <w:tc>
          <w:tcPr>
            <w:tcW w:w="225" w:type="pct"/>
            <w:shd w:val="clear" w:color="auto" w:fill="auto"/>
            <w:noWrap/>
          </w:tcPr>
          <w:p w14:paraId="567B0570" w14:textId="1027CBF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88C6B5C" w14:textId="61C8407B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4DFF81D0" w14:textId="5A5E9DA7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5E23D6C9" w14:textId="7AD2E9E1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1FF3CF23" w14:textId="08635141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675E3DB1" w14:textId="6530EF78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571902F" w14:textId="215FCC07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0B52F99" w14:textId="7322DE9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1EFAFDD" w14:textId="1BC13918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33A7C5D" w14:textId="5EB80E1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5C1D5C6" w14:textId="56011697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832EC89" w14:textId="02CC8C5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34A93B48" w14:textId="7C30347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B540821" w14:textId="605919F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305" w:type="pct"/>
            <w:shd w:val="clear" w:color="auto" w:fill="auto"/>
            <w:noWrap/>
          </w:tcPr>
          <w:p w14:paraId="4E3CBFF1" w14:textId="6CC795A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8</w:t>
            </w:r>
          </w:p>
        </w:tc>
        <w:tc>
          <w:tcPr>
            <w:tcW w:w="428" w:type="pct"/>
          </w:tcPr>
          <w:p w14:paraId="376232A6" w14:textId="3FC5908C" w:rsidR="00BE63F0" w:rsidRPr="000B0619" w:rsidRDefault="00BE63F0" w:rsidP="00BE63F0">
            <w:pPr>
              <w:widowControl/>
              <w:jc w:val="right"/>
            </w:pPr>
            <w:r w:rsidRPr="002C40D8">
              <w:t>57.14%</w:t>
            </w:r>
          </w:p>
        </w:tc>
      </w:tr>
      <w:tr w:rsidR="00BE63F0" w:rsidRPr="0091796A" w14:paraId="4F2A5B73" w14:textId="4D3DE7AA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38D706D5" w14:textId="5546D334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Freburger et al. (2010)</w:t>
            </w:r>
          </w:p>
        </w:tc>
        <w:tc>
          <w:tcPr>
            <w:tcW w:w="225" w:type="pct"/>
            <w:shd w:val="clear" w:color="auto" w:fill="auto"/>
            <w:noWrap/>
          </w:tcPr>
          <w:p w14:paraId="2C2DF53E" w14:textId="192158F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A261985" w14:textId="2F5FDFB7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2AE06E5" w14:textId="0C16485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94B312C" w14:textId="4DE2422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24AA1E62" w14:textId="7C1047A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2D5C4E53" w14:textId="179AA79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9358CE2" w14:textId="231B38E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66AA5ED" w14:textId="66638801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46C372F" w14:textId="1365792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68DE7DC" w14:textId="36E5075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D0497F9" w14:textId="0B573CF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446F603" w14:textId="2CCBB271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5158A0AA" w14:textId="1D896E8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50186FDA" w14:textId="3C62AE0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305" w:type="pct"/>
            <w:shd w:val="clear" w:color="auto" w:fill="auto"/>
            <w:noWrap/>
          </w:tcPr>
          <w:p w14:paraId="78C59677" w14:textId="1947130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10</w:t>
            </w:r>
          </w:p>
        </w:tc>
        <w:tc>
          <w:tcPr>
            <w:tcW w:w="428" w:type="pct"/>
          </w:tcPr>
          <w:p w14:paraId="5AED4B09" w14:textId="56B15738" w:rsidR="00BE63F0" w:rsidRPr="000B0619" w:rsidRDefault="00BE63F0" w:rsidP="00BE63F0">
            <w:pPr>
              <w:widowControl/>
              <w:jc w:val="right"/>
            </w:pPr>
            <w:r w:rsidRPr="002C40D8">
              <w:t>71.43%</w:t>
            </w:r>
          </w:p>
        </w:tc>
      </w:tr>
      <w:tr w:rsidR="00BE63F0" w:rsidRPr="0091796A" w14:paraId="11214AD0" w14:textId="5C646FC9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7B6AB574" w14:textId="30BA183B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Cho et al. (2018)</w:t>
            </w:r>
          </w:p>
        </w:tc>
        <w:tc>
          <w:tcPr>
            <w:tcW w:w="225" w:type="pct"/>
            <w:shd w:val="clear" w:color="auto" w:fill="auto"/>
            <w:noWrap/>
          </w:tcPr>
          <w:p w14:paraId="47C0219F" w14:textId="6E406E4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0D69B9E" w14:textId="38D40B7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41CC17C" w14:textId="39C7999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E3777A8" w14:textId="395BD76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40F6380E" w14:textId="1364327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40D14AA0" w14:textId="05F0A5B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828B84A" w14:textId="7C1351C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0D32B266" w14:textId="0C35EEE8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6CF2996A" w14:textId="0C1AEE0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31F477B6" w14:textId="002B7CA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AA152DE" w14:textId="1F591BC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9F4C8A4" w14:textId="388AB13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6EC22C0B" w14:textId="3BBCE3F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2A20947D" w14:textId="58817C6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305" w:type="pct"/>
            <w:shd w:val="clear" w:color="auto" w:fill="auto"/>
            <w:noWrap/>
          </w:tcPr>
          <w:p w14:paraId="6003E97D" w14:textId="6C6BE638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6</w:t>
            </w:r>
          </w:p>
        </w:tc>
        <w:tc>
          <w:tcPr>
            <w:tcW w:w="428" w:type="pct"/>
          </w:tcPr>
          <w:p w14:paraId="142151DB" w14:textId="026BDB3F" w:rsidR="00BE63F0" w:rsidRPr="000B0619" w:rsidRDefault="00BE63F0" w:rsidP="00BE63F0">
            <w:pPr>
              <w:widowControl/>
              <w:jc w:val="right"/>
            </w:pPr>
            <w:r w:rsidRPr="002C40D8">
              <w:t>42.86%</w:t>
            </w:r>
          </w:p>
        </w:tc>
      </w:tr>
      <w:tr w:rsidR="00BE63F0" w:rsidRPr="0091796A" w14:paraId="5FC8EC95" w14:textId="5D4DFE3F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453FBE57" w14:textId="7A8E4BD0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Nguyen et al. (2021)</w:t>
            </w:r>
          </w:p>
        </w:tc>
        <w:tc>
          <w:tcPr>
            <w:tcW w:w="225" w:type="pct"/>
            <w:shd w:val="clear" w:color="auto" w:fill="auto"/>
            <w:noWrap/>
          </w:tcPr>
          <w:p w14:paraId="3975F2F6" w14:textId="3FFF66F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CF69BA8" w14:textId="441D1978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BBE8980" w14:textId="2B66FC58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7ADA493" w14:textId="28EB7717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5B8F9AA1" w14:textId="6C446CE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2F2BFCD0" w14:textId="1812683B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58E87BC" w14:textId="15356D9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7FA1EC7" w14:textId="3DB9D847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17B65DA" w14:textId="1DAAEBE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5FF2075" w14:textId="41286A5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78CEE2F" w14:textId="46843D48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49A7E6D" w14:textId="5A2FDD67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5F11774" w14:textId="794DA7F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6D1DA0B8" w14:textId="33325A2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305" w:type="pct"/>
            <w:shd w:val="clear" w:color="auto" w:fill="auto"/>
            <w:noWrap/>
          </w:tcPr>
          <w:p w14:paraId="775700DC" w14:textId="7EC6BEC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10</w:t>
            </w:r>
          </w:p>
        </w:tc>
        <w:tc>
          <w:tcPr>
            <w:tcW w:w="428" w:type="pct"/>
          </w:tcPr>
          <w:p w14:paraId="141F9FDD" w14:textId="2990B4CE" w:rsidR="00BE63F0" w:rsidRPr="000B0619" w:rsidRDefault="00BE63F0" w:rsidP="00BE63F0">
            <w:pPr>
              <w:widowControl/>
              <w:jc w:val="right"/>
            </w:pPr>
            <w:r w:rsidRPr="002C40D8">
              <w:t>71.43%</w:t>
            </w:r>
          </w:p>
        </w:tc>
      </w:tr>
      <w:tr w:rsidR="00BE63F0" w:rsidRPr="0091796A" w14:paraId="329D0097" w14:textId="1C44A71F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3A29094A" w14:textId="2DB910FD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Rastogi et al. (2020)</w:t>
            </w:r>
          </w:p>
        </w:tc>
        <w:tc>
          <w:tcPr>
            <w:tcW w:w="225" w:type="pct"/>
            <w:shd w:val="clear" w:color="auto" w:fill="auto"/>
            <w:noWrap/>
          </w:tcPr>
          <w:p w14:paraId="53562AB5" w14:textId="2FCD81B1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BB13EE4" w14:textId="79F53D9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9C68233" w14:textId="50489EF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F7DC268" w14:textId="0D079D7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7697EE7D" w14:textId="78316E8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3DA52207" w14:textId="1B69C14E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31740B0" w14:textId="432990D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E1940C2" w14:textId="2CA6A18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9D61B63" w14:textId="0F90C4CB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5E56554" w14:textId="3FDA4B0E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C6D227B" w14:textId="347E317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1D08FCA" w14:textId="683CE38B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92920AF" w14:textId="02F23D9E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9D7AD6B" w14:textId="22327C0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305" w:type="pct"/>
            <w:shd w:val="clear" w:color="auto" w:fill="auto"/>
            <w:noWrap/>
          </w:tcPr>
          <w:p w14:paraId="1C137C87" w14:textId="2F75005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11</w:t>
            </w:r>
          </w:p>
        </w:tc>
        <w:tc>
          <w:tcPr>
            <w:tcW w:w="428" w:type="pct"/>
          </w:tcPr>
          <w:p w14:paraId="10CC0ED4" w14:textId="369B5B68" w:rsidR="00BE63F0" w:rsidRPr="000B0619" w:rsidRDefault="00BE63F0" w:rsidP="00BE63F0">
            <w:pPr>
              <w:widowControl/>
              <w:jc w:val="right"/>
            </w:pPr>
            <w:r w:rsidRPr="002C40D8">
              <w:t>78.57%</w:t>
            </w:r>
          </w:p>
        </w:tc>
      </w:tr>
      <w:tr w:rsidR="00BE63F0" w:rsidRPr="0091796A" w14:paraId="6F9B65B0" w14:textId="7F61A830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4C2C6783" w14:textId="05CC5FFA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Rogers et al. (2017)</w:t>
            </w:r>
          </w:p>
        </w:tc>
        <w:tc>
          <w:tcPr>
            <w:tcW w:w="225" w:type="pct"/>
            <w:shd w:val="clear" w:color="auto" w:fill="auto"/>
            <w:noWrap/>
          </w:tcPr>
          <w:p w14:paraId="5E8BF171" w14:textId="0C8ABEF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9BA689F" w14:textId="41CD6FC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F4C7D2B" w14:textId="014557B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46AB98D" w14:textId="5C43EDF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3D5D5BBF" w14:textId="350BE8D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1957C3D" w14:textId="24EFEDC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ECBFF70" w14:textId="2380A55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31325E9" w14:textId="19538BC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0A2144A" w14:textId="3525A888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4F14103" w14:textId="00BF4A71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657D9AB" w14:textId="45978D2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3465D33" w14:textId="620E91D7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D722C8A" w14:textId="63FDE2C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023A120" w14:textId="1DF11DC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305" w:type="pct"/>
            <w:shd w:val="clear" w:color="auto" w:fill="auto"/>
            <w:noWrap/>
          </w:tcPr>
          <w:p w14:paraId="0B2A44BB" w14:textId="010E6F0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12</w:t>
            </w:r>
          </w:p>
        </w:tc>
        <w:tc>
          <w:tcPr>
            <w:tcW w:w="428" w:type="pct"/>
          </w:tcPr>
          <w:p w14:paraId="607E3D16" w14:textId="21C68656" w:rsidR="00BE63F0" w:rsidRPr="000B0619" w:rsidRDefault="00BE63F0" w:rsidP="00BE63F0">
            <w:pPr>
              <w:widowControl/>
              <w:jc w:val="right"/>
            </w:pPr>
            <w:r w:rsidRPr="002C40D8">
              <w:t>85.71%</w:t>
            </w:r>
          </w:p>
        </w:tc>
      </w:tr>
      <w:tr w:rsidR="00BE63F0" w:rsidRPr="0091796A" w14:paraId="1899CA0A" w14:textId="65FA5460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37991423" w14:textId="460FDA9E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Roveda et al. (2017)</w:t>
            </w:r>
          </w:p>
        </w:tc>
        <w:tc>
          <w:tcPr>
            <w:tcW w:w="225" w:type="pct"/>
            <w:shd w:val="clear" w:color="auto" w:fill="auto"/>
            <w:noWrap/>
          </w:tcPr>
          <w:p w14:paraId="06A65EA8" w14:textId="6942C73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78A01A3" w14:textId="41E2B2A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446DA34E" w14:textId="30EC605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3D1EC00D" w14:textId="773817B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5FBA8EF5" w14:textId="3DF2668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130B3DD9" w14:textId="17531E2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1507670" w14:textId="6AB7CBD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6DC80E6" w14:textId="281356D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449EC12" w14:textId="08F6386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2F23366" w14:textId="68DE0B1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0AAA71F" w14:textId="295CB5D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DDA2CA5" w14:textId="64B7F6CE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5EFB4B8" w14:textId="00841B8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7F4DD92" w14:textId="6721941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305" w:type="pct"/>
            <w:shd w:val="clear" w:color="auto" w:fill="auto"/>
            <w:noWrap/>
          </w:tcPr>
          <w:p w14:paraId="1C80E9E5" w14:textId="581C5175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10</w:t>
            </w:r>
          </w:p>
        </w:tc>
        <w:tc>
          <w:tcPr>
            <w:tcW w:w="428" w:type="pct"/>
          </w:tcPr>
          <w:p w14:paraId="4F83C97B" w14:textId="516DCE08" w:rsidR="00BE63F0" w:rsidRPr="000B0619" w:rsidRDefault="00BE63F0" w:rsidP="00BE63F0">
            <w:pPr>
              <w:widowControl/>
              <w:jc w:val="right"/>
            </w:pPr>
            <w:r w:rsidRPr="002C40D8">
              <w:t>71.43%</w:t>
            </w:r>
          </w:p>
        </w:tc>
      </w:tr>
      <w:tr w:rsidR="00BE63F0" w:rsidRPr="0091796A" w14:paraId="147B738F" w14:textId="0DD54F06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5EE89EEC" w14:textId="0E3BF69A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Hartescu et al. (2015)</w:t>
            </w:r>
          </w:p>
        </w:tc>
        <w:tc>
          <w:tcPr>
            <w:tcW w:w="225" w:type="pct"/>
            <w:shd w:val="clear" w:color="auto" w:fill="auto"/>
            <w:noWrap/>
          </w:tcPr>
          <w:p w14:paraId="1D25B3E8" w14:textId="2D703DA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A737B89" w14:textId="45F8E82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B570FB6" w14:textId="78EE455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60283E5" w14:textId="67E7883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098ACCAD" w14:textId="38610C2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2CDAAC37" w14:textId="7E1B34A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C0D89A1" w14:textId="74BF4B9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E65C28D" w14:textId="69C311B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0E565A0" w14:textId="7B8B155B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B789321" w14:textId="21BF44A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BB110F6" w14:textId="41B8EF5E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2E47B24" w14:textId="6EC3ADEE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25502BF" w14:textId="63F479E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2573E17" w14:textId="34F63351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305" w:type="pct"/>
            <w:shd w:val="clear" w:color="auto" w:fill="auto"/>
            <w:noWrap/>
          </w:tcPr>
          <w:p w14:paraId="10EDF923" w14:textId="7C85E6D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12</w:t>
            </w:r>
          </w:p>
        </w:tc>
        <w:tc>
          <w:tcPr>
            <w:tcW w:w="428" w:type="pct"/>
          </w:tcPr>
          <w:p w14:paraId="4B455CC4" w14:textId="37F6A3F2" w:rsidR="00BE63F0" w:rsidRPr="000B0619" w:rsidRDefault="00BE63F0" w:rsidP="00BE63F0">
            <w:pPr>
              <w:widowControl/>
              <w:jc w:val="right"/>
            </w:pPr>
            <w:r w:rsidRPr="002C40D8">
              <w:t>85.71%</w:t>
            </w:r>
          </w:p>
        </w:tc>
      </w:tr>
      <w:tr w:rsidR="00BE63F0" w:rsidRPr="0091796A" w14:paraId="6AEF2932" w14:textId="3F049EE6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61E3ABC5" w14:textId="641B896F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Wang et al. (2015)</w:t>
            </w:r>
          </w:p>
        </w:tc>
        <w:tc>
          <w:tcPr>
            <w:tcW w:w="225" w:type="pct"/>
            <w:shd w:val="clear" w:color="auto" w:fill="auto"/>
            <w:noWrap/>
          </w:tcPr>
          <w:p w14:paraId="76418525" w14:textId="0F744D7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A9DE1D0" w14:textId="7BCC24B8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5ECCEB1" w14:textId="61A98EEB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8C225E2" w14:textId="40DCB2C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1B3410D1" w14:textId="6DC2405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775E0DE" w14:textId="502C676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0406E4E" w14:textId="5288EEF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2D46F05" w14:textId="6A43FA7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2AB3CDA3" w14:textId="4CED137B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EE4B03F" w14:textId="3E11248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64A3D0D" w14:textId="32B26C5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914DF3B" w14:textId="01F3FD2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10C4CD87" w14:textId="0843CB6A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90D6784" w14:textId="2BDF59DC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305" w:type="pct"/>
            <w:shd w:val="clear" w:color="auto" w:fill="auto"/>
            <w:noWrap/>
          </w:tcPr>
          <w:p w14:paraId="0C03054E" w14:textId="0BFC57E7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12</w:t>
            </w:r>
          </w:p>
        </w:tc>
        <w:tc>
          <w:tcPr>
            <w:tcW w:w="428" w:type="pct"/>
          </w:tcPr>
          <w:p w14:paraId="2F50B346" w14:textId="6AC4FC5A" w:rsidR="00BE63F0" w:rsidRPr="000B0619" w:rsidRDefault="00BE63F0" w:rsidP="00BE63F0">
            <w:pPr>
              <w:widowControl/>
              <w:jc w:val="right"/>
            </w:pPr>
            <w:r w:rsidRPr="002C40D8">
              <w:t>85.71%</w:t>
            </w:r>
          </w:p>
        </w:tc>
      </w:tr>
      <w:tr w:rsidR="00BE63F0" w:rsidRPr="0091796A" w14:paraId="31B53852" w14:textId="45FA567A" w:rsidTr="00BE63F0">
        <w:trPr>
          <w:trHeight w:val="290"/>
        </w:trPr>
        <w:tc>
          <w:tcPr>
            <w:tcW w:w="1117" w:type="pct"/>
            <w:shd w:val="clear" w:color="auto" w:fill="auto"/>
            <w:noWrap/>
          </w:tcPr>
          <w:p w14:paraId="5F0CDF22" w14:textId="328707CF" w:rsidR="00BE63F0" w:rsidRPr="0091796A" w:rsidRDefault="00BE63F0" w:rsidP="00BE63F0">
            <w:pPr>
              <w:widowControl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Tse et al. (2019)</w:t>
            </w:r>
          </w:p>
        </w:tc>
        <w:tc>
          <w:tcPr>
            <w:tcW w:w="225" w:type="pct"/>
            <w:shd w:val="clear" w:color="auto" w:fill="auto"/>
            <w:noWrap/>
          </w:tcPr>
          <w:p w14:paraId="0BD8FF4F" w14:textId="014351F4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1EC73904" w14:textId="0EABACE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5BE31496" w14:textId="6B1434E0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19998EF" w14:textId="013D701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225" w:type="pct"/>
            <w:shd w:val="clear" w:color="auto" w:fill="auto"/>
            <w:noWrap/>
          </w:tcPr>
          <w:p w14:paraId="6C8CC584" w14:textId="2D02AA08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F8237BC" w14:textId="5A41AFCD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1A11EF4" w14:textId="250227F9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4D2D79FD" w14:textId="5EC44B2E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4ADC8C8" w14:textId="2B8507BE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79FC93BE" w14:textId="2986CA4F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9BCE039" w14:textId="330BFAB6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0DF2E2D2" w14:textId="6D9DF2EE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39F44C49" w14:textId="5F7D73FE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1</w:t>
            </w:r>
          </w:p>
        </w:tc>
        <w:tc>
          <w:tcPr>
            <w:tcW w:w="225" w:type="pct"/>
            <w:shd w:val="clear" w:color="auto" w:fill="auto"/>
            <w:noWrap/>
          </w:tcPr>
          <w:p w14:paraId="6C1F569F" w14:textId="6AD7C7E3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9230FC">
              <w:t>0</w:t>
            </w:r>
          </w:p>
        </w:tc>
        <w:tc>
          <w:tcPr>
            <w:tcW w:w="305" w:type="pct"/>
            <w:shd w:val="clear" w:color="auto" w:fill="auto"/>
            <w:noWrap/>
          </w:tcPr>
          <w:p w14:paraId="73FC50D0" w14:textId="2211F4D2" w:rsidR="00BE63F0" w:rsidRPr="0091796A" w:rsidRDefault="00BE63F0" w:rsidP="00BE63F0">
            <w:pPr>
              <w:widowControl/>
              <w:jc w:val="right"/>
              <w:rPr>
                <w:rFonts w:ascii="Palatino Linotype" w:eastAsia="新細明體" w:hAnsi="Palatino Linotype" w:cs="新細明體"/>
                <w:color w:val="000000"/>
                <w:kern w:val="0"/>
                <w:szCs w:val="24"/>
              </w:rPr>
            </w:pPr>
            <w:r w:rsidRPr="002C40D8">
              <w:t>12</w:t>
            </w:r>
          </w:p>
        </w:tc>
        <w:tc>
          <w:tcPr>
            <w:tcW w:w="428" w:type="pct"/>
          </w:tcPr>
          <w:p w14:paraId="2FD45C30" w14:textId="25E9D3F6" w:rsidR="00BE63F0" w:rsidRPr="000B0619" w:rsidRDefault="00BE63F0" w:rsidP="00BE63F0">
            <w:pPr>
              <w:widowControl/>
              <w:jc w:val="right"/>
            </w:pPr>
            <w:r w:rsidRPr="002C40D8">
              <w:t>85.71%</w:t>
            </w:r>
          </w:p>
        </w:tc>
      </w:tr>
    </w:tbl>
    <w:p w14:paraId="26FF814D" w14:textId="6398105D" w:rsidR="00396503" w:rsidRPr="00D12909" w:rsidRDefault="00D12909">
      <w:pPr>
        <w:rPr>
          <w:rFonts w:ascii="Palatino Linotype" w:hAnsi="Palatino Linotype"/>
          <w:szCs w:val="24"/>
        </w:rPr>
      </w:pPr>
      <w:r w:rsidRPr="00D12909">
        <w:rPr>
          <w:rFonts w:ascii="Palatino Linotype" w:hAnsi="Palatino Linotype"/>
        </w:rPr>
        <w:t xml:space="preserve">Table S1 </w:t>
      </w:r>
      <w:r w:rsidRPr="00D12909">
        <w:rPr>
          <w:rFonts w:ascii="Palatino Linotype" w:hAnsi="Palatino Linotype"/>
          <w:szCs w:val="24"/>
        </w:rPr>
        <w:t>Quality Assessment of Controlled Intervention Studies (QACIS) of the included articles.</w:t>
      </w:r>
    </w:p>
    <w:p w14:paraId="559879BD" w14:textId="3BF80101" w:rsidR="009978F9" w:rsidRDefault="009978F9">
      <w:pPr>
        <w:rPr>
          <w:color w:val="000000" w:themeColor="text1"/>
          <w:szCs w:val="24"/>
        </w:rPr>
      </w:pPr>
    </w:p>
    <w:p w14:paraId="344B4F31" w14:textId="4829DDBF" w:rsidR="005A6655" w:rsidRDefault="005A6655">
      <w:pPr>
        <w:rPr>
          <w:color w:val="000000" w:themeColor="text1"/>
          <w:szCs w:val="24"/>
        </w:rPr>
      </w:pPr>
    </w:p>
    <w:p w14:paraId="092CC527" w14:textId="77777777" w:rsidR="005A6655" w:rsidRPr="00D12909" w:rsidRDefault="005A6655">
      <w:pPr>
        <w:rPr>
          <w:color w:val="000000" w:themeColor="text1"/>
          <w:szCs w:val="24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13502"/>
      </w:tblGrid>
      <w:tr w:rsidR="009978F9" w:rsidRPr="00D12909" w14:paraId="690A64C3" w14:textId="77777777" w:rsidTr="00381D2A">
        <w:tc>
          <w:tcPr>
            <w:tcW w:w="421" w:type="dxa"/>
            <w:tcBorders>
              <w:top w:val="single" w:sz="12" w:space="0" w:color="auto"/>
              <w:bottom w:val="single" w:sz="12" w:space="0" w:color="auto"/>
            </w:tcBorders>
          </w:tcPr>
          <w:p w14:paraId="645B01AB" w14:textId="06DF1EFF" w:rsidR="009978F9" w:rsidRPr="00D12909" w:rsidRDefault="009978F9">
            <w:pPr>
              <w:rPr>
                <w:rFonts w:ascii="Palatino Linotype" w:hAnsi="Palatino Linotype"/>
              </w:rPr>
            </w:pPr>
          </w:p>
        </w:tc>
        <w:tc>
          <w:tcPr>
            <w:tcW w:w="13527" w:type="dxa"/>
            <w:tcBorders>
              <w:top w:val="single" w:sz="12" w:space="0" w:color="auto"/>
              <w:bottom w:val="single" w:sz="12" w:space="0" w:color="auto"/>
            </w:tcBorders>
          </w:tcPr>
          <w:p w14:paraId="125BDBC2" w14:textId="38F0A36B" w:rsidR="009978F9" w:rsidRPr="00D12909" w:rsidRDefault="009978F9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Evaluation item</w:t>
            </w:r>
          </w:p>
        </w:tc>
      </w:tr>
      <w:tr w:rsidR="009978F9" w:rsidRPr="00D12909" w14:paraId="22C19F27" w14:textId="77777777" w:rsidTr="00381D2A">
        <w:tc>
          <w:tcPr>
            <w:tcW w:w="421" w:type="dxa"/>
            <w:tcBorders>
              <w:top w:val="single" w:sz="12" w:space="0" w:color="auto"/>
            </w:tcBorders>
          </w:tcPr>
          <w:p w14:paraId="4EC86B06" w14:textId="380911D5" w:rsidR="009978F9" w:rsidRPr="00D12909" w:rsidRDefault="009978F9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1</w:t>
            </w:r>
          </w:p>
        </w:tc>
        <w:tc>
          <w:tcPr>
            <w:tcW w:w="13527" w:type="dxa"/>
            <w:tcBorders>
              <w:top w:val="single" w:sz="12" w:space="0" w:color="auto"/>
            </w:tcBorders>
          </w:tcPr>
          <w:p w14:paraId="79BEAB61" w14:textId="16910469" w:rsidR="009978F9" w:rsidRPr="00D12909" w:rsidRDefault="003252DB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Was the study described as randomized, a randomized trial, a randomized clinical trial, or an RCT?</w:t>
            </w:r>
          </w:p>
        </w:tc>
      </w:tr>
      <w:tr w:rsidR="009978F9" w:rsidRPr="00D12909" w14:paraId="46005EB4" w14:textId="77777777" w:rsidTr="00381D2A">
        <w:tc>
          <w:tcPr>
            <w:tcW w:w="421" w:type="dxa"/>
          </w:tcPr>
          <w:p w14:paraId="790358D5" w14:textId="0047CB41" w:rsidR="009978F9" w:rsidRPr="00D12909" w:rsidRDefault="009978F9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2</w:t>
            </w:r>
          </w:p>
        </w:tc>
        <w:tc>
          <w:tcPr>
            <w:tcW w:w="13527" w:type="dxa"/>
          </w:tcPr>
          <w:p w14:paraId="1073D007" w14:textId="3C506611" w:rsidR="009978F9" w:rsidRPr="00D12909" w:rsidRDefault="003252DB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Was the method of randomization adequate (i.e., use of randomly generated assignment)?</w:t>
            </w:r>
          </w:p>
        </w:tc>
      </w:tr>
      <w:tr w:rsidR="009978F9" w:rsidRPr="00D12909" w14:paraId="293F1B71" w14:textId="77777777" w:rsidTr="00381D2A">
        <w:tc>
          <w:tcPr>
            <w:tcW w:w="421" w:type="dxa"/>
          </w:tcPr>
          <w:p w14:paraId="173E0825" w14:textId="5D4D2F30" w:rsidR="009978F9" w:rsidRPr="00D12909" w:rsidRDefault="009978F9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3</w:t>
            </w:r>
          </w:p>
        </w:tc>
        <w:tc>
          <w:tcPr>
            <w:tcW w:w="13527" w:type="dxa"/>
          </w:tcPr>
          <w:p w14:paraId="41CB245F" w14:textId="629556FA" w:rsidR="009978F9" w:rsidRPr="00D12909" w:rsidRDefault="003252DB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Was the treatment allocation concealed (so that assignments could not be predicted)?</w:t>
            </w:r>
          </w:p>
        </w:tc>
      </w:tr>
      <w:tr w:rsidR="009978F9" w:rsidRPr="00D12909" w14:paraId="0D5B0729" w14:textId="77777777" w:rsidTr="00381D2A">
        <w:tc>
          <w:tcPr>
            <w:tcW w:w="421" w:type="dxa"/>
          </w:tcPr>
          <w:p w14:paraId="750C8A1A" w14:textId="75183594" w:rsidR="009978F9" w:rsidRPr="00D12909" w:rsidRDefault="009978F9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4</w:t>
            </w:r>
          </w:p>
        </w:tc>
        <w:tc>
          <w:tcPr>
            <w:tcW w:w="13527" w:type="dxa"/>
          </w:tcPr>
          <w:p w14:paraId="7D1AEF4B" w14:textId="1120E142" w:rsidR="009978F9" w:rsidRPr="00D12909" w:rsidRDefault="003252DB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Were study participants and providers blinded to treatment group assignment?</w:t>
            </w:r>
          </w:p>
        </w:tc>
      </w:tr>
      <w:tr w:rsidR="009978F9" w:rsidRPr="00D12909" w14:paraId="05E6F6BF" w14:textId="77777777" w:rsidTr="00381D2A">
        <w:tc>
          <w:tcPr>
            <w:tcW w:w="421" w:type="dxa"/>
          </w:tcPr>
          <w:p w14:paraId="782E6D8F" w14:textId="3CCC61A2" w:rsidR="009978F9" w:rsidRPr="00D12909" w:rsidRDefault="009978F9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5</w:t>
            </w:r>
          </w:p>
        </w:tc>
        <w:tc>
          <w:tcPr>
            <w:tcW w:w="13527" w:type="dxa"/>
          </w:tcPr>
          <w:p w14:paraId="282DF399" w14:textId="6AA80244" w:rsidR="009978F9" w:rsidRPr="00D12909" w:rsidRDefault="003252DB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Were the people assessing the outcomes blinded to the participants' group assignments?</w:t>
            </w:r>
          </w:p>
        </w:tc>
      </w:tr>
      <w:tr w:rsidR="009978F9" w:rsidRPr="00D12909" w14:paraId="57C5E3A2" w14:textId="77777777" w:rsidTr="00381D2A">
        <w:tc>
          <w:tcPr>
            <w:tcW w:w="421" w:type="dxa"/>
          </w:tcPr>
          <w:p w14:paraId="0894BFC7" w14:textId="07CA48DD" w:rsidR="009978F9" w:rsidRPr="00D12909" w:rsidRDefault="009978F9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6</w:t>
            </w:r>
          </w:p>
        </w:tc>
        <w:tc>
          <w:tcPr>
            <w:tcW w:w="13527" w:type="dxa"/>
          </w:tcPr>
          <w:p w14:paraId="4D8DE638" w14:textId="6A22EB87" w:rsidR="009978F9" w:rsidRPr="00D12909" w:rsidRDefault="003252DB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Were the groups similar at baseline on important characteristics that could affect outcomes (e.g., demographics, risk factors, co-morbid conditions)?</w:t>
            </w:r>
          </w:p>
        </w:tc>
      </w:tr>
      <w:tr w:rsidR="009978F9" w:rsidRPr="00D12909" w14:paraId="1B99FFFD" w14:textId="77777777" w:rsidTr="00381D2A">
        <w:tc>
          <w:tcPr>
            <w:tcW w:w="421" w:type="dxa"/>
          </w:tcPr>
          <w:p w14:paraId="5DBAB044" w14:textId="765A04EC" w:rsidR="009978F9" w:rsidRPr="00D12909" w:rsidRDefault="009978F9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7</w:t>
            </w:r>
          </w:p>
        </w:tc>
        <w:tc>
          <w:tcPr>
            <w:tcW w:w="13527" w:type="dxa"/>
          </w:tcPr>
          <w:p w14:paraId="5E09088D" w14:textId="7AE26EDC" w:rsidR="009978F9" w:rsidRPr="00D12909" w:rsidRDefault="003252DB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Was the overall drop-out rate from the study at endpoint 20% or lower of the number allocated to treatment?</w:t>
            </w:r>
          </w:p>
        </w:tc>
      </w:tr>
      <w:tr w:rsidR="009978F9" w:rsidRPr="00D12909" w14:paraId="78D41941" w14:textId="77777777" w:rsidTr="00381D2A">
        <w:tc>
          <w:tcPr>
            <w:tcW w:w="421" w:type="dxa"/>
          </w:tcPr>
          <w:p w14:paraId="7DFE3C90" w14:textId="767BCC3D" w:rsidR="009978F9" w:rsidRPr="00D12909" w:rsidRDefault="009978F9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8</w:t>
            </w:r>
          </w:p>
        </w:tc>
        <w:tc>
          <w:tcPr>
            <w:tcW w:w="13527" w:type="dxa"/>
          </w:tcPr>
          <w:p w14:paraId="1D664E3C" w14:textId="5119A85B" w:rsidR="009978F9" w:rsidRPr="00D12909" w:rsidRDefault="003252DB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Was the differential drop-out rate (between treatment groups) at endpoint 15 percentage points or lower?</w:t>
            </w:r>
          </w:p>
        </w:tc>
      </w:tr>
      <w:tr w:rsidR="009978F9" w:rsidRPr="00D12909" w14:paraId="36430073" w14:textId="77777777" w:rsidTr="00381D2A">
        <w:tc>
          <w:tcPr>
            <w:tcW w:w="421" w:type="dxa"/>
          </w:tcPr>
          <w:p w14:paraId="7BD9BB0F" w14:textId="1F0D4FA4" w:rsidR="009978F9" w:rsidRPr="00D12909" w:rsidRDefault="009978F9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9</w:t>
            </w:r>
          </w:p>
        </w:tc>
        <w:tc>
          <w:tcPr>
            <w:tcW w:w="13527" w:type="dxa"/>
          </w:tcPr>
          <w:p w14:paraId="6AEA36BE" w14:textId="3324257E" w:rsidR="009978F9" w:rsidRPr="00D12909" w:rsidRDefault="003252DB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Was there high adherence to the intervention protocols for each treatment group?</w:t>
            </w:r>
          </w:p>
        </w:tc>
      </w:tr>
      <w:tr w:rsidR="009978F9" w:rsidRPr="00D12909" w14:paraId="30172BFC" w14:textId="77777777" w:rsidTr="00381D2A">
        <w:tc>
          <w:tcPr>
            <w:tcW w:w="421" w:type="dxa"/>
          </w:tcPr>
          <w:p w14:paraId="43750522" w14:textId="28DADAE0" w:rsidR="009978F9" w:rsidRPr="00D12909" w:rsidRDefault="009978F9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10</w:t>
            </w:r>
          </w:p>
        </w:tc>
        <w:tc>
          <w:tcPr>
            <w:tcW w:w="13527" w:type="dxa"/>
          </w:tcPr>
          <w:p w14:paraId="7B52BC85" w14:textId="56209A40" w:rsidR="009978F9" w:rsidRPr="00D12909" w:rsidRDefault="003252DB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Were other interventions avoided or similar in the groups (e.g., similar background treatments)?</w:t>
            </w:r>
          </w:p>
        </w:tc>
      </w:tr>
      <w:tr w:rsidR="009978F9" w:rsidRPr="00D12909" w14:paraId="5269EAC0" w14:textId="77777777" w:rsidTr="00381D2A">
        <w:tc>
          <w:tcPr>
            <w:tcW w:w="421" w:type="dxa"/>
          </w:tcPr>
          <w:p w14:paraId="03FF2B28" w14:textId="2AB52300" w:rsidR="009978F9" w:rsidRPr="00D12909" w:rsidRDefault="009978F9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11</w:t>
            </w:r>
          </w:p>
        </w:tc>
        <w:tc>
          <w:tcPr>
            <w:tcW w:w="13527" w:type="dxa"/>
          </w:tcPr>
          <w:p w14:paraId="6F275161" w14:textId="5CDA916F" w:rsidR="009978F9" w:rsidRPr="00D12909" w:rsidRDefault="003252DB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Were outcomes assessed using valid and reliable measures, implemented consistently across all study participants?</w:t>
            </w:r>
          </w:p>
        </w:tc>
      </w:tr>
      <w:tr w:rsidR="009978F9" w:rsidRPr="00D12909" w14:paraId="11AFDE12" w14:textId="77777777" w:rsidTr="00381D2A">
        <w:tc>
          <w:tcPr>
            <w:tcW w:w="421" w:type="dxa"/>
          </w:tcPr>
          <w:p w14:paraId="445FB2F9" w14:textId="34BBF532" w:rsidR="009978F9" w:rsidRPr="00D12909" w:rsidRDefault="009978F9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12</w:t>
            </w:r>
          </w:p>
        </w:tc>
        <w:tc>
          <w:tcPr>
            <w:tcW w:w="13527" w:type="dxa"/>
          </w:tcPr>
          <w:p w14:paraId="2661D187" w14:textId="15E8F24E" w:rsidR="009978F9" w:rsidRPr="00D12909" w:rsidRDefault="003252DB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Did the authors report that the sample size was sufficiently large to be able to detect a difference in the main outcome between groups with at least 80% power?</w:t>
            </w:r>
          </w:p>
        </w:tc>
      </w:tr>
      <w:tr w:rsidR="009978F9" w:rsidRPr="00D12909" w14:paraId="2CDE1418" w14:textId="77777777" w:rsidTr="00381D2A">
        <w:tc>
          <w:tcPr>
            <w:tcW w:w="421" w:type="dxa"/>
          </w:tcPr>
          <w:p w14:paraId="22E70A98" w14:textId="6B96B3D0" w:rsidR="009978F9" w:rsidRPr="00D12909" w:rsidRDefault="009978F9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13</w:t>
            </w:r>
          </w:p>
        </w:tc>
        <w:tc>
          <w:tcPr>
            <w:tcW w:w="13527" w:type="dxa"/>
          </w:tcPr>
          <w:p w14:paraId="148E2996" w14:textId="138A376C" w:rsidR="009978F9" w:rsidRPr="00D12909" w:rsidRDefault="003252DB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Were outcomes reported or subgroups analyzed prespecified (i.e., identified before analyses were conducted)?</w:t>
            </w:r>
          </w:p>
        </w:tc>
      </w:tr>
      <w:tr w:rsidR="009978F9" w:rsidRPr="00D12909" w14:paraId="29360D7D" w14:textId="77777777" w:rsidTr="00381D2A">
        <w:tc>
          <w:tcPr>
            <w:tcW w:w="421" w:type="dxa"/>
            <w:tcBorders>
              <w:bottom w:val="single" w:sz="12" w:space="0" w:color="auto"/>
            </w:tcBorders>
          </w:tcPr>
          <w:p w14:paraId="5EB5A3D3" w14:textId="503F8477" w:rsidR="009978F9" w:rsidRPr="00D12909" w:rsidRDefault="009978F9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14</w:t>
            </w:r>
          </w:p>
        </w:tc>
        <w:tc>
          <w:tcPr>
            <w:tcW w:w="13527" w:type="dxa"/>
            <w:tcBorders>
              <w:bottom w:val="single" w:sz="12" w:space="0" w:color="auto"/>
            </w:tcBorders>
          </w:tcPr>
          <w:p w14:paraId="795ABDF3" w14:textId="2E9494D4" w:rsidR="009978F9" w:rsidRPr="00D12909" w:rsidRDefault="003252DB">
            <w:pPr>
              <w:rPr>
                <w:rFonts w:ascii="Palatino Linotype" w:hAnsi="Palatino Linotype"/>
              </w:rPr>
            </w:pPr>
            <w:r w:rsidRPr="00D12909">
              <w:rPr>
                <w:rFonts w:ascii="Palatino Linotype" w:hAnsi="Palatino Linotype"/>
              </w:rPr>
              <w:t>Were all randomized participants analyzed in the group to which they were originally assigned, i.e., did they use an intention-to-treat analysis?</w:t>
            </w:r>
          </w:p>
        </w:tc>
      </w:tr>
    </w:tbl>
    <w:p w14:paraId="26EA6C29" w14:textId="660A1680" w:rsidR="009978F9" w:rsidRPr="00D12909" w:rsidRDefault="00D12909">
      <w:pPr>
        <w:rPr>
          <w:rFonts w:ascii="Palatino Linotype" w:hAnsi="Palatino Linotype"/>
        </w:rPr>
      </w:pPr>
      <w:r w:rsidRPr="00D12909">
        <w:rPr>
          <w:rFonts w:ascii="Palatino Linotype" w:hAnsi="Palatino Linotype"/>
        </w:rPr>
        <w:t xml:space="preserve">Table S2 </w:t>
      </w:r>
      <w:r w:rsidRPr="00D12909">
        <w:rPr>
          <w:rFonts w:ascii="Palatino Linotype" w:hAnsi="Palatino Linotype"/>
          <w:szCs w:val="24"/>
        </w:rPr>
        <w:t xml:space="preserve">Quality Assessment of Controlled Intervention Studies (QACIS) </w:t>
      </w:r>
      <w:r w:rsidRPr="00D12909">
        <w:rPr>
          <w:rFonts w:ascii="Palatino Linotype" w:hAnsi="Palatino Linotype"/>
          <w:color w:val="000000" w:themeColor="text1"/>
          <w:szCs w:val="24"/>
        </w:rPr>
        <w:t>Criteria</w:t>
      </w:r>
    </w:p>
    <w:sectPr w:rsidR="009978F9" w:rsidRPr="00D12909" w:rsidSect="004C547D">
      <w:pgSz w:w="16838" w:h="11906" w:orient="landscape"/>
      <w:pgMar w:top="851" w:right="1440" w:bottom="180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ABE"/>
    <w:rsid w:val="00094E4D"/>
    <w:rsid w:val="001A58ED"/>
    <w:rsid w:val="0030352C"/>
    <w:rsid w:val="003252DB"/>
    <w:rsid w:val="00381D2A"/>
    <w:rsid w:val="00396503"/>
    <w:rsid w:val="00496ABE"/>
    <w:rsid w:val="004C547D"/>
    <w:rsid w:val="005A6655"/>
    <w:rsid w:val="0091796A"/>
    <w:rsid w:val="009440F2"/>
    <w:rsid w:val="009978F9"/>
    <w:rsid w:val="00A1325C"/>
    <w:rsid w:val="00A43664"/>
    <w:rsid w:val="00BE63F0"/>
    <w:rsid w:val="00C27111"/>
    <w:rsid w:val="00D12909"/>
    <w:rsid w:val="00D6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CDBC2"/>
  <w15:chartTrackingRefBased/>
  <w15:docId w15:val="{B4AA4034-8484-4009-962F-B1E3156AD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3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2619</Characters>
  <Application>Microsoft Office Word</Application>
  <DocSecurity>0</DocSecurity>
  <Lines>21</Lines>
  <Paragraphs>6</Paragraphs>
  <ScaleCrop>false</ScaleCrop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許珮甄</dc:creator>
  <cp:keywords/>
  <dc:description/>
  <cp:lastModifiedBy>shih hao wu</cp:lastModifiedBy>
  <cp:revision>4</cp:revision>
  <dcterms:created xsi:type="dcterms:W3CDTF">2022-09-17T00:43:00Z</dcterms:created>
  <dcterms:modified xsi:type="dcterms:W3CDTF">2022-09-17T01:05:00Z</dcterms:modified>
</cp:coreProperties>
</file>