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66D6C" w14:textId="77777777" w:rsidR="00E5206A" w:rsidRDefault="00E5206A" w:rsidP="00E5206A">
      <w:pPr>
        <w:spacing w:line="360" w:lineRule="auto"/>
        <w:rPr>
          <w:b/>
          <w:sz w:val="24"/>
        </w:rPr>
      </w:pPr>
    </w:p>
    <w:p w14:paraId="1C7AE053" w14:textId="574FCE9E" w:rsidR="00E5206A" w:rsidRPr="00885B98" w:rsidRDefault="00E5206A" w:rsidP="00E5206A">
      <w:pPr>
        <w:spacing w:line="360" w:lineRule="auto"/>
        <w:rPr>
          <w:b/>
          <w:sz w:val="24"/>
        </w:rPr>
      </w:pPr>
      <w:r w:rsidRPr="00885B98">
        <w:rPr>
          <w:b/>
          <w:sz w:val="24"/>
        </w:rPr>
        <w:t>Appendix A</w:t>
      </w:r>
    </w:p>
    <w:p w14:paraId="30FC90AB" w14:textId="77777777" w:rsidR="00E5206A" w:rsidRDefault="00E5206A" w:rsidP="00E5206A">
      <w:pPr>
        <w:autoSpaceDE w:val="0"/>
        <w:autoSpaceDN w:val="0"/>
        <w:adjustRightInd w:val="0"/>
        <w:spacing w:after="0" w:line="360" w:lineRule="auto"/>
        <w:rPr>
          <w:sz w:val="24"/>
          <w:szCs w:val="24"/>
        </w:rPr>
      </w:pPr>
      <w:r>
        <w:rPr>
          <w:rFonts w:cs="Times New Roman"/>
          <w:sz w:val="24"/>
          <w:szCs w:val="24"/>
        </w:rPr>
        <w:t>To further illustrate the comparison between GLM-gamma and GLM-IG, the deviance residuals were plotted against the predicted values from these models in Figure 4 (following Faraway</w:t>
      </w:r>
      <w:r>
        <w:rPr>
          <w:rFonts w:cs="Times New Roman"/>
          <w:sz w:val="24"/>
          <w:szCs w:val="24"/>
        </w:rPr>
        <w:fldChar w:fldCharType="begin"/>
      </w:r>
      <w:r>
        <w:rPr>
          <w:rFonts w:cs="Times New Roman"/>
          <w:sz w:val="24"/>
          <w:szCs w:val="24"/>
        </w:rPr>
        <w:instrText xml:space="preserve"> ADDIN EN.CITE &lt;EndNote&gt;&lt;Cite&gt;&lt;Author&gt;Faraway J J&lt;/Author&gt;&lt;Year&gt;2016&lt;/Year&gt;&lt;RecNum&gt;100&lt;/RecNum&gt;&lt;DisplayText&gt;[42]&lt;/DisplayText&gt;&lt;record&gt;&lt;rec-number&gt;100&lt;/rec-number&gt;&lt;foreign-keys&gt;&lt;key app="EN" db-id="fvssdadtpxf0riefzt0p0dt8etatawfzpt55" timestamp="1602123168"&gt;100&lt;/key&gt;&lt;/foreign-keys&gt;&lt;ref-type name="Book"&gt;6&lt;/ref-type&gt;&lt;contributors&gt;&lt;authors&gt;&lt;author&gt;Faraway J J,&lt;/author&gt;&lt;/authors&gt;&lt;secondary-authors&gt;&lt;author&gt;Second&lt;/author&gt;&lt;/secondary-authors&gt;&lt;/contributors&gt;&lt;titles&gt;&lt;title&gt;Extending the Linear Model with R: Generalized Linear, Mixed Effects and Nonparametric Regression Models&lt;/title&gt;&lt;secondary-title&gt;Texts in Statistical Science Series&lt;/secondary-title&gt;&lt;/titles&gt;&lt;dates&gt;&lt;year&gt;2016&lt;/year&gt;&lt;/dates&gt;&lt;pub-location&gt;6000 Broken Sound Parkway NW, Suite 300&lt;/pub-location&gt;&lt;publisher&gt; Taylor &amp;amp; Francis Group, LLC&lt;/publisher&gt;&lt;urls&gt;&lt;/urls&gt;&lt;/record&gt;&lt;/Cite&gt;&lt;/EndNote&gt;</w:instrText>
      </w:r>
      <w:r>
        <w:rPr>
          <w:rFonts w:cs="Times New Roman"/>
          <w:sz w:val="24"/>
          <w:szCs w:val="24"/>
        </w:rPr>
        <w:fldChar w:fldCharType="separate"/>
      </w:r>
      <w:r>
        <w:rPr>
          <w:rFonts w:cs="Times New Roman"/>
          <w:noProof/>
          <w:sz w:val="24"/>
          <w:szCs w:val="24"/>
        </w:rPr>
        <w:t>[42]</w:t>
      </w:r>
      <w:r>
        <w:rPr>
          <w:rFonts w:cs="Times New Roman"/>
          <w:sz w:val="24"/>
          <w:szCs w:val="24"/>
        </w:rPr>
        <w:fldChar w:fldCharType="end"/>
      </w:r>
      <w:r>
        <w:rPr>
          <w:rFonts w:cs="Times New Roman"/>
          <w:sz w:val="24"/>
          <w:szCs w:val="24"/>
        </w:rPr>
        <w:t xml:space="preserve">). </w:t>
      </w:r>
      <w:r w:rsidRPr="008A70FD">
        <w:rPr>
          <w:rFonts w:cstheme="minorHAnsi"/>
          <w:sz w:val="24"/>
          <w:szCs w:val="24"/>
        </w:rPr>
        <w:t xml:space="preserve">The deviance residuals represent the contributions of individual </w:t>
      </w:r>
      <w:r>
        <w:rPr>
          <w:rFonts w:cstheme="minorHAnsi"/>
          <w:sz w:val="24"/>
          <w:szCs w:val="24"/>
        </w:rPr>
        <w:t>cases</w:t>
      </w:r>
      <w:r w:rsidRPr="008A70FD">
        <w:rPr>
          <w:rFonts w:cstheme="minorHAnsi"/>
          <w:sz w:val="24"/>
          <w:szCs w:val="24"/>
        </w:rPr>
        <w:t xml:space="preserve"> to the deviance. More specifically, they are defined as the signed square roots of the unit deviances</w:t>
      </w:r>
      <w:r>
        <w:rPr>
          <w:rFonts w:cstheme="minorHAnsi"/>
          <w:sz w:val="24"/>
          <w:szCs w:val="24"/>
        </w:rPr>
        <w:t xml:space="preserve"> 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ADDIN EN.CITE &lt;EndNote&gt;&lt;Cite&gt;&lt;Author&gt;Dunn P K&lt;/Author&gt;&lt;Year&gt;2018&lt;/Year&gt;&lt;RecNum&gt;74&lt;/RecNum&gt;&lt;DisplayText&gt;[26]&lt;/DisplayText&gt;&lt;record&gt;&lt;rec-number&gt;74&lt;/rec-number&gt;&lt;foreign-keys&gt;&lt;key app="EN" db-id="fvssdadtpxf0riefzt0p0dt8etatawfzpt55" timestamp="1600143498"&gt;74&lt;/key&gt;&lt;/foreign-keys&gt;&lt;ref-type name="Book"&gt;6&lt;/ref-type&gt;&lt;contributors&gt;&lt;authors&gt;&lt;author&gt;Dunn P K,&lt;/author&gt;&lt;author&gt;Smyth G K,&lt;/author&gt;&lt;/authors&gt;&lt;/contributors&gt;&lt;titles&gt;&lt;title&gt;Generalized Linear Models With Examples in R&lt;/title&gt;&lt;/titles&gt;&lt;dates&gt;&lt;year&gt;2018&lt;/year&gt;&lt;/dates&gt;&lt;pub-location&gt;New York&lt;/pub-location&gt;&lt;publisher&gt;Springer&lt;/publisher&gt;&lt;urls&gt;&lt;/urls&gt;&lt;electronic-resource-num&gt;doi:10.1007/978-1-4419-0118-7&lt;/electronic-resource-num&gt;&lt;/record&gt;&lt;/Cite&gt;&lt;/EndNote&gt;</w:instrText>
      </w:r>
      <w:r>
        <w:rPr>
          <w:sz w:val="24"/>
          <w:szCs w:val="24"/>
        </w:rPr>
        <w:fldChar w:fldCharType="separate"/>
      </w:r>
      <w:r>
        <w:rPr>
          <w:noProof/>
          <w:sz w:val="24"/>
          <w:szCs w:val="24"/>
        </w:rPr>
        <w:t>[26]</w:t>
      </w:r>
      <w:r>
        <w:rPr>
          <w:sz w:val="24"/>
          <w:szCs w:val="24"/>
        </w:rPr>
        <w:fldChar w:fldCharType="end"/>
      </w:r>
      <w:r w:rsidRPr="008A70FD">
        <w:rPr>
          <w:rFonts w:cstheme="minorHAnsi"/>
          <w:sz w:val="24"/>
          <w:szCs w:val="24"/>
        </w:rPr>
        <w:t>. Thus, the deviance residuals are analogous to the conventional residuals</w:t>
      </w:r>
      <w:r>
        <w:rPr>
          <w:rFonts w:cstheme="minorHAnsi"/>
          <w:sz w:val="24"/>
          <w:szCs w:val="24"/>
        </w:rPr>
        <w:t xml:space="preserve">. </w:t>
      </w:r>
      <w:r>
        <w:rPr>
          <w:rFonts w:cs="Times New Roman"/>
          <w:sz w:val="24"/>
          <w:szCs w:val="24"/>
        </w:rPr>
        <w:t xml:space="preserve">It can be seen from Figure 4 that </w:t>
      </w:r>
      <w:r>
        <w:rPr>
          <w:rFonts w:cstheme="minorHAnsi"/>
          <w:color w:val="000000"/>
          <w:sz w:val="24"/>
          <w:szCs w:val="24"/>
        </w:rPr>
        <w:t>the plot of residuals versus predicted values obtained from GLM-IG shows a decreasing spread of residuals for larger predicted values, indicating that the variance is not constant and is decreasing as the mean increases. T</w:t>
      </w:r>
      <w:r>
        <w:rPr>
          <w:sz w:val="24"/>
          <w:szCs w:val="24"/>
        </w:rPr>
        <w:t>his indicates</w:t>
      </w:r>
      <w:r w:rsidRPr="008F42FC">
        <w:rPr>
          <w:sz w:val="24"/>
          <w:szCs w:val="24"/>
        </w:rPr>
        <w:t xml:space="preserve"> that the inverse Gaussian variance function is </w:t>
      </w:r>
      <w:r>
        <w:rPr>
          <w:sz w:val="24"/>
          <w:szCs w:val="24"/>
        </w:rPr>
        <w:t>not optimal</w:t>
      </w:r>
      <w:r w:rsidRPr="008F42FC">
        <w:rPr>
          <w:sz w:val="24"/>
          <w:szCs w:val="24"/>
        </w:rPr>
        <w:t xml:space="preserve"> for th</w:t>
      </w:r>
      <w:r>
        <w:rPr>
          <w:sz w:val="24"/>
          <w:szCs w:val="24"/>
        </w:rPr>
        <w:t>e</w:t>
      </w:r>
      <w:r w:rsidRPr="008F42FC">
        <w:rPr>
          <w:sz w:val="24"/>
          <w:szCs w:val="24"/>
        </w:rPr>
        <w:t>s</w:t>
      </w:r>
      <w:r>
        <w:rPr>
          <w:sz w:val="24"/>
          <w:szCs w:val="24"/>
        </w:rPr>
        <w:t>e</w:t>
      </w:r>
      <w:r w:rsidRPr="008F42FC">
        <w:rPr>
          <w:sz w:val="24"/>
          <w:szCs w:val="24"/>
        </w:rPr>
        <w:t xml:space="preserve"> </w:t>
      </w:r>
      <w:r w:rsidRPr="004D1179">
        <w:rPr>
          <w:sz w:val="24"/>
          <w:szCs w:val="24"/>
        </w:rPr>
        <w:t>data (that is, the hypothesized mean-variance relationship [variance</w:t>
      </w:r>
      <w:r>
        <w:rPr>
          <w:sz w:val="24"/>
          <w:szCs w:val="24"/>
        </w:rPr>
        <w:t xml:space="preserve"> = </w:t>
      </w:r>
      <w:r w:rsidRPr="004D1179">
        <w:rPr>
          <w:sz w:val="24"/>
          <w:szCs w:val="24"/>
        </w:rPr>
        <w:t>mean</w:t>
      </w:r>
      <w:r>
        <w:rPr>
          <w:sz w:val="24"/>
          <w:szCs w:val="24"/>
          <w:vertAlign w:val="superscript"/>
        </w:rPr>
        <w:t>3</w:t>
      </w:r>
      <w:r w:rsidRPr="004D1179">
        <w:rPr>
          <w:sz w:val="24"/>
          <w:szCs w:val="24"/>
        </w:rPr>
        <w:t>] for the inverse-Gaussian distribution was too extreme)</w:t>
      </w:r>
      <w:r>
        <w:rPr>
          <w:sz w:val="24"/>
          <w:szCs w:val="24"/>
        </w:rPr>
        <w:t xml:space="preserve">, suggesting that the model is not adequate </w:t>
      </w:r>
      <w:r>
        <w:rPr>
          <w:rFonts w:cs="Times New Roman"/>
          <w:sz w:val="24"/>
          <w:szCs w:val="24"/>
        </w:rPr>
        <w:fldChar w:fldCharType="begin"/>
      </w:r>
      <w:r>
        <w:rPr>
          <w:rFonts w:cs="Times New Roman"/>
          <w:sz w:val="24"/>
          <w:szCs w:val="24"/>
        </w:rPr>
        <w:instrText xml:space="preserve"> ADDIN EN.CITE &lt;EndNote&gt;&lt;Cite&gt;&lt;Author&gt;Faraway J J&lt;/Author&gt;&lt;Year&gt;2016&lt;/Year&gt;&lt;RecNum&gt;100&lt;/RecNum&gt;&lt;DisplayText&gt;[42]&lt;/DisplayText&gt;&lt;record&gt;&lt;rec-number&gt;100&lt;/rec-number&gt;&lt;foreign-keys&gt;&lt;key app="EN" db-id="fvssdadtpxf0riefzt0p0dt8etatawfzpt55" timestamp="1602123168"&gt;100&lt;/key&gt;&lt;/foreign-keys&gt;&lt;ref-type name="Book"&gt;6&lt;/ref-type&gt;&lt;contributors&gt;&lt;authors&gt;&lt;author&gt;Faraway J J,&lt;/author&gt;&lt;/authors&gt;&lt;secondary-authors&gt;&lt;author&gt;Second&lt;/author&gt;&lt;/secondary-authors&gt;&lt;/contributors&gt;&lt;titles&gt;&lt;title&gt;Extending the Linear Model with R: Generalized Linear, Mixed Effects and Nonparametric Regression Models&lt;/title&gt;&lt;secondary-title&gt;Texts in Statistical Science Series&lt;/secondary-title&gt;&lt;/titles&gt;&lt;dates&gt;&lt;year&gt;2016&lt;/year&gt;&lt;/dates&gt;&lt;pub-location&gt;6000 Broken Sound Parkway NW, Suite 300&lt;/pub-location&gt;&lt;publisher&gt; Taylor &amp;amp; Francis Group, LLC&lt;/publisher&gt;&lt;urls&gt;&lt;/urls&gt;&lt;/record&gt;&lt;/Cite&gt;&lt;/EndNote&gt;</w:instrText>
      </w:r>
      <w:r>
        <w:rPr>
          <w:rFonts w:cs="Times New Roman"/>
          <w:sz w:val="24"/>
          <w:szCs w:val="24"/>
        </w:rPr>
        <w:fldChar w:fldCharType="separate"/>
      </w:r>
      <w:r>
        <w:rPr>
          <w:rFonts w:cs="Times New Roman"/>
          <w:noProof/>
          <w:sz w:val="24"/>
          <w:szCs w:val="24"/>
        </w:rPr>
        <w:t>[42]</w:t>
      </w:r>
      <w:r>
        <w:rPr>
          <w:rFonts w:cs="Times New Roman"/>
          <w:sz w:val="24"/>
          <w:szCs w:val="24"/>
        </w:rPr>
        <w:fldChar w:fldCharType="end"/>
      </w:r>
      <w:r w:rsidRPr="008F42FC">
        <w:rPr>
          <w:sz w:val="24"/>
          <w:szCs w:val="24"/>
        </w:rPr>
        <w:t>.</w:t>
      </w:r>
      <w:r>
        <w:rPr>
          <w:rFonts w:cstheme="minorHAnsi"/>
          <w:color w:val="000000"/>
          <w:sz w:val="24"/>
          <w:szCs w:val="24"/>
        </w:rPr>
        <w:t xml:space="preserve"> On the other hand, the plot of residuals versus predicted values obtained from the GLM-gamma does not exhibit any particular pattern, the residuals are random around zero indicating that the variance is near constant.</w:t>
      </w:r>
      <w:r w:rsidRPr="008F42FC">
        <w:rPr>
          <w:sz w:val="24"/>
          <w:szCs w:val="24"/>
        </w:rPr>
        <w:t xml:space="preserve"> </w:t>
      </w:r>
      <w:r>
        <w:rPr>
          <w:sz w:val="24"/>
          <w:szCs w:val="24"/>
        </w:rPr>
        <w:t>This once again shows that GLM-</w:t>
      </w:r>
      <w:r w:rsidRPr="008F42FC">
        <w:rPr>
          <w:sz w:val="24"/>
          <w:szCs w:val="24"/>
        </w:rPr>
        <w:t xml:space="preserve">gamma </w:t>
      </w:r>
      <w:r>
        <w:rPr>
          <w:sz w:val="24"/>
          <w:szCs w:val="24"/>
        </w:rPr>
        <w:t xml:space="preserve">is </w:t>
      </w:r>
      <w:r w:rsidRPr="008F42FC">
        <w:rPr>
          <w:sz w:val="24"/>
          <w:szCs w:val="24"/>
        </w:rPr>
        <w:t>a better choice</w:t>
      </w:r>
      <w:r>
        <w:rPr>
          <w:sz w:val="24"/>
          <w:szCs w:val="24"/>
        </w:rPr>
        <w:t xml:space="preserve"> compared to GLM-IG.</w:t>
      </w:r>
    </w:p>
    <w:p w14:paraId="6446B2A8" w14:textId="77777777" w:rsidR="00E5206A" w:rsidRDefault="00E5206A" w:rsidP="00E5206A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</w:p>
    <w:p w14:paraId="0740BC43" w14:textId="77777777" w:rsidR="00E5206A" w:rsidRDefault="00E5206A" w:rsidP="00E5206A">
      <w:pPr>
        <w:pStyle w:val="NoSpacing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696D313B" wp14:editId="1D0695A7">
            <wp:extent cx="5731510" cy="4459605"/>
            <wp:effectExtent l="0" t="0" r="2540" b="0"/>
            <wp:docPr id="3" name="Picture 3" descr="Chart, scatt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amma vs IG mvpa new.jpe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5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831906" w14:textId="77777777" w:rsidR="00E5206A" w:rsidRDefault="00E5206A" w:rsidP="00E5206A">
      <w:pPr>
        <w:pStyle w:val="NoSpacing"/>
        <w:rPr>
          <w:b/>
        </w:rPr>
      </w:pPr>
    </w:p>
    <w:p w14:paraId="1563EE59" w14:textId="77777777" w:rsidR="00E5206A" w:rsidRPr="00527208" w:rsidRDefault="00E5206A" w:rsidP="00E5206A">
      <w:pPr>
        <w:pStyle w:val="NoSpacing"/>
        <w:rPr>
          <w:b/>
          <w:sz w:val="24"/>
          <w:szCs w:val="24"/>
        </w:rPr>
      </w:pPr>
      <w:r w:rsidRPr="00527208">
        <w:rPr>
          <w:b/>
          <w:sz w:val="24"/>
          <w:szCs w:val="24"/>
        </w:rPr>
        <w:t xml:space="preserve">Figure </w:t>
      </w:r>
      <w:r>
        <w:rPr>
          <w:b/>
          <w:sz w:val="24"/>
          <w:szCs w:val="24"/>
        </w:rPr>
        <w:t>4</w:t>
      </w:r>
      <w:r w:rsidRPr="00527208">
        <w:rPr>
          <w:b/>
          <w:sz w:val="24"/>
          <w:szCs w:val="24"/>
        </w:rPr>
        <w:t xml:space="preserve">: Deviance residuals versus predicted values plots from GLM-gamma and GLM-IG models of daily average minutes of MVPA </w:t>
      </w:r>
      <w:r w:rsidRPr="00527208">
        <w:rPr>
          <w:rFonts w:cstheme="minorHAnsi"/>
          <w:b/>
          <w:bCs/>
          <w:sz w:val="24"/>
          <w:szCs w:val="24"/>
        </w:rPr>
        <w:t>for</w:t>
      </w:r>
      <w:r w:rsidRPr="00527208">
        <w:rPr>
          <w:b/>
          <w:sz w:val="24"/>
          <w:szCs w:val="24"/>
        </w:rPr>
        <w:t xml:space="preserve"> the ALECS study of physical activity in Hong Kong older adults</w:t>
      </w:r>
    </w:p>
    <w:p w14:paraId="35BB86C7" w14:textId="77777777" w:rsidR="00E5206A" w:rsidRDefault="00E5206A" w:rsidP="00E5206A">
      <w:pPr>
        <w:spacing w:line="480" w:lineRule="auto"/>
        <w:rPr>
          <w:rFonts w:ascii="Times New Roman" w:hAnsi="Times New Roman" w:cs="Times New Roman"/>
          <w:sz w:val="28"/>
          <w:szCs w:val="24"/>
        </w:rPr>
      </w:pPr>
    </w:p>
    <w:p w14:paraId="762E4DD7" w14:textId="77777777" w:rsidR="00E5206A" w:rsidRDefault="00E5206A" w:rsidP="00E5206A">
      <w:pPr>
        <w:spacing w:line="480" w:lineRule="auto"/>
        <w:rPr>
          <w:rFonts w:ascii="Times New Roman" w:hAnsi="Times New Roman" w:cs="Times New Roman"/>
          <w:sz w:val="28"/>
          <w:szCs w:val="24"/>
        </w:rPr>
      </w:pPr>
    </w:p>
    <w:p w14:paraId="1ADC98CC" w14:textId="77777777" w:rsidR="0059496A" w:rsidRDefault="0059496A"/>
    <w:sectPr w:rsidR="005949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06A"/>
    <w:rsid w:val="0059496A"/>
    <w:rsid w:val="00E5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0E6F0"/>
  <w15:chartTrackingRefBased/>
  <w15:docId w15:val="{1BB858E6-B761-4218-B328-B9D28BFC2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0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5206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5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20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206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580</Words>
  <Characters>3311</Characters>
  <Application>Microsoft Office Word</Application>
  <DocSecurity>0</DocSecurity>
  <Lines>27</Lines>
  <Paragraphs>7</Paragraphs>
  <ScaleCrop>false</ScaleCrop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Akram</dc:creator>
  <cp:keywords/>
  <dc:description/>
  <cp:lastModifiedBy>Muhammad Akram</cp:lastModifiedBy>
  <cp:revision>1</cp:revision>
  <dcterms:created xsi:type="dcterms:W3CDTF">2022-05-15T23:23:00Z</dcterms:created>
  <dcterms:modified xsi:type="dcterms:W3CDTF">2022-05-15T23:27:00Z</dcterms:modified>
</cp:coreProperties>
</file>