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0" w:type="auto"/>
        <w:tblBorders>
          <w:top w:val="single" w:sz="4" w:space="0" w:color="DBDBDB" w:themeColor="accent3" w:themeTint="66"/>
          <w:bottom w:val="single" w:sz="4" w:space="0" w:color="DBDBDB" w:themeColor="accent3" w:themeTint="66"/>
          <w:insideH w:val="single" w:sz="4" w:space="0" w:color="DBDBDB" w:themeColor="accent3" w:themeTint="66"/>
          <w:insideV w:val="single" w:sz="4" w:space="0" w:color="DBDBDB" w:themeColor="accent3" w:themeTint="66"/>
        </w:tblBorders>
        <w:tblLook w:val="04A0" w:firstRow="1" w:lastRow="0" w:firstColumn="1" w:lastColumn="0" w:noHBand="0" w:noVBand="1"/>
      </w:tblPr>
      <w:tblGrid>
        <w:gridCol w:w="6096"/>
        <w:gridCol w:w="2966"/>
      </w:tblGrid>
      <w:tr w:rsidR="009176B9" w:rsidRPr="00C82292" w14:paraId="0C8C9755" w14:textId="77777777" w:rsidTr="00E64403">
        <w:trPr>
          <w:trHeight w:val="454"/>
        </w:trPr>
        <w:tc>
          <w:tcPr>
            <w:tcW w:w="9062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83CB8DC" w14:textId="4841221D" w:rsidR="009176B9" w:rsidRPr="00C82292" w:rsidRDefault="008E4149" w:rsidP="00E62DA2">
            <w:pPr>
              <w:rPr>
                <w:b/>
                <w:sz w:val="20"/>
              </w:rPr>
            </w:pPr>
            <w:r>
              <w:rPr>
                <w:b/>
              </w:rPr>
              <w:t>Additional</w:t>
            </w:r>
            <w:r w:rsidR="009176B9">
              <w:rPr>
                <w:b/>
              </w:rPr>
              <w:t xml:space="preserve"> file </w:t>
            </w:r>
            <w:r>
              <w:rPr>
                <w:b/>
              </w:rPr>
              <w:t>3</w:t>
            </w:r>
            <w:r w:rsidR="009176B9" w:rsidRPr="00C82292">
              <w:rPr>
                <w:b/>
              </w:rPr>
              <w:t xml:space="preserve">. </w:t>
            </w:r>
            <w:bookmarkStart w:id="0" w:name="_Hlk155953919"/>
            <w:r w:rsidR="009176B9" w:rsidRPr="00C82292">
              <w:t xml:space="preserve">Studies </w:t>
            </w:r>
            <w:r w:rsidR="009176B9">
              <w:t>included in the previous systematic review</w:t>
            </w:r>
            <w:r>
              <w:t xml:space="preserve"> that were </w:t>
            </w:r>
            <w:r w:rsidR="009176B9" w:rsidRPr="00C82292">
              <w:t xml:space="preserve">excluded from the </w:t>
            </w:r>
            <w:r>
              <w:t xml:space="preserve">current </w:t>
            </w:r>
            <w:r w:rsidR="009176B9" w:rsidRPr="00C82292">
              <w:t>analysis</w:t>
            </w:r>
            <w:bookmarkEnd w:id="0"/>
          </w:p>
        </w:tc>
      </w:tr>
      <w:tr w:rsidR="00156E34" w:rsidRPr="00C82292" w14:paraId="5DF0D287" w14:textId="77777777" w:rsidTr="00E54FFE">
        <w:trPr>
          <w:trHeight w:val="454"/>
        </w:trPr>
        <w:tc>
          <w:tcPr>
            <w:tcW w:w="6096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08964F54" w14:textId="77777777" w:rsidR="00156E34" w:rsidRPr="00E54FFE" w:rsidRDefault="00156E34" w:rsidP="00E62DA2">
            <w:pPr>
              <w:rPr>
                <w:b/>
                <w:sz w:val="20"/>
                <w:szCs w:val="22"/>
              </w:rPr>
            </w:pPr>
            <w:r w:rsidRPr="00E54FFE">
              <w:rPr>
                <w:b/>
                <w:sz w:val="20"/>
                <w:szCs w:val="22"/>
              </w:rPr>
              <w:t>Reference</w:t>
            </w:r>
          </w:p>
        </w:tc>
        <w:tc>
          <w:tcPr>
            <w:tcW w:w="2966" w:type="dxa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096E0CE1" w14:textId="77777777" w:rsidR="00156E34" w:rsidRPr="00E54FFE" w:rsidRDefault="00156E34" w:rsidP="00E62DA2">
            <w:pPr>
              <w:rPr>
                <w:b/>
                <w:sz w:val="20"/>
                <w:szCs w:val="22"/>
              </w:rPr>
            </w:pPr>
            <w:r w:rsidRPr="00E54FFE">
              <w:rPr>
                <w:b/>
                <w:sz w:val="20"/>
                <w:szCs w:val="22"/>
              </w:rPr>
              <w:t>Reason for exclusion</w:t>
            </w:r>
          </w:p>
        </w:tc>
      </w:tr>
      <w:tr w:rsidR="00156E34" w:rsidRPr="00C82292" w14:paraId="7FDC664A" w14:textId="77777777" w:rsidTr="00E54FFE">
        <w:trPr>
          <w:trHeight w:val="1134"/>
        </w:trPr>
        <w:tc>
          <w:tcPr>
            <w:tcW w:w="6096" w:type="dxa"/>
            <w:tcBorders>
              <w:right w:val="nil"/>
            </w:tcBorders>
            <w:shd w:val="clear" w:color="auto" w:fill="auto"/>
          </w:tcPr>
          <w:p w14:paraId="7AC9671F" w14:textId="77777777" w:rsidR="00156E34" w:rsidRPr="00E54FFE" w:rsidRDefault="00156E34" w:rsidP="00E62DA2">
            <w:pPr>
              <w:rPr>
                <w:b/>
                <w:sz w:val="20"/>
                <w:szCs w:val="22"/>
              </w:rPr>
            </w:pPr>
            <w:r w:rsidRPr="00E54FFE">
              <w:rPr>
                <w:sz w:val="20"/>
                <w:szCs w:val="22"/>
              </w:rPr>
              <w:t>Bendrik R, Kallings LV, Bröms K, Kunanusornchai W, Emtner M. Physical activity on prescription in patients with hip or knee osteoarthritis: a randomized controlled trial. Clin Rehabil. 2021;35:1465-1477. doi:10.1177/02692155211008807.</w:t>
            </w:r>
          </w:p>
        </w:tc>
        <w:tc>
          <w:tcPr>
            <w:tcW w:w="2966" w:type="dxa"/>
            <w:tcBorders>
              <w:left w:val="nil"/>
            </w:tcBorders>
            <w:shd w:val="clear" w:color="auto" w:fill="auto"/>
          </w:tcPr>
          <w:p w14:paraId="1B86078D" w14:textId="77777777" w:rsidR="00156E34" w:rsidRPr="00E54FFE" w:rsidRDefault="00156E34" w:rsidP="00E62DA2">
            <w:pPr>
              <w:rPr>
                <w:sz w:val="20"/>
                <w:szCs w:val="22"/>
              </w:rPr>
            </w:pPr>
            <w:r w:rsidRPr="00E54FFE">
              <w:rPr>
                <w:sz w:val="20"/>
                <w:szCs w:val="22"/>
              </w:rPr>
              <w:t>Unable to compute Hedges’ d. Data reported as median and 95%CI.</w:t>
            </w:r>
          </w:p>
        </w:tc>
      </w:tr>
      <w:tr w:rsidR="00156E34" w:rsidRPr="00C82292" w14:paraId="670943AE" w14:textId="77777777" w:rsidTr="00E54FFE">
        <w:trPr>
          <w:trHeight w:val="1134"/>
        </w:trPr>
        <w:tc>
          <w:tcPr>
            <w:tcW w:w="6096" w:type="dxa"/>
            <w:tcBorders>
              <w:right w:val="nil"/>
            </w:tcBorders>
            <w:shd w:val="clear" w:color="auto" w:fill="auto"/>
          </w:tcPr>
          <w:p w14:paraId="454D1C52" w14:textId="77777777" w:rsidR="00156E34" w:rsidRPr="00E54FFE" w:rsidRDefault="00156E34" w:rsidP="00E62DA2">
            <w:pPr>
              <w:rPr>
                <w:b/>
                <w:sz w:val="20"/>
                <w:szCs w:val="22"/>
              </w:rPr>
            </w:pPr>
            <w:r w:rsidRPr="00E54FFE">
              <w:rPr>
                <w:sz w:val="20"/>
                <w:szCs w:val="22"/>
              </w:rPr>
              <w:t>Shepich J, Slowiak JM, Keniston A. Do subsidization and monitoring enhance adherence to prescribed exercise? Am J Health Promot. 2007;22:2–5. doi:10.4278/0890-1171-22.1.2.</w:t>
            </w:r>
          </w:p>
        </w:tc>
        <w:tc>
          <w:tcPr>
            <w:tcW w:w="2966" w:type="dxa"/>
            <w:tcBorders>
              <w:left w:val="nil"/>
            </w:tcBorders>
            <w:shd w:val="clear" w:color="auto" w:fill="auto"/>
          </w:tcPr>
          <w:p w14:paraId="3A443DF2" w14:textId="77777777" w:rsidR="00156E34" w:rsidRPr="00E54FFE" w:rsidRDefault="00156E34" w:rsidP="00E62DA2">
            <w:pPr>
              <w:rPr>
                <w:sz w:val="20"/>
                <w:szCs w:val="22"/>
              </w:rPr>
            </w:pPr>
            <w:r w:rsidRPr="00E54FFE">
              <w:rPr>
                <w:sz w:val="20"/>
                <w:szCs w:val="22"/>
              </w:rPr>
              <w:t>Unable to harmonize the adherence rate presented as mean and SD.</w:t>
            </w:r>
          </w:p>
        </w:tc>
      </w:tr>
      <w:tr w:rsidR="00156E34" w:rsidRPr="00C82292" w14:paraId="6E7C8D0E" w14:textId="77777777" w:rsidTr="00E54FFE">
        <w:trPr>
          <w:trHeight w:val="1134"/>
        </w:trPr>
        <w:tc>
          <w:tcPr>
            <w:tcW w:w="6096" w:type="dxa"/>
            <w:tcBorders>
              <w:right w:val="nil"/>
            </w:tcBorders>
            <w:shd w:val="clear" w:color="auto" w:fill="auto"/>
          </w:tcPr>
          <w:p w14:paraId="69765116" w14:textId="77777777" w:rsidR="00156E34" w:rsidRPr="00E54FFE" w:rsidRDefault="00156E34" w:rsidP="00E62DA2">
            <w:pPr>
              <w:rPr>
                <w:b/>
                <w:sz w:val="20"/>
                <w:szCs w:val="22"/>
              </w:rPr>
            </w:pPr>
            <w:r w:rsidRPr="00E54FFE">
              <w:rPr>
                <w:sz w:val="20"/>
                <w:szCs w:val="22"/>
              </w:rPr>
              <w:t>Smith BJ, Bauman AE, Bull FC, Booth ML, Harris MF. Promoting physical activity in general practice: a controlled trial of written advice and information materials. Br J Sports Med. 2000;34:262–7. doi:10.1136/bjsm.34.4.262.</w:t>
            </w:r>
          </w:p>
        </w:tc>
        <w:tc>
          <w:tcPr>
            <w:tcW w:w="2966" w:type="dxa"/>
            <w:tcBorders>
              <w:left w:val="nil"/>
            </w:tcBorders>
            <w:shd w:val="clear" w:color="auto" w:fill="auto"/>
          </w:tcPr>
          <w:p w14:paraId="7B11A1E3" w14:textId="77777777" w:rsidR="00156E34" w:rsidRPr="00E54FFE" w:rsidRDefault="00156E34" w:rsidP="00E62DA2">
            <w:pPr>
              <w:rPr>
                <w:sz w:val="20"/>
                <w:szCs w:val="22"/>
              </w:rPr>
            </w:pPr>
            <w:r w:rsidRPr="00E54FFE">
              <w:rPr>
                <w:sz w:val="20"/>
                <w:szCs w:val="22"/>
              </w:rPr>
              <w:t>Missing SD. There was no similar included study to borrow the SD.</w:t>
            </w:r>
          </w:p>
        </w:tc>
      </w:tr>
      <w:tr w:rsidR="00156E34" w:rsidRPr="00C82292" w14:paraId="0B734486" w14:textId="77777777" w:rsidTr="00E54FFE">
        <w:trPr>
          <w:trHeight w:val="1134"/>
        </w:trPr>
        <w:tc>
          <w:tcPr>
            <w:tcW w:w="6096" w:type="dxa"/>
            <w:tcBorders>
              <w:right w:val="nil"/>
            </w:tcBorders>
            <w:shd w:val="clear" w:color="auto" w:fill="auto"/>
          </w:tcPr>
          <w:p w14:paraId="3B3C3B36" w14:textId="77777777" w:rsidR="00156E34" w:rsidRPr="00E54FFE" w:rsidRDefault="00156E34" w:rsidP="00E62DA2">
            <w:pPr>
              <w:rPr>
                <w:sz w:val="20"/>
                <w:szCs w:val="22"/>
              </w:rPr>
            </w:pPr>
            <w:r w:rsidRPr="00E54FFE">
              <w:rPr>
                <w:sz w:val="20"/>
                <w:szCs w:val="22"/>
              </w:rPr>
              <w:t>Kallings LV, Leijon M, Hellenius ML, Stahle A. Physical activity on prescription in primary health care: a follow-up of physical activity level and quality of life. Scand J Med Sci Sports. 2008;18:154–61. doi:10.1111/j.1600-0838.2007.00678.x.</w:t>
            </w:r>
          </w:p>
        </w:tc>
        <w:tc>
          <w:tcPr>
            <w:tcW w:w="2966" w:type="dxa"/>
            <w:tcBorders>
              <w:left w:val="nil"/>
            </w:tcBorders>
            <w:shd w:val="clear" w:color="auto" w:fill="auto"/>
          </w:tcPr>
          <w:p w14:paraId="10B85A77" w14:textId="77777777" w:rsidR="00156E34" w:rsidRPr="00E54FFE" w:rsidRDefault="00156E34" w:rsidP="00E62DA2">
            <w:pPr>
              <w:rPr>
                <w:sz w:val="20"/>
                <w:szCs w:val="22"/>
              </w:rPr>
            </w:pPr>
            <w:r w:rsidRPr="00E54FFE">
              <w:rPr>
                <w:sz w:val="20"/>
                <w:szCs w:val="22"/>
              </w:rPr>
              <w:t xml:space="preserve">PA data presented as categories which could not be converted to other units and were not sufficient to calculate Hedges’ g. </w:t>
            </w:r>
          </w:p>
        </w:tc>
      </w:tr>
      <w:tr w:rsidR="00156E34" w:rsidRPr="00C82292" w14:paraId="2486D3B3" w14:textId="77777777" w:rsidTr="00E54FFE">
        <w:trPr>
          <w:trHeight w:val="1134"/>
        </w:trPr>
        <w:tc>
          <w:tcPr>
            <w:tcW w:w="6096" w:type="dxa"/>
            <w:tcBorders>
              <w:right w:val="nil"/>
            </w:tcBorders>
            <w:shd w:val="clear" w:color="auto" w:fill="auto"/>
          </w:tcPr>
          <w:p w14:paraId="6018927C" w14:textId="77777777" w:rsidR="00156E34" w:rsidRPr="00E54FFE" w:rsidRDefault="00156E34" w:rsidP="00E62DA2">
            <w:pPr>
              <w:rPr>
                <w:b/>
                <w:sz w:val="20"/>
                <w:szCs w:val="22"/>
              </w:rPr>
            </w:pPr>
            <w:r w:rsidRPr="00E54FFE">
              <w:rPr>
                <w:sz w:val="20"/>
                <w:szCs w:val="22"/>
              </w:rPr>
              <w:t>Leijon ME, Bendtsen P, Nilsen P, Festin K, Ståhle A. Does a physical activity referral scheme improve the physical activity among routine primary health care patients? Scand J Med Sci Sports. 2009;19:627–36. doi:10.1111/j.1600-0838.2008.00820.x.</w:t>
            </w:r>
          </w:p>
        </w:tc>
        <w:tc>
          <w:tcPr>
            <w:tcW w:w="2966" w:type="dxa"/>
            <w:tcBorders>
              <w:left w:val="nil"/>
            </w:tcBorders>
            <w:shd w:val="clear" w:color="auto" w:fill="auto"/>
          </w:tcPr>
          <w:p w14:paraId="29B875AA" w14:textId="77777777" w:rsidR="00156E34" w:rsidRPr="00E54FFE" w:rsidRDefault="00156E34" w:rsidP="00E62DA2">
            <w:pPr>
              <w:rPr>
                <w:b/>
                <w:sz w:val="20"/>
                <w:szCs w:val="22"/>
              </w:rPr>
            </w:pPr>
            <w:r w:rsidRPr="00E54FFE">
              <w:rPr>
                <w:sz w:val="20"/>
                <w:szCs w:val="22"/>
              </w:rPr>
              <w:t>PA data presented as categories which could not be converted to other units and were not sufficient to calculate Hedges’ g.</w:t>
            </w:r>
          </w:p>
        </w:tc>
      </w:tr>
      <w:tr w:rsidR="00156E34" w:rsidRPr="00C82292" w14:paraId="216E2828" w14:textId="77777777" w:rsidTr="00E54FFE">
        <w:trPr>
          <w:trHeight w:val="1134"/>
        </w:trPr>
        <w:tc>
          <w:tcPr>
            <w:tcW w:w="6096" w:type="dxa"/>
            <w:tcBorders>
              <w:right w:val="nil"/>
            </w:tcBorders>
            <w:shd w:val="clear" w:color="auto" w:fill="auto"/>
          </w:tcPr>
          <w:p w14:paraId="637444CE" w14:textId="77777777" w:rsidR="00156E34" w:rsidRPr="00E54FFE" w:rsidRDefault="00156E34" w:rsidP="00E62DA2">
            <w:pPr>
              <w:rPr>
                <w:b/>
                <w:sz w:val="20"/>
                <w:szCs w:val="22"/>
              </w:rPr>
            </w:pPr>
            <w:r w:rsidRPr="00E54FFE">
              <w:rPr>
                <w:sz w:val="20"/>
                <w:szCs w:val="22"/>
              </w:rPr>
              <w:t>Rödjer L, H. Jonsdottir I, Börjesson M. Physical activity on prescription (PAP): self-reported physical activity and quality of life in a Swedish primary care population, 2-year follow-up. Scand J Prim Health Care. 2016;34:443–52. doi:10.1080/02813432.2016.1253820.</w:t>
            </w:r>
          </w:p>
        </w:tc>
        <w:tc>
          <w:tcPr>
            <w:tcW w:w="2966" w:type="dxa"/>
            <w:tcBorders>
              <w:left w:val="nil"/>
            </w:tcBorders>
            <w:shd w:val="clear" w:color="auto" w:fill="auto"/>
          </w:tcPr>
          <w:p w14:paraId="7E807750" w14:textId="77777777" w:rsidR="00156E34" w:rsidRPr="00E54FFE" w:rsidRDefault="00156E34" w:rsidP="00E62DA2">
            <w:pPr>
              <w:rPr>
                <w:b/>
                <w:sz w:val="20"/>
                <w:szCs w:val="22"/>
              </w:rPr>
            </w:pPr>
            <w:r w:rsidRPr="00E54FFE">
              <w:rPr>
                <w:sz w:val="20"/>
                <w:szCs w:val="22"/>
              </w:rPr>
              <w:t>PA data presented as categories which could not be converted to other units and were not sufficient to calculate Hedges’ g.</w:t>
            </w:r>
          </w:p>
        </w:tc>
      </w:tr>
    </w:tbl>
    <w:p w14:paraId="1A07562F" w14:textId="5333C325" w:rsidR="00AC3AF3" w:rsidRPr="008E6AE0" w:rsidRDefault="008E6AE0">
      <w:pPr>
        <w:rPr>
          <w:rFonts w:eastAsiaTheme="minorEastAsia" w:cstheme="minorHAnsi"/>
          <w:color w:val="000000" w:themeColor="text1"/>
          <w:sz w:val="20"/>
        </w:rPr>
      </w:pPr>
      <w:r w:rsidRPr="008E6AE0">
        <w:rPr>
          <w:rFonts w:eastAsiaTheme="minorEastAsia" w:cstheme="minorHAnsi"/>
          <w:color w:val="000000" w:themeColor="text1"/>
          <w:sz w:val="20"/>
        </w:rPr>
        <w:t>CI: confidence interval, SD: standard deviation</w:t>
      </w:r>
      <w:bookmarkStart w:id="1" w:name="_GoBack"/>
      <w:bookmarkEnd w:id="1"/>
    </w:p>
    <w:sectPr w:rsidR="00AC3AF3" w:rsidRPr="008E6AE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3465AE" w14:textId="77777777" w:rsidR="0094314A" w:rsidRDefault="0094314A" w:rsidP="0094314A">
      <w:pPr>
        <w:spacing w:after="0" w:line="240" w:lineRule="auto"/>
      </w:pPr>
      <w:r>
        <w:separator/>
      </w:r>
    </w:p>
  </w:endnote>
  <w:endnote w:type="continuationSeparator" w:id="0">
    <w:p w14:paraId="497A4866" w14:textId="77777777" w:rsidR="0094314A" w:rsidRDefault="0094314A" w:rsidP="00943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F7163" w14:textId="77777777" w:rsidR="0094314A" w:rsidRDefault="0094314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2086150"/>
      <w:docPartObj>
        <w:docPartGallery w:val="Page Numbers (Bottom of Page)"/>
        <w:docPartUnique/>
      </w:docPartObj>
    </w:sdtPr>
    <w:sdtEndPr/>
    <w:sdtContent>
      <w:p w14:paraId="3DA3347D" w14:textId="69FC60D2" w:rsidR="0094314A" w:rsidRDefault="0094314A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6AE0" w:rsidRPr="008E6AE0">
          <w:rPr>
            <w:noProof/>
            <w:lang w:val="de-DE"/>
          </w:rPr>
          <w:t>1</w:t>
        </w:r>
        <w:r>
          <w:fldChar w:fldCharType="end"/>
        </w:r>
      </w:p>
    </w:sdtContent>
  </w:sdt>
  <w:p w14:paraId="392185D6" w14:textId="77777777" w:rsidR="0094314A" w:rsidRDefault="0094314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FE61F0" w14:textId="77777777" w:rsidR="0094314A" w:rsidRDefault="0094314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81FFC6" w14:textId="77777777" w:rsidR="0094314A" w:rsidRDefault="0094314A" w:rsidP="0094314A">
      <w:pPr>
        <w:spacing w:after="0" w:line="240" w:lineRule="auto"/>
      </w:pPr>
      <w:r>
        <w:separator/>
      </w:r>
    </w:p>
  </w:footnote>
  <w:footnote w:type="continuationSeparator" w:id="0">
    <w:p w14:paraId="3D5EB9E1" w14:textId="77777777" w:rsidR="0094314A" w:rsidRDefault="0094314A" w:rsidP="009431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19CAD0" w14:textId="77777777" w:rsidR="0094314A" w:rsidRDefault="0094314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230BE" w14:textId="77777777" w:rsidR="0094314A" w:rsidRDefault="0094314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967DC0" w14:textId="77777777" w:rsidR="0094314A" w:rsidRDefault="0094314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E34"/>
    <w:rsid w:val="00156E34"/>
    <w:rsid w:val="001B708D"/>
    <w:rsid w:val="001C5C8D"/>
    <w:rsid w:val="00411B2B"/>
    <w:rsid w:val="004D4103"/>
    <w:rsid w:val="006A70FE"/>
    <w:rsid w:val="007E4686"/>
    <w:rsid w:val="00826E16"/>
    <w:rsid w:val="008E4149"/>
    <w:rsid w:val="008E6AE0"/>
    <w:rsid w:val="009176B9"/>
    <w:rsid w:val="0094314A"/>
    <w:rsid w:val="00957EB1"/>
    <w:rsid w:val="00AC31E8"/>
    <w:rsid w:val="00C65FD1"/>
    <w:rsid w:val="00E46208"/>
    <w:rsid w:val="00E54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CEAB6"/>
  <w15:chartTrackingRefBased/>
  <w15:docId w15:val="{8C45C056-04BE-4C07-836D-2E938E576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56E34"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1C5C8D"/>
    <w:pPr>
      <w:spacing w:after="0" w:line="240" w:lineRule="auto"/>
    </w:pPr>
    <w:rPr>
      <w:rFonts w:eastAsiaTheme="minorEastAsia" w:cstheme="minorHAnsi"/>
      <w:color w:val="000000" w:themeColor="text1"/>
      <w:szCs w:val="21"/>
    </w:rPr>
    <w:tblPr/>
    <w:tblStylePr w:type="lastRow">
      <w:tblPr/>
      <w:tcPr>
        <w:tcBorders>
          <w:bottom w:val="single" w:sz="4" w:space="0" w:color="153A64"/>
        </w:tcBorders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156E3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56E3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56E34"/>
    <w:rPr>
      <w:sz w:val="20"/>
      <w:szCs w:val="2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56E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56E34"/>
    <w:rPr>
      <w:rFonts w:ascii="Segoe UI" w:hAnsi="Segoe UI" w:cs="Segoe UI"/>
      <w:sz w:val="18"/>
      <w:szCs w:val="18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9431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4314A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9431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4314A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1834</Characters>
  <Application>Microsoft Office Word</Application>
  <DocSecurity>0</DocSecurity>
  <Lines>15</Lines>
  <Paragraphs>4</Paragraphs>
  <ScaleCrop>false</ScaleCrop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Mino, Eriselda</dc:creator>
  <cp:keywords/>
  <dc:description/>
  <cp:lastModifiedBy>Mino, Eriselda</cp:lastModifiedBy>
  <cp:revision>9</cp:revision>
  <dcterms:created xsi:type="dcterms:W3CDTF">2023-09-01T09:04:00Z</dcterms:created>
  <dcterms:modified xsi:type="dcterms:W3CDTF">2024-01-14T11:30:00Z</dcterms:modified>
</cp:coreProperties>
</file>