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86A4B4" w14:textId="49907860" w:rsidR="00D36076" w:rsidRPr="00D36076" w:rsidRDefault="00D36076" w:rsidP="003C5682">
      <w:pPr>
        <w:spacing w:line="360" w:lineRule="auto"/>
        <w:rPr>
          <w:rFonts w:ascii="Times New Roman" w:hAnsi="Times New Roman" w:cs="Times New Roman"/>
          <w:b/>
          <w:bCs/>
          <w:sz w:val="24"/>
          <w:szCs w:val="24"/>
        </w:rPr>
      </w:pPr>
      <w:r w:rsidRPr="00D36076">
        <w:rPr>
          <w:rFonts w:ascii="Times New Roman" w:hAnsi="Times New Roman" w:cs="Times New Roman"/>
          <w:b/>
          <w:bCs/>
          <w:sz w:val="24"/>
          <w:szCs w:val="24"/>
        </w:rPr>
        <w:t xml:space="preserve">Methodology </w:t>
      </w:r>
      <w:r w:rsidRPr="00D36076">
        <w:rPr>
          <w:rFonts w:ascii="Times New Roman" w:hAnsi="Times New Roman" w:cs="Times New Roman"/>
          <w:b/>
          <w:bCs/>
          <w:sz w:val="24"/>
          <w:szCs w:val="24"/>
        </w:rPr>
        <w:t>for</w:t>
      </w:r>
      <w:r w:rsidRPr="00D36076">
        <w:rPr>
          <w:rFonts w:ascii="Times New Roman" w:hAnsi="Times New Roman" w:cs="Times New Roman"/>
          <w:b/>
          <w:bCs/>
          <w:sz w:val="24"/>
          <w:szCs w:val="24"/>
        </w:rPr>
        <w:t xml:space="preserve"> sociodemographic variable</w:t>
      </w:r>
      <w:r w:rsidRPr="00D36076">
        <w:rPr>
          <w:rFonts w:ascii="Times New Roman" w:hAnsi="Times New Roman" w:cs="Times New Roman"/>
          <w:b/>
          <w:bCs/>
          <w:sz w:val="24"/>
          <w:szCs w:val="24"/>
        </w:rPr>
        <w:t xml:space="preserve"> creation</w:t>
      </w:r>
    </w:p>
    <w:p w14:paraId="5F12B80A" w14:textId="77A6CFAA" w:rsidR="003C5682" w:rsidRPr="00E07D0F" w:rsidRDefault="003C5682" w:rsidP="003C5682">
      <w:pPr>
        <w:spacing w:line="360" w:lineRule="auto"/>
        <w:rPr>
          <w:rFonts w:ascii="Times New Roman" w:hAnsi="Times New Roman" w:cs="Times New Roman"/>
          <w:sz w:val="24"/>
          <w:szCs w:val="24"/>
        </w:rPr>
      </w:pPr>
      <w:r w:rsidRPr="00E07D0F">
        <w:rPr>
          <w:rFonts w:ascii="Times New Roman" w:hAnsi="Times New Roman" w:cs="Times New Roman"/>
          <w:b/>
          <w:bCs/>
          <w:sz w:val="24"/>
          <w:szCs w:val="24"/>
        </w:rPr>
        <w:t>Supplementary Table ST2</w:t>
      </w:r>
      <w:r w:rsidRPr="00E07D0F">
        <w:rPr>
          <w:rFonts w:ascii="Times New Roman" w:hAnsi="Times New Roman" w:cs="Times New Roman"/>
          <w:sz w:val="24"/>
          <w:szCs w:val="24"/>
        </w:rPr>
        <w:t xml:space="preserve"> </w:t>
      </w:r>
      <w:r w:rsidRPr="00D33D20">
        <w:rPr>
          <w:rFonts w:ascii="Times New Roman" w:hAnsi="Times New Roman" w:cs="Times New Roman"/>
          <w:i/>
          <w:iCs/>
          <w:sz w:val="24"/>
          <w:szCs w:val="24"/>
        </w:rPr>
        <w:t>The methodology for each sociodemographic variable taken from the Active NZ Young Peoples Survey</w:t>
      </w:r>
      <w:r w:rsidR="009608F4">
        <w:rPr>
          <w:rFonts w:ascii="Times New Roman" w:hAnsi="Times New Roman" w:cs="Times New Roman"/>
          <w:i/>
          <w:iCs/>
          <w:sz w:val="24"/>
          <w:szCs w:val="24"/>
        </w:rPr>
        <w:t>. Adapted from</w:t>
      </w:r>
      <w:r w:rsidRPr="00D33D20">
        <w:rPr>
          <w:rFonts w:ascii="Times New Roman" w:hAnsi="Times New Roman" w:cs="Times New Roman"/>
          <w:i/>
          <w:iCs/>
          <w:sz w:val="24"/>
          <w:szCs w:val="24"/>
        </w:rPr>
        <w:t xml:space="preserve"> Bergen et al. 2023</w:t>
      </w:r>
      <w:r w:rsidR="006E5319">
        <w:rPr>
          <w:rFonts w:ascii="Times New Roman" w:hAnsi="Times New Roman" w:cs="Times New Roman"/>
          <w:i/>
          <w:iCs/>
          <w:sz w:val="24"/>
          <w:szCs w:val="24"/>
        </w:rPr>
        <w:t xml:space="preserve"> </w:t>
      </w:r>
      <w:r w:rsidRPr="00D33D20">
        <w:rPr>
          <w:rFonts w:ascii="Times New Roman" w:hAnsi="Times New Roman" w:cs="Times New Roman"/>
          <w:i/>
          <w:iCs/>
          <w:sz w:val="24"/>
          <w:szCs w:val="24"/>
        </w:rPr>
        <w:fldChar w:fldCharType="begin" w:fldLock="1"/>
      </w:r>
      <w:r w:rsidR="00756430">
        <w:rPr>
          <w:rFonts w:ascii="Times New Roman" w:hAnsi="Times New Roman" w:cs="Times New Roman"/>
          <w:i/>
          <w:iCs/>
          <w:sz w:val="24"/>
          <w:szCs w:val="24"/>
        </w:rPr>
        <w:instrText>ADDIN CSL_CITATION {"citationItems":[{"id":"ITEM-1","itemData":{"DOI":"10.3390/ijerph20116001","ISSN":"16604601","PMID":"37297605","abstract":"This cross-sectional study aimed to explore various determinants of future physical activity (PA) participation in adolescents across sociodemographic groups. Sociodemographic characteristics (age, gender, ethnicity, deprivation status, physical disability status) were assessed in a national sample (n = 6906) of adolescents (12–17 years old) between 2017 and 2020 in New Zealand. The determinants of future PA participation chosen for analysis included current indicators of PA participation (i.e., total time, number of types, number of settings). We also examined widely recognised modifiable intrapersonal (i.e., physical literacy) and interpersonal (i.e., social support) determinants of current and future PA behaviour, along with indicators of PA availability issues. Older adolescents scored worse across all determinants of future PA than younger adolescents, with a key transition point appearing at 14–15 years of age. Māori and Pacific ethnicities scored best across each determinant category on average, with Asian populations scoring the worst. Gender diverse adolescents scored substantially worse than male and female adolescents across every determinant. Physically disabled adolescents scored worse than non-disabled across all determinants. Adolescents from medium and high deprivation neighbourhoods scored similarly across most determinants of future PA participation and both tended to score worse than people from low deprivation neighbourhoods. A particular focus on the improvement of future PA determinants is warranted within adolescents who are older, Asian, gender diverse, physically disabled, and from medium to high deprivation neighbourhoods. Future investigation should prioritise the longitudinal tracking of PA behaviours over time and develop interventions that affect multiple future PA determinants across a range of sociodemographic backgrounds.","author":[{"dropping-particle":"","family":"Bergen","given":"Tom","non-dropping-particle":"","parse-names":false,"suffix":""},{"dropping-particle":"","family":"Kim","given":"Alice Hyun Min","non-dropping-particle":"","parse-names":false,"suffix":""},{"dropping-particle":"","family":"Mizdrak","given":"Anja","non-dropping-particle":"","parse-names":false,"suffix":""},{"dropping-particle":"","family":"Signal","given":"Louise","non-dropping-particle":"","parse-names":false,"suffix":""},{"dropping-particle":"","family":"Kira","given":"Geoff","non-dropping-particle":"","parse-names":false,"suffix":""},{"dropping-particle":"","family":"Richards","given":"Justin","non-dropping-particle":"","parse-names":false,"suffix":""}],"container-title":"International Journal of Environmental Research and Public Health","id":"ITEM-1","issue":"11","issued":{"date-parts":[["2023"]]},"title":"Determinants of Future Physical Activity Participation in New Zealand Adolescents across Sociodemographic Groups: A Descriptive Study","type":"article-journal","volume":"20"},"uris":["http://www.mendeley.com/documents/?uuid=034ebb6d-b56c-4da5-a523-a6e6fc1c2615"]}],"mendeley":{"formattedCitation":"[1]","plainTextFormattedCitation":"[1]","previouslyFormattedCitation":"(1)"},"properties":{"noteIndex":0},"schema":"https://github.com/citation-style-language/schema/raw/master/csl-citation.json"}</w:instrText>
      </w:r>
      <w:r w:rsidRPr="00D33D20">
        <w:rPr>
          <w:rFonts w:ascii="Times New Roman" w:hAnsi="Times New Roman" w:cs="Times New Roman"/>
          <w:i/>
          <w:iCs/>
          <w:sz w:val="24"/>
          <w:szCs w:val="24"/>
        </w:rPr>
        <w:fldChar w:fldCharType="separate"/>
      </w:r>
      <w:r w:rsidR="00756430" w:rsidRPr="00756430">
        <w:rPr>
          <w:rFonts w:ascii="Times New Roman" w:hAnsi="Times New Roman" w:cs="Times New Roman"/>
          <w:iCs/>
          <w:noProof/>
          <w:sz w:val="24"/>
          <w:szCs w:val="24"/>
        </w:rPr>
        <w:t>[1]</w:t>
      </w:r>
      <w:r w:rsidRPr="00D33D20">
        <w:rPr>
          <w:rFonts w:ascii="Times New Roman" w:hAnsi="Times New Roman" w:cs="Times New Roman"/>
          <w:i/>
          <w:iCs/>
          <w:sz w:val="24"/>
          <w:szCs w:val="24"/>
        </w:rPr>
        <w:fldChar w:fldCharType="end"/>
      </w:r>
    </w:p>
    <w:tbl>
      <w:tblPr>
        <w:tblStyle w:val="TableGrid"/>
        <w:tblW w:w="0" w:type="auto"/>
        <w:tblLook w:val="04A0" w:firstRow="1" w:lastRow="0" w:firstColumn="1" w:lastColumn="0" w:noHBand="0" w:noVBand="1"/>
      </w:tblPr>
      <w:tblGrid>
        <w:gridCol w:w="3114"/>
        <w:gridCol w:w="10206"/>
      </w:tblGrid>
      <w:tr w:rsidR="003C5682" w:rsidRPr="00E07D0F" w14:paraId="3D78125B" w14:textId="77777777" w:rsidTr="00757C86">
        <w:tc>
          <w:tcPr>
            <w:tcW w:w="3114" w:type="dxa"/>
            <w:shd w:val="clear" w:color="auto" w:fill="DEEAF6" w:themeFill="accent5" w:themeFillTint="33"/>
          </w:tcPr>
          <w:p w14:paraId="6C2B5223" w14:textId="77777777" w:rsidR="003C5682" w:rsidRPr="00E07D0F" w:rsidRDefault="003C5682" w:rsidP="00757C86">
            <w:pPr>
              <w:rPr>
                <w:rFonts w:ascii="Times New Roman" w:hAnsi="Times New Roman" w:cs="Times New Roman"/>
                <w:b/>
                <w:bCs/>
                <w:sz w:val="24"/>
                <w:szCs w:val="24"/>
              </w:rPr>
            </w:pPr>
            <w:r w:rsidRPr="00E07D0F">
              <w:rPr>
                <w:rFonts w:ascii="Times New Roman" w:hAnsi="Times New Roman" w:cs="Times New Roman"/>
                <w:b/>
                <w:bCs/>
                <w:sz w:val="24"/>
                <w:szCs w:val="24"/>
              </w:rPr>
              <w:t>Sociodemographic Variable</w:t>
            </w:r>
          </w:p>
        </w:tc>
        <w:tc>
          <w:tcPr>
            <w:tcW w:w="10206" w:type="dxa"/>
            <w:shd w:val="clear" w:color="auto" w:fill="DEEAF6" w:themeFill="accent5" w:themeFillTint="33"/>
          </w:tcPr>
          <w:p w14:paraId="54FB083E" w14:textId="77777777" w:rsidR="003C5682" w:rsidRPr="00E07D0F" w:rsidRDefault="003C5682" w:rsidP="00757C86">
            <w:pPr>
              <w:rPr>
                <w:rFonts w:ascii="Times New Roman" w:hAnsi="Times New Roman" w:cs="Times New Roman"/>
                <w:b/>
                <w:bCs/>
                <w:sz w:val="24"/>
                <w:szCs w:val="24"/>
              </w:rPr>
            </w:pPr>
            <w:r w:rsidRPr="00E07D0F">
              <w:rPr>
                <w:rFonts w:ascii="Times New Roman" w:hAnsi="Times New Roman" w:cs="Times New Roman"/>
                <w:b/>
                <w:bCs/>
                <w:sz w:val="24"/>
                <w:szCs w:val="24"/>
              </w:rPr>
              <w:t>Method of formulation</w:t>
            </w:r>
          </w:p>
        </w:tc>
      </w:tr>
      <w:tr w:rsidR="00A80089" w:rsidRPr="00E07D0F" w14:paraId="67AE31A3" w14:textId="77777777" w:rsidTr="00757C86">
        <w:tc>
          <w:tcPr>
            <w:tcW w:w="3114" w:type="dxa"/>
            <w:shd w:val="clear" w:color="auto" w:fill="DEEAF6" w:themeFill="accent5" w:themeFillTint="33"/>
          </w:tcPr>
          <w:p w14:paraId="4265131C" w14:textId="77777777"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sz w:val="24"/>
                <w:szCs w:val="24"/>
              </w:rPr>
              <w:t>Age</w:t>
            </w:r>
          </w:p>
        </w:tc>
        <w:tc>
          <w:tcPr>
            <w:tcW w:w="10206" w:type="dxa"/>
          </w:tcPr>
          <w:p w14:paraId="3A9B0226" w14:textId="319E0A4D"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color w:val="222222"/>
                <w:sz w:val="24"/>
                <w:szCs w:val="24"/>
                <w:shd w:val="clear" w:color="auto" w:fill="FFFFFF"/>
              </w:rPr>
              <w:t>Respondent age was recorded in years and analysed as a categorical variable with levels 12 to 17.</w:t>
            </w:r>
          </w:p>
        </w:tc>
      </w:tr>
      <w:tr w:rsidR="00A80089" w:rsidRPr="00E07D0F" w14:paraId="3564D9AF" w14:textId="77777777" w:rsidTr="00757C86">
        <w:tc>
          <w:tcPr>
            <w:tcW w:w="3114" w:type="dxa"/>
            <w:shd w:val="clear" w:color="auto" w:fill="DEEAF6" w:themeFill="accent5" w:themeFillTint="33"/>
          </w:tcPr>
          <w:p w14:paraId="20B31F25" w14:textId="77777777"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sz w:val="24"/>
                <w:szCs w:val="24"/>
              </w:rPr>
              <w:t>Gender</w:t>
            </w:r>
          </w:p>
        </w:tc>
        <w:tc>
          <w:tcPr>
            <w:tcW w:w="10206" w:type="dxa"/>
          </w:tcPr>
          <w:p w14:paraId="12BE9B9F" w14:textId="2A48CD34"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color w:val="222222"/>
                <w:sz w:val="24"/>
                <w:szCs w:val="24"/>
                <w:shd w:val="clear" w:color="auto" w:fill="FFFFFF"/>
              </w:rPr>
              <w:t>Respondents self-identified their gender as male, female, or gender diverse.</w:t>
            </w:r>
          </w:p>
        </w:tc>
      </w:tr>
      <w:tr w:rsidR="00A80089" w:rsidRPr="00E07D0F" w14:paraId="30827C32" w14:textId="77777777" w:rsidTr="00757C86">
        <w:tc>
          <w:tcPr>
            <w:tcW w:w="3114" w:type="dxa"/>
            <w:shd w:val="clear" w:color="auto" w:fill="DEEAF6" w:themeFill="accent5" w:themeFillTint="33"/>
          </w:tcPr>
          <w:p w14:paraId="78FFEDE1" w14:textId="77777777"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sz w:val="24"/>
                <w:szCs w:val="24"/>
              </w:rPr>
              <w:t>Ethnicity</w:t>
            </w:r>
          </w:p>
        </w:tc>
        <w:tc>
          <w:tcPr>
            <w:tcW w:w="10206" w:type="dxa"/>
          </w:tcPr>
          <w:p w14:paraId="0D55D2BE" w14:textId="62805A48"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color w:val="222222"/>
                <w:sz w:val="24"/>
                <w:szCs w:val="24"/>
                <w:shd w:val="clear" w:color="auto" w:fill="FFFFFF"/>
              </w:rPr>
              <w:t>Respondents were allowed to select multiple ethnic groups that they identified with from a large selection of ethnic categories. This was to reflect the multicultural context and ensure the survey analysis was culturally relevant and responsive. The responses were converted to binary variables to record each ethnic group’s identification. The analyses were conducted on the following variables: Māori, European, Pacific, Asian, and Other. The “Other” category was used to combine less represented ethnic groups. A person can be included as being of multiple ethnic backgrounds simultaneously, e.g., Māori and European; hence, the percentages identifying with these groups sum over 100%.</w:t>
            </w:r>
          </w:p>
        </w:tc>
      </w:tr>
      <w:tr w:rsidR="00A80089" w:rsidRPr="00E07D0F" w14:paraId="5B755B82" w14:textId="77777777" w:rsidTr="00757C86">
        <w:tc>
          <w:tcPr>
            <w:tcW w:w="3114" w:type="dxa"/>
            <w:shd w:val="clear" w:color="auto" w:fill="DEEAF6" w:themeFill="accent5" w:themeFillTint="33"/>
          </w:tcPr>
          <w:p w14:paraId="18E35459" w14:textId="77777777"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sz w:val="24"/>
                <w:szCs w:val="24"/>
              </w:rPr>
              <w:t>Physical disability status</w:t>
            </w:r>
          </w:p>
        </w:tc>
        <w:tc>
          <w:tcPr>
            <w:tcW w:w="10206" w:type="dxa"/>
          </w:tcPr>
          <w:p w14:paraId="64278710" w14:textId="395E2DD2"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color w:val="222222"/>
                <w:sz w:val="24"/>
                <w:szCs w:val="24"/>
                <w:shd w:val="clear" w:color="auto" w:fill="FFFFFF"/>
              </w:rPr>
              <w:t>Respondents who reported using a wheelchair, using a walking aid, using prosthetics, or dealing with an ongoing physical illness were classified as having a disability.</w:t>
            </w:r>
          </w:p>
        </w:tc>
      </w:tr>
      <w:tr w:rsidR="00A80089" w:rsidRPr="00E07D0F" w14:paraId="0381A67D" w14:textId="77777777" w:rsidTr="00757C86">
        <w:tc>
          <w:tcPr>
            <w:tcW w:w="3114" w:type="dxa"/>
            <w:shd w:val="clear" w:color="auto" w:fill="DEEAF6" w:themeFill="accent5" w:themeFillTint="33"/>
          </w:tcPr>
          <w:p w14:paraId="40447D3E" w14:textId="77777777"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sz w:val="24"/>
                <w:szCs w:val="24"/>
              </w:rPr>
              <w:t>Neighbourhood deprivation status</w:t>
            </w:r>
          </w:p>
        </w:tc>
        <w:tc>
          <w:tcPr>
            <w:tcW w:w="10206" w:type="dxa"/>
          </w:tcPr>
          <w:p w14:paraId="1E858666" w14:textId="41E985AE" w:rsidR="00A80089" w:rsidRPr="00E07D0F" w:rsidRDefault="00A80089" w:rsidP="00A80089">
            <w:pPr>
              <w:rPr>
                <w:rFonts w:ascii="Times New Roman" w:hAnsi="Times New Roman" w:cs="Times New Roman"/>
                <w:sz w:val="24"/>
                <w:szCs w:val="24"/>
              </w:rPr>
            </w:pPr>
            <w:r w:rsidRPr="00E07D0F">
              <w:rPr>
                <w:rFonts w:ascii="Times New Roman" w:hAnsi="Times New Roman" w:cs="Times New Roman"/>
                <w:color w:val="222222"/>
                <w:sz w:val="24"/>
                <w:szCs w:val="24"/>
                <w:shd w:val="clear" w:color="auto" w:fill="FFFFFF"/>
              </w:rPr>
              <w:t>Deprivation was determined using the 2018 NZ Index of Deprivation</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fldChar w:fldCharType="begin" w:fldLock="1"/>
            </w:r>
            <w:r w:rsidR="00756430">
              <w:rPr>
                <w:rFonts w:ascii="Times New Roman" w:hAnsi="Times New Roman" w:cs="Times New Roman"/>
                <w:color w:val="222222"/>
                <w:sz w:val="24"/>
                <w:szCs w:val="24"/>
                <w:shd w:val="clear" w:color="auto" w:fill="FFFFFF"/>
              </w:rPr>
              <w:instrText>ADDIN CSL_CITATION {"citationItems":[{"id":"ITEM-1","itemData":{"abstract":"Peter is a specialist in public health medicine. His research is focused on social indicators and social epidemiology, health care policy, and primary health care organisation and funding. He has taught undergraduate and postgraduate courses related to public health, health systems and health services management.","author":[{"dropping-particle":"","family":"Atkinson","given":"June","non-dropping-particle":"","parse-names":false,"suffix":""},{"dropping-particle":"","family":"Salmond","given":"Clare","non-dropping-particle":"","parse-names":false,"suffix":""},{"dropping-particle":"","family":"Crampton","given":"Peter","non-dropping-particle":"","parse-names":false,"suffix":""}],"container-title":"NZDep2013 Index of Deprivation","id":"ITEM-1","issue":"December","issued":{"date-parts":[["2019"]]},"number-of-pages":"1-65","title":"NZDep2018 Index of Deprivation, Final Research Report","type":"report","volume":"5541"},"uris":["http://www.mendeley.com/documents/?uuid=d0d7a7c6-eea2-49f3-9d82-85a123adf4d1"]}],"mendeley":{"formattedCitation":"[2]","plainTextFormattedCitation":"[2]","previouslyFormattedCitation":"(2)"},"properties":{"noteIndex":0},"schema":"https://github.com/citation-style-language/schema/raw/master/csl-citation.json"}</w:instrText>
            </w:r>
            <w:r>
              <w:rPr>
                <w:rFonts w:ascii="Times New Roman" w:hAnsi="Times New Roman" w:cs="Times New Roman"/>
                <w:color w:val="222222"/>
                <w:sz w:val="24"/>
                <w:szCs w:val="24"/>
                <w:shd w:val="clear" w:color="auto" w:fill="FFFFFF"/>
              </w:rPr>
              <w:fldChar w:fldCharType="separate"/>
            </w:r>
            <w:r w:rsidR="00756430" w:rsidRPr="00756430">
              <w:rPr>
                <w:rFonts w:ascii="Times New Roman" w:hAnsi="Times New Roman" w:cs="Times New Roman"/>
                <w:noProof/>
                <w:color w:val="222222"/>
                <w:sz w:val="24"/>
                <w:szCs w:val="24"/>
                <w:shd w:val="clear" w:color="auto" w:fill="FFFFFF"/>
              </w:rPr>
              <w:t>[2]</w:t>
            </w:r>
            <w:r>
              <w:rPr>
                <w:rFonts w:ascii="Times New Roman" w:hAnsi="Times New Roman" w:cs="Times New Roman"/>
                <w:color w:val="222222"/>
                <w:sz w:val="24"/>
                <w:szCs w:val="24"/>
                <w:shd w:val="clear" w:color="auto" w:fill="FFFFFF"/>
              </w:rPr>
              <w:fldChar w:fldCharType="end"/>
            </w:r>
            <w:r w:rsidRPr="00E07D0F">
              <w:rPr>
                <w:rFonts w:ascii="Times New Roman" w:hAnsi="Times New Roman" w:cs="Times New Roman"/>
                <w:color w:val="222222"/>
                <w:sz w:val="24"/>
                <w:szCs w:val="24"/>
                <w:shd w:val="clear" w:color="auto" w:fill="FFFFFF"/>
              </w:rPr>
              <w:t xml:space="preserve">, which combines census data relating to income, home ownership, employment, qualifications, family structure, housing, access to transport, and communications to designate small geographic areas (called the census </w:t>
            </w:r>
            <w:proofErr w:type="spellStart"/>
            <w:r w:rsidRPr="00E07D0F">
              <w:rPr>
                <w:rFonts w:ascii="Times New Roman" w:hAnsi="Times New Roman" w:cs="Times New Roman"/>
                <w:color w:val="222222"/>
                <w:sz w:val="24"/>
                <w:szCs w:val="24"/>
                <w:shd w:val="clear" w:color="auto" w:fill="FFFFFF"/>
              </w:rPr>
              <w:t>meshblocks</w:t>
            </w:r>
            <w:proofErr w:type="spellEnd"/>
            <w:r w:rsidRPr="00E07D0F">
              <w:rPr>
                <w:rFonts w:ascii="Times New Roman" w:hAnsi="Times New Roman" w:cs="Times New Roman"/>
                <w:color w:val="222222"/>
                <w:sz w:val="24"/>
                <w:szCs w:val="24"/>
                <w:shd w:val="clear" w:color="auto" w:fill="FFFFFF"/>
              </w:rPr>
              <w:t xml:space="preserve">, generally containing between 100 and 200 people) with a decile number ranging from 1 (least deprived) to 10 (most deprived). The survey records were matched to census </w:t>
            </w:r>
            <w:proofErr w:type="spellStart"/>
            <w:r w:rsidRPr="00E07D0F">
              <w:rPr>
                <w:rFonts w:ascii="Times New Roman" w:hAnsi="Times New Roman" w:cs="Times New Roman"/>
                <w:color w:val="222222"/>
                <w:sz w:val="24"/>
                <w:szCs w:val="24"/>
                <w:shd w:val="clear" w:color="auto" w:fill="FFFFFF"/>
              </w:rPr>
              <w:t>meshblocks</w:t>
            </w:r>
            <w:proofErr w:type="spellEnd"/>
            <w:r w:rsidRPr="00E07D0F">
              <w:rPr>
                <w:rFonts w:ascii="Times New Roman" w:hAnsi="Times New Roman" w:cs="Times New Roman"/>
                <w:color w:val="222222"/>
                <w:sz w:val="24"/>
                <w:szCs w:val="24"/>
                <w:shd w:val="clear" w:color="auto" w:fill="FFFFFF"/>
              </w:rPr>
              <w:t xml:space="preserve"> using the domicile information. Respondents were classified as residing in low (deciles 1–3), medium (deciles 4–7), and high (deciles 8–10) deprivation areas.</w:t>
            </w:r>
          </w:p>
        </w:tc>
      </w:tr>
    </w:tbl>
    <w:p w14:paraId="2116C3B1" w14:textId="5D62ECAD" w:rsidR="0046689B" w:rsidRDefault="0046689B">
      <w:pPr>
        <w:rPr>
          <w:rFonts w:ascii="Times New Roman" w:hAnsi="Times New Roman" w:cs="Times New Roman"/>
          <w:b/>
          <w:bCs/>
          <w:sz w:val="28"/>
          <w:szCs w:val="28"/>
        </w:rPr>
      </w:pPr>
      <w:r w:rsidRPr="0046689B">
        <w:rPr>
          <w:rFonts w:ascii="Times New Roman" w:hAnsi="Times New Roman" w:cs="Times New Roman"/>
          <w:b/>
          <w:bCs/>
          <w:sz w:val="28"/>
          <w:szCs w:val="28"/>
        </w:rPr>
        <w:t>Reference</w:t>
      </w:r>
      <w:r>
        <w:rPr>
          <w:rFonts w:ascii="Times New Roman" w:hAnsi="Times New Roman" w:cs="Times New Roman"/>
          <w:b/>
          <w:bCs/>
          <w:sz w:val="28"/>
          <w:szCs w:val="28"/>
        </w:rPr>
        <w:t>s</w:t>
      </w:r>
    </w:p>
    <w:p w14:paraId="03B7C707" w14:textId="7AD79DE7" w:rsidR="00756430" w:rsidRPr="00756430" w:rsidRDefault="0046689B" w:rsidP="00756430">
      <w:pPr>
        <w:widowControl w:val="0"/>
        <w:autoSpaceDE w:val="0"/>
        <w:autoSpaceDN w:val="0"/>
        <w:adjustRightInd w:val="0"/>
        <w:spacing w:line="240" w:lineRule="auto"/>
        <w:rPr>
          <w:rFonts w:ascii="Times New Roman" w:hAnsi="Times New Roman" w:cs="Times New Roman"/>
          <w:noProof/>
          <w:sz w:val="24"/>
        </w:rPr>
      </w:pPr>
      <w:r w:rsidRPr="0046689B">
        <w:rPr>
          <w:rFonts w:ascii="Times New Roman" w:hAnsi="Times New Roman" w:cs="Times New Roman"/>
          <w:b/>
          <w:bCs/>
          <w:sz w:val="24"/>
          <w:szCs w:val="24"/>
        </w:rPr>
        <w:fldChar w:fldCharType="begin" w:fldLock="1"/>
      </w:r>
      <w:r w:rsidRPr="0046689B">
        <w:rPr>
          <w:rFonts w:ascii="Times New Roman" w:hAnsi="Times New Roman" w:cs="Times New Roman"/>
          <w:b/>
          <w:bCs/>
          <w:sz w:val="24"/>
          <w:szCs w:val="24"/>
        </w:rPr>
        <w:instrText xml:space="preserve">ADDIN Mendeley Bibliography CSL_BIBLIOGRAPHY </w:instrText>
      </w:r>
      <w:r w:rsidRPr="0046689B">
        <w:rPr>
          <w:rFonts w:ascii="Times New Roman" w:hAnsi="Times New Roman" w:cs="Times New Roman"/>
          <w:b/>
          <w:bCs/>
          <w:sz w:val="24"/>
          <w:szCs w:val="24"/>
        </w:rPr>
        <w:fldChar w:fldCharType="separate"/>
      </w:r>
      <w:r w:rsidR="00756430" w:rsidRPr="00756430">
        <w:rPr>
          <w:rFonts w:ascii="Times New Roman" w:hAnsi="Times New Roman" w:cs="Times New Roman"/>
          <w:noProof/>
          <w:sz w:val="24"/>
        </w:rPr>
        <w:t xml:space="preserve">1. Bergen T, Kim AHM, Mizdrak A, Signal L, Kira G, Richards J. Determinants of Future Physical Activity Participation in New Zealand Adolescents across Sociodemographic Groups: A Descriptive Study. Int J Environ Res Public Health. 2023;20. </w:t>
      </w:r>
    </w:p>
    <w:p w14:paraId="3C5B13DC" w14:textId="77777777" w:rsidR="00756430" w:rsidRPr="00756430" w:rsidRDefault="00756430" w:rsidP="00756430">
      <w:pPr>
        <w:widowControl w:val="0"/>
        <w:autoSpaceDE w:val="0"/>
        <w:autoSpaceDN w:val="0"/>
        <w:adjustRightInd w:val="0"/>
        <w:spacing w:line="240" w:lineRule="auto"/>
        <w:rPr>
          <w:rFonts w:ascii="Times New Roman" w:hAnsi="Times New Roman" w:cs="Times New Roman"/>
          <w:noProof/>
          <w:sz w:val="24"/>
        </w:rPr>
      </w:pPr>
      <w:r w:rsidRPr="00756430">
        <w:rPr>
          <w:rFonts w:ascii="Times New Roman" w:hAnsi="Times New Roman" w:cs="Times New Roman"/>
          <w:noProof/>
          <w:sz w:val="24"/>
        </w:rPr>
        <w:t>2. Atkinson J, Salmond C, Crampton P. NZDep2018 Index of Deprivation, Final Research Report [Internet]. NZDep2013 Index of Deprivation. 2019. Available from: https://www.otago.ac.nz/wellington/departments/publichealth/research/hirp/otago020194.html</w:t>
      </w:r>
    </w:p>
    <w:p w14:paraId="28F2C6D3" w14:textId="158F6E75" w:rsidR="0046689B" w:rsidRPr="0046689B" w:rsidRDefault="0046689B">
      <w:pPr>
        <w:rPr>
          <w:rFonts w:ascii="Times New Roman" w:hAnsi="Times New Roman" w:cs="Times New Roman"/>
          <w:b/>
          <w:bCs/>
          <w:sz w:val="28"/>
          <w:szCs w:val="28"/>
        </w:rPr>
      </w:pPr>
      <w:r w:rsidRPr="0046689B">
        <w:rPr>
          <w:rFonts w:ascii="Times New Roman" w:hAnsi="Times New Roman" w:cs="Times New Roman"/>
          <w:b/>
          <w:bCs/>
          <w:sz w:val="24"/>
          <w:szCs w:val="24"/>
        </w:rPr>
        <w:lastRenderedPageBreak/>
        <w:fldChar w:fldCharType="end"/>
      </w:r>
    </w:p>
    <w:sectPr w:rsidR="0046689B" w:rsidRPr="0046689B" w:rsidSect="003C5682">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682"/>
    <w:rsid w:val="00006143"/>
    <w:rsid w:val="000F5BB5"/>
    <w:rsid w:val="000F7A44"/>
    <w:rsid w:val="000F7D2F"/>
    <w:rsid w:val="002E5F18"/>
    <w:rsid w:val="002F7648"/>
    <w:rsid w:val="003C5682"/>
    <w:rsid w:val="0046689B"/>
    <w:rsid w:val="00601EAF"/>
    <w:rsid w:val="006849A3"/>
    <w:rsid w:val="006E5319"/>
    <w:rsid w:val="00756430"/>
    <w:rsid w:val="00880FF2"/>
    <w:rsid w:val="008E0E8A"/>
    <w:rsid w:val="009608F4"/>
    <w:rsid w:val="00A80089"/>
    <w:rsid w:val="00BC653D"/>
    <w:rsid w:val="00C11663"/>
    <w:rsid w:val="00CA39FA"/>
    <w:rsid w:val="00D36076"/>
    <w:rsid w:val="00E501A5"/>
    <w:rsid w:val="00E54544"/>
    <w:rsid w:val="00EE03A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67CDF"/>
  <w15:chartTrackingRefBased/>
  <w15:docId w15:val="{AFD1E5C1-B668-4548-B359-33AFC477C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82"/>
    <w:rPr>
      <w:kern w:val="0"/>
      <w14:ligatures w14:val="none"/>
    </w:rPr>
  </w:style>
  <w:style w:type="paragraph" w:styleId="Heading1">
    <w:name w:val="heading 1"/>
    <w:basedOn w:val="Normal"/>
    <w:next w:val="Normal"/>
    <w:link w:val="Heading1Char"/>
    <w:uiPriority w:val="9"/>
    <w:qFormat/>
    <w:rsid w:val="00880FF2"/>
    <w:pPr>
      <w:keepNext/>
      <w:keepLines/>
      <w:spacing w:before="240" w:after="0"/>
      <w:outlineLvl w:val="0"/>
    </w:pPr>
    <w:rPr>
      <w:rFonts w:ascii="Times New Roman" w:eastAsiaTheme="majorEastAsia" w:hAnsi="Times New Roman" w:cstheme="majorBidi"/>
      <w:b/>
      <w:kern w:val="2"/>
      <w:sz w:val="28"/>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FF2"/>
    <w:rPr>
      <w:rFonts w:ascii="Times New Roman" w:eastAsiaTheme="majorEastAsia" w:hAnsi="Times New Roman" w:cstheme="majorBidi"/>
      <w:b/>
      <w:sz w:val="28"/>
      <w:szCs w:val="32"/>
    </w:rPr>
  </w:style>
  <w:style w:type="table" w:styleId="TableGrid">
    <w:name w:val="Table Grid"/>
    <w:basedOn w:val="TableNormal"/>
    <w:uiPriority w:val="39"/>
    <w:rsid w:val="003C568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56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505A3-2CF0-4FD3-8DF7-E5EED87E8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347</Words>
  <Characters>2160</Characters>
  <Application>Microsoft Office Word</Application>
  <DocSecurity>0</DocSecurity>
  <Lines>36</Lines>
  <Paragraphs>17</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Bergen</dc:creator>
  <cp:keywords/>
  <dc:description/>
  <cp:lastModifiedBy>Tom Bergen</cp:lastModifiedBy>
  <cp:revision>13</cp:revision>
  <dcterms:created xsi:type="dcterms:W3CDTF">2024-03-28T00:47:00Z</dcterms:created>
  <dcterms:modified xsi:type="dcterms:W3CDTF">2024-07-27T09:29:00Z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6a825aa1-8f08-3850-ab72-d587b1e37701</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12th edition - Harvard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http://www.zotero.org/styles/international-journal-of-behavioral-nutrition-and-physical-activity</vt:lpwstr>
  </property>
  <property fmtid="{D5CDD505-2E9C-101B-9397-08002B2CF9AE}" pid="15" name="Mendeley Recent Style Name 5_1">
    <vt:lpwstr>International Journal of Behavioral Nutrition and Physical Activity</vt:lpwstr>
  </property>
  <property fmtid="{D5CDD505-2E9C-101B-9397-08002B2CF9AE}" pid="16" name="Mendeley Recent Style Id 6_1">
    <vt:lpwstr>http://www.zotero.org/styles/international-journal-of-environmental-research-and-public-health</vt:lpwstr>
  </property>
  <property fmtid="{D5CDD505-2E9C-101B-9397-08002B2CF9AE}" pid="17" name="Mendeley Recent Style Name 6_1">
    <vt:lpwstr>International Journal of Environmental Research and Public Health</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http://www.zotero.org/styles/international-journal-of-behavioral-nutrition-and-physical-activity</vt:lpwstr>
  </property>
  <property fmtid="{D5CDD505-2E9C-101B-9397-08002B2CF9AE}" pid="25" name="GrammarlyDocumentId">
    <vt:lpwstr>ebc52e10f5b828744492659e752414eb9e6c1dcdbc251bf505811770940e2620</vt:lpwstr>
  </property>
</Properties>
</file>