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6B1E0E" w14:textId="77777777" w:rsidR="00E44B55" w:rsidRPr="00E07D0F" w:rsidRDefault="00E44B55" w:rsidP="000C4B09">
      <w:pPr>
        <w:pStyle w:val="Heading1"/>
        <w:spacing w:line="480" w:lineRule="auto"/>
      </w:pPr>
      <w:r w:rsidRPr="0045444A">
        <w:t>Methodology for intervention cost adjustments</w:t>
      </w:r>
    </w:p>
    <w:p w14:paraId="2B6CEB36" w14:textId="77777777" w:rsidR="00E44B55" w:rsidRPr="00E07D0F" w:rsidRDefault="00E44B55" w:rsidP="000C4B09">
      <w:pPr>
        <w:spacing w:line="480" w:lineRule="auto"/>
        <w:rPr>
          <w:rFonts w:ascii="Times New Roman" w:hAnsi="Times New Roman" w:cs="Times New Roman"/>
          <w:sz w:val="24"/>
          <w:szCs w:val="24"/>
        </w:rPr>
      </w:pPr>
      <w:r w:rsidRPr="00E07D0F">
        <w:rPr>
          <w:rFonts w:ascii="Times New Roman" w:hAnsi="Times New Roman" w:cs="Times New Roman"/>
          <w:b/>
          <w:bCs/>
          <w:sz w:val="24"/>
          <w:szCs w:val="24"/>
        </w:rPr>
        <w:t xml:space="preserve">OECD consumer price index: </w:t>
      </w:r>
      <w:r w:rsidRPr="00E07D0F">
        <w:rPr>
          <w:rFonts w:ascii="Times New Roman" w:hAnsi="Times New Roman" w:cs="Times New Roman"/>
          <w:sz w:val="24"/>
          <w:szCs w:val="24"/>
        </w:rPr>
        <w:t>Measure of inflation within a country overtime</w:t>
      </w:r>
      <w:r>
        <w:rPr>
          <w:rFonts w:ascii="Times New Roman" w:hAnsi="Times New Roman" w:cs="Times New Roman"/>
          <w:sz w:val="24"/>
          <w:szCs w:val="24"/>
        </w:rPr>
        <w:t xml:space="preserve">. For example, the dollar value in </w:t>
      </w:r>
      <w:r w:rsidRPr="00E07D0F">
        <w:rPr>
          <w:rFonts w:ascii="Times New Roman" w:hAnsi="Times New Roman" w:cs="Times New Roman"/>
          <w:sz w:val="24"/>
          <w:szCs w:val="24"/>
        </w:rPr>
        <w:t>2016 v</w:t>
      </w:r>
      <w:r>
        <w:rPr>
          <w:rFonts w:ascii="Times New Roman" w:hAnsi="Times New Roman" w:cs="Times New Roman"/>
          <w:sz w:val="24"/>
          <w:szCs w:val="24"/>
        </w:rPr>
        <w:t>ersus</w:t>
      </w:r>
      <w:r w:rsidRPr="00E07D0F">
        <w:rPr>
          <w:rFonts w:ascii="Times New Roman" w:hAnsi="Times New Roman" w:cs="Times New Roman"/>
          <w:sz w:val="24"/>
          <w:szCs w:val="24"/>
        </w:rPr>
        <w:t xml:space="preserve"> 2019</w:t>
      </w:r>
      <w:r>
        <w:rPr>
          <w:rFonts w:ascii="Times New Roman" w:hAnsi="Times New Roman" w:cs="Times New Roman"/>
          <w:sz w:val="24"/>
          <w:szCs w:val="24"/>
        </w:rPr>
        <w:t>.</w:t>
      </w:r>
    </w:p>
    <w:p w14:paraId="0C882E38" w14:textId="77777777" w:rsidR="00E44B55" w:rsidRPr="00E07D0F" w:rsidRDefault="00E44B55" w:rsidP="000C4B09">
      <w:pPr>
        <w:spacing w:line="480" w:lineRule="auto"/>
        <w:rPr>
          <w:rFonts w:ascii="Times New Roman" w:hAnsi="Times New Roman" w:cs="Times New Roman"/>
          <w:sz w:val="24"/>
          <w:szCs w:val="24"/>
        </w:rPr>
      </w:pPr>
      <w:r w:rsidRPr="00E07D0F">
        <w:rPr>
          <w:rFonts w:ascii="Times New Roman" w:hAnsi="Times New Roman" w:cs="Times New Roman"/>
          <w:b/>
          <w:bCs/>
          <w:sz w:val="24"/>
          <w:szCs w:val="24"/>
        </w:rPr>
        <w:t xml:space="preserve">Purchasing price parity: </w:t>
      </w:r>
      <w:r w:rsidRPr="00E07D0F">
        <w:rPr>
          <w:rFonts w:ascii="Times New Roman" w:hAnsi="Times New Roman" w:cs="Times New Roman"/>
          <w:sz w:val="24"/>
          <w:szCs w:val="24"/>
        </w:rPr>
        <w:t>Measure of translational cost between countries</w:t>
      </w:r>
      <w:r>
        <w:rPr>
          <w:rFonts w:ascii="Times New Roman" w:hAnsi="Times New Roman" w:cs="Times New Roman"/>
          <w:sz w:val="24"/>
          <w:szCs w:val="24"/>
        </w:rPr>
        <w:t xml:space="preserve">. For example, </w:t>
      </w:r>
      <w:r w:rsidRPr="00E07D0F">
        <w:rPr>
          <w:rFonts w:ascii="Times New Roman" w:hAnsi="Times New Roman" w:cs="Times New Roman"/>
          <w:sz w:val="24"/>
          <w:szCs w:val="24"/>
        </w:rPr>
        <w:t>US dollar compared to NZ dollar at a point in time</w:t>
      </w:r>
      <w:r>
        <w:rPr>
          <w:rFonts w:ascii="Times New Roman" w:hAnsi="Times New Roman" w:cs="Times New Roman"/>
          <w:sz w:val="24"/>
          <w:szCs w:val="24"/>
        </w:rPr>
        <w:t>.</w:t>
      </w:r>
    </w:p>
    <w:p w14:paraId="5F61C547" w14:textId="77777777" w:rsidR="00E44B55" w:rsidRPr="00E07D0F" w:rsidRDefault="00E44B55" w:rsidP="000C4B09">
      <w:pPr>
        <w:spacing w:line="480" w:lineRule="auto"/>
        <w:rPr>
          <w:rFonts w:ascii="Times New Roman" w:hAnsi="Times New Roman" w:cs="Times New Roman"/>
          <w:sz w:val="24"/>
          <w:szCs w:val="24"/>
        </w:rPr>
      </w:pPr>
      <w:r w:rsidRPr="00FC2682">
        <w:rPr>
          <w:rFonts w:ascii="Times New Roman" w:hAnsi="Times New Roman" w:cs="Times New Roman"/>
          <w:b/>
          <w:bCs/>
          <w:sz w:val="24"/>
          <w:szCs w:val="24"/>
        </w:rPr>
        <w:t>Date chosen for pricing:</w:t>
      </w:r>
      <w:r w:rsidRPr="00FC2682">
        <w:rPr>
          <w:rFonts w:ascii="Times New Roman" w:hAnsi="Times New Roman" w:cs="Times New Roman"/>
          <w:sz w:val="24"/>
          <w:szCs w:val="24"/>
        </w:rPr>
        <w:t xml:space="preserve"> </w:t>
      </w:r>
      <w:r>
        <w:rPr>
          <w:rFonts w:ascii="Times New Roman" w:hAnsi="Times New Roman" w:cs="Times New Roman"/>
          <w:sz w:val="24"/>
          <w:szCs w:val="24"/>
        </w:rPr>
        <w:t xml:space="preserve">We have chosen our intervention to be conducted in NZ during 2019. Therefore, all other costs have been translated to the 2019 NZ dollar. </w:t>
      </w:r>
    </w:p>
    <w:p w14:paraId="44DA11B4" w14:textId="626DA784" w:rsidR="00E44B55" w:rsidRPr="00E07D0F" w:rsidRDefault="00E44B55" w:rsidP="00E44B55">
      <w:pPr>
        <w:spacing w:line="360" w:lineRule="auto"/>
        <w:rPr>
          <w:rFonts w:ascii="Times New Roman" w:hAnsi="Times New Roman" w:cs="Times New Roman"/>
          <w:b/>
          <w:bCs/>
          <w:sz w:val="24"/>
          <w:szCs w:val="24"/>
        </w:rPr>
      </w:pPr>
      <w:r w:rsidRPr="00E07D0F">
        <w:rPr>
          <w:rFonts w:ascii="Times New Roman" w:hAnsi="Times New Roman" w:cs="Times New Roman"/>
          <w:b/>
          <w:bCs/>
          <w:sz w:val="24"/>
          <w:szCs w:val="24"/>
        </w:rPr>
        <w:t xml:space="preserve">Supplementary </w:t>
      </w:r>
      <w:r w:rsidR="00B71271">
        <w:rPr>
          <w:rFonts w:ascii="Times New Roman" w:hAnsi="Times New Roman" w:cs="Times New Roman"/>
          <w:b/>
          <w:bCs/>
          <w:sz w:val="24"/>
          <w:szCs w:val="24"/>
        </w:rPr>
        <w:t>T</w:t>
      </w:r>
      <w:r w:rsidRPr="00E07D0F">
        <w:rPr>
          <w:rFonts w:ascii="Times New Roman" w:hAnsi="Times New Roman" w:cs="Times New Roman"/>
          <w:b/>
          <w:bCs/>
          <w:sz w:val="24"/>
          <w:szCs w:val="24"/>
        </w:rPr>
        <w:t>able ST</w:t>
      </w:r>
      <w:r w:rsidR="00553531">
        <w:rPr>
          <w:rFonts w:ascii="Times New Roman" w:hAnsi="Times New Roman" w:cs="Times New Roman"/>
          <w:b/>
          <w:bCs/>
          <w:sz w:val="24"/>
          <w:szCs w:val="24"/>
        </w:rPr>
        <w:t>3</w:t>
      </w:r>
      <w:r w:rsidRPr="00E07D0F">
        <w:rPr>
          <w:rFonts w:ascii="Times New Roman" w:hAnsi="Times New Roman" w:cs="Times New Roman"/>
          <w:b/>
          <w:bCs/>
          <w:sz w:val="24"/>
          <w:szCs w:val="24"/>
        </w:rPr>
        <w:t xml:space="preserve"> </w:t>
      </w:r>
      <w:r w:rsidRPr="00D33D20">
        <w:rPr>
          <w:rFonts w:ascii="Times New Roman" w:hAnsi="Times New Roman" w:cs="Times New Roman"/>
          <w:i/>
          <w:iCs/>
          <w:sz w:val="24"/>
          <w:szCs w:val="24"/>
        </w:rPr>
        <w:t>Summary of the adjustment of intervention’s costs to match a 2019 NZ cost (CPI = 105.8, PPP = 1.44)</w:t>
      </w:r>
      <w:r w:rsidR="00F86065">
        <w:rPr>
          <w:rFonts w:ascii="Times New Roman" w:hAnsi="Times New Roman" w:cs="Times New Roman"/>
          <w:i/>
          <w:iCs/>
          <w:sz w:val="24"/>
          <w:szCs w:val="24"/>
        </w:rPr>
        <w:t xml:space="preserve"> </w:t>
      </w:r>
      <w:r w:rsidR="00F86065">
        <w:rPr>
          <w:rFonts w:ascii="Times New Roman" w:hAnsi="Times New Roman" w:cs="Times New Roman"/>
          <w:i/>
          <w:iCs/>
          <w:sz w:val="24"/>
          <w:szCs w:val="24"/>
        </w:rPr>
        <w:fldChar w:fldCharType="begin" w:fldLock="1"/>
      </w:r>
      <w:r w:rsidR="000C4B09">
        <w:rPr>
          <w:rFonts w:ascii="Times New Roman" w:hAnsi="Times New Roman" w:cs="Times New Roman"/>
          <w:i/>
          <w:iCs/>
          <w:sz w:val="24"/>
          <w:szCs w:val="24"/>
        </w:rPr>
        <w:instrText>ADDIN CSL_CITATION {"citationItems":[{"id":"ITEM-1","itemData":{"URL":"https://www.oecd.org/sdd/prices-ppp/","author":[{"dropping-particle":"","family":"Organization for Economic Cooperation and Development","given":"","non-dropping-particle":"","parse-names":false,"suffix":""}],"id":"ITEM-1","issued":{"date-parts":[["2023"]]},"title":"Prices and purchasing power parities","type":"webpage"},"uris":["http://www.mendeley.com/documents/?uuid=2edebbbe-2cfb-4179-b71f-5ef44cfe021d"]}],"mendeley":{"formattedCitation":"[1]","plainTextFormattedCitation":"[1]","previouslyFormattedCitation":"(1)"},"properties":{"noteIndex":0},"schema":"https://github.com/citation-style-language/schema/raw/master/csl-citation.json"}</w:instrText>
      </w:r>
      <w:r w:rsidR="00F86065">
        <w:rPr>
          <w:rFonts w:ascii="Times New Roman" w:hAnsi="Times New Roman" w:cs="Times New Roman"/>
          <w:i/>
          <w:iCs/>
          <w:sz w:val="24"/>
          <w:szCs w:val="24"/>
        </w:rPr>
        <w:fldChar w:fldCharType="separate"/>
      </w:r>
      <w:r w:rsidR="000C4B09" w:rsidRPr="000C4B09">
        <w:rPr>
          <w:rFonts w:ascii="Times New Roman" w:hAnsi="Times New Roman" w:cs="Times New Roman"/>
          <w:iCs/>
          <w:noProof/>
          <w:sz w:val="24"/>
          <w:szCs w:val="24"/>
        </w:rPr>
        <w:t>[1]</w:t>
      </w:r>
      <w:r w:rsidR="00F86065">
        <w:rPr>
          <w:rFonts w:ascii="Times New Roman" w:hAnsi="Times New Roman" w:cs="Times New Roman"/>
          <w:i/>
          <w:iCs/>
          <w:sz w:val="24"/>
          <w:szCs w:val="24"/>
        </w:rPr>
        <w:fldChar w:fldCharType="end"/>
      </w:r>
      <w:r w:rsidRPr="00D33D20">
        <w:rPr>
          <w:rFonts w:ascii="Times New Roman" w:hAnsi="Times New Roman" w:cs="Times New Roman"/>
          <w:i/>
          <w:iCs/>
          <w:sz w:val="24"/>
          <w:szCs w:val="24"/>
        </w:rPr>
        <w:t xml:space="preserve">, assuming 376 secondary schools in NZ and an average number of 740 students per school </w:t>
      </w:r>
      <w:r w:rsidRPr="00D33D20">
        <w:rPr>
          <w:rFonts w:ascii="Times New Roman" w:hAnsi="Times New Roman" w:cs="Times New Roman"/>
          <w:i/>
          <w:iCs/>
          <w:sz w:val="24"/>
          <w:szCs w:val="24"/>
        </w:rPr>
        <w:fldChar w:fldCharType="begin" w:fldLock="1"/>
      </w:r>
      <w:r w:rsidR="000C4B09">
        <w:rPr>
          <w:rFonts w:ascii="Times New Roman" w:hAnsi="Times New Roman" w:cs="Times New Roman"/>
          <w:i/>
          <w:iCs/>
          <w:sz w:val="24"/>
          <w:szCs w:val="24"/>
        </w:rPr>
        <w:instrText>ADDIN CSL_CITATION {"citationItems":[{"id":"ITEM-1","itemData":{"URL":"https://www.educationcounts.govt.nz/statistics/number-of-schools","author":[{"dropping-particle":"","family":"Education Counts","given":"","non-dropping-particle":"","parse-names":false,"suffix":""}],"id":"ITEM-1","issued":{"date-parts":[["2023"]]},"title":"Number of Schools","type":"webpage"},"uris":["http://www.mendeley.com/documents/?uuid=d5eae1f9-8fb8-4d0e-806b-e0c3cdfe302e"]},{"id":"ITEM-2","itemData":{"URL":"https://www.educationcounts.govt.nz/statistics/school-rolls","author":[{"dropping-particle":"","family":"Education Counts","given":"","non-dropping-particle":"","parse-names":false,"suffix":""}],"id":"ITEM-2","issued":{"date-parts":[["2023"]]},"title":"School Rolls","type":"webpage"},"uris":["http://www.mendeley.com/documents/?uuid=30edb47e-131d-432d-af53-52236a016a1c"]}],"mendeley":{"formattedCitation":"[2,3]","plainTextFormattedCitation":"[2,3]","previouslyFormattedCitation":"(2,3)"},"properties":{"noteIndex":0},"schema":"https://github.com/citation-style-language/schema/raw/master/csl-citation.json"}</w:instrText>
      </w:r>
      <w:r w:rsidRPr="00D33D20">
        <w:rPr>
          <w:rFonts w:ascii="Times New Roman" w:hAnsi="Times New Roman" w:cs="Times New Roman"/>
          <w:i/>
          <w:iCs/>
          <w:sz w:val="24"/>
          <w:szCs w:val="24"/>
        </w:rPr>
        <w:fldChar w:fldCharType="separate"/>
      </w:r>
      <w:r w:rsidR="000C4B09" w:rsidRPr="000C4B09">
        <w:rPr>
          <w:rFonts w:ascii="Times New Roman" w:hAnsi="Times New Roman" w:cs="Times New Roman"/>
          <w:iCs/>
          <w:noProof/>
          <w:sz w:val="24"/>
          <w:szCs w:val="24"/>
        </w:rPr>
        <w:t>[2,3]</w:t>
      </w:r>
      <w:r w:rsidRPr="00D33D20">
        <w:rPr>
          <w:rFonts w:ascii="Times New Roman" w:hAnsi="Times New Roman" w:cs="Times New Roman"/>
          <w:i/>
          <w:iCs/>
          <w:sz w:val="24"/>
          <w:szCs w:val="24"/>
        </w:rPr>
        <w:fldChar w:fldCharType="end"/>
      </w:r>
    </w:p>
    <w:tbl>
      <w:tblPr>
        <w:tblStyle w:val="TableGrid"/>
        <w:tblW w:w="14531" w:type="dxa"/>
        <w:tblLook w:val="04A0" w:firstRow="1" w:lastRow="0" w:firstColumn="1" w:lastColumn="0" w:noHBand="0" w:noVBand="1"/>
      </w:tblPr>
      <w:tblGrid>
        <w:gridCol w:w="1572"/>
        <w:gridCol w:w="2109"/>
        <w:gridCol w:w="1611"/>
        <w:gridCol w:w="2092"/>
        <w:gridCol w:w="1785"/>
        <w:gridCol w:w="1773"/>
        <w:gridCol w:w="1965"/>
        <w:gridCol w:w="1624"/>
      </w:tblGrid>
      <w:tr w:rsidR="00E44B55" w:rsidRPr="00E07D0F" w14:paraId="2967476B" w14:textId="77777777" w:rsidTr="00757C86">
        <w:trPr>
          <w:trHeight w:val="1009"/>
        </w:trPr>
        <w:tc>
          <w:tcPr>
            <w:tcW w:w="1572" w:type="dxa"/>
            <w:shd w:val="clear" w:color="auto" w:fill="DEEAF6" w:themeFill="accent5" w:themeFillTint="33"/>
          </w:tcPr>
          <w:p w14:paraId="7CE60938" w14:textId="77777777" w:rsidR="00E44B55" w:rsidRPr="00E07D0F" w:rsidRDefault="00E44B55" w:rsidP="00757C86">
            <w:pPr>
              <w:rPr>
                <w:rFonts w:ascii="Times New Roman" w:hAnsi="Times New Roman" w:cs="Times New Roman"/>
                <w:sz w:val="24"/>
                <w:szCs w:val="24"/>
              </w:rPr>
            </w:pPr>
          </w:p>
        </w:tc>
        <w:tc>
          <w:tcPr>
            <w:tcW w:w="2109" w:type="dxa"/>
            <w:shd w:val="clear" w:color="auto" w:fill="DEEAF6" w:themeFill="accent5" w:themeFillTint="33"/>
          </w:tcPr>
          <w:p w14:paraId="1FFC9997" w14:textId="77777777" w:rsidR="00E44B55" w:rsidRPr="00E07D0F" w:rsidRDefault="00E44B55" w:rsidP="00757C86">
            <w:pPr>
              <w:rPr>
                <w:rFonts w:ascii="Times New Roman" w:hAnsi="Times New Roman" w:cs="Times New Roman"/>
                <w:b/>
                <w:bCs/>
                <w:sz w:val="24"/>
                <w:szCs w:val="24"/>
              </w:rPr>
            </w:pPr>
            <w:r w:rsidRPr="00E07D0F">
              <w:rPr>
                <w:rFonts w:ascii="Times New Roman" w:hAnsi="Times New Roman" w:cs="Times New Roman"/>
                <w:b/>
                <w:bCs/>
                <w:sz w:val="24"/>
                <w:szCs w:val="24"/>
              </w:rPr>
              <w:t>Studies used &amp; year</w:t>
            </w:r>
          </w:p>
        </w:tc>
        <w:tc>
          <w:tcPr>
            <w:tcW w:w="1611" w:type="dxa"/>
            <w:shd w:val="clear" w:color="auto" w:fill="DEEAF6" w:themeFill="accent5" w:themeFillTint="33"/>
          </w:tcPr>
          <w:p w14:paraId="389CED3A" w14:textId="77777777" w:rsidR="00E44B55" w:rsidRPr="00E07D0F" w:rsidRDefault="00E44B55" w:rsidP="00757C86">
            <w:pPr>
              <w:rPr>
                <w:rFonts w:ascii="Times New Roman" w:hAnsi="Times New Roman" w:cs="Times New Roman"/>
                <w:b/>
                <w:bCs/>
                <w:sz w:val="24"/>
                <w:szCs w:val="24"/>
              </w:rPr>
            </w:pPr>
            <w:r w:rsidRPr="00E07D0F">
              <w:rPr>
                <w:rFonts w:ascii="Times New Roman" w:hAnsi="Times New Roman" w:cs="Times New Roman"/>
                <w:b/>
                <w:bCs/>
                <w:sz w:val="24"/>
                <w:szCs w:val="24"/>
              </w:rPr>
              <w:t>Location</w:t>
            </w:r>
          </w:p>
        </w:tc>
        <w:tc>
          <w:tcPr>
            <w:tcW w:w="2092" w:type="dxa"/>
            <w:shd w:val="clear" w:color="auto" w:fill="DEEAF6" w:themeFill="accent5" w:themeFillTint="33"/>
          </w:tcPr>
          <w:p w14:paraId="7745ACD3" w14:textId="77777777" w:rsidR="00E44B55" w:rsidRPr="00E07D0F" w:rsidRDefault="00E44B55" w:rsidP="00757C86">
            <w:pPr>
              <w:rPr>
                <w:rFonts w:ascii="Times New Roman" w:hAnsi="Times New Roman" w:cs="Times New Roman"/>
                <w:sz w:val="24"/>
                <w:szCs w:val="24"/>
              </w:rPr>
            </w:pPr>
            <w:r w:rsidRPr="00E07D0F">
              <w:rPr>
                <w:rFonts w:ascii="Times New Roman" w:hAnsi="Times New Roman" w:cs="Times New Roman"/>
                <w:b/>
                <w:bCs/>
                <w:sz w:val="24"/>
                <w:szCs w:val="24"/>
              </w:rPr>
              <w:t>Cost in paper per school</w:t>
            </w:r>
          </w:p>
        </w:tc>
        <w:tc>
          <w:tcPr>
            <w:tcW w:w="1785" w:type="dxa"/>
            <w:shd w:val="clear" w:color="auto" w:fill="DEEAF6" w:themeFill="accent5" w:themeFillTint="33"/>
          </w:tcPr>
          <w:p w14:paraId="470403ED" w14:textId="77777777" w:rsidR="00E44B55" w:rsidRPr="00E07D0F" w:rsidRDefault="00E44B55" w:rsidP="00757C86">
            <w:pPr>
              <w:rPr>
                <w:rFonts w:ascii="Times New Roman" w:hAnsi="Times New Roman" w:cs="Times New Roman"/>
                <w:b/>
                <w:bCs/>
                <w:sz w:val="24"/>
                <w:szCs w:val="24"/>
              </w:rPr>
            </w:pPr>
            <w:r w:rsidRPr="00E07D0F">
              <w:rPr>
                <w:rFonts w:ascii="Times New Roman" w:hAnsi="Times New Roman" w:cs="Times New Roman"/>
                <w:b/>
                <w:bCs/>
                <w:sz w:val="24"/>
                <w:szCs w:val="24"/>
              </w:rPr>
              <w:t>CPI</w:t>
            </w:r>
          </w:p>
        </w:tc>
        <w:tc>
          <w:tcPr>
            <w:tcW w:w="1773" w:type="dxa"/>
            <w:shd w:val="clear" w:color="auto" w:fill="DEEAF6" w:themeFill="accent5" w:themeFillTint="33"/>
          </w:tcPr>
          <w:p w14:paraId="00177CE2" w14:textId="77777777" w:rsidR="00E44B55" w:rsidRPr="00E07D0F" w:rsidRDefault="00E44B55" w:rsidP="00757C86">
            <w:pPr>
              <w:rPr>
                <w:rFonts w:ascii="Times New Roman" w:hAnsi="Times New Roman" w:cs="Times New Roman"/>
                <w:b/>
                <w:bCs/>
                <w:sz w:val="24"/>
                <w:szCs w:val="24"/>
              </w:rPr>
            </w:pPr>
            <w:r w:rsidRPr="00E07D0F">
              <w:rPr>
                <w:rFonts w:ascii="Times New Roman" w:hAnsi="Times New Roman" w:cs="Times New Roman"/>
                <w:b/>
                <w:bCs/>
                <w:sz w:val="24"/>
                <w:szCs w:val="24"/>
              </w:rPr>
              <w:t>PPP</w:t>
            </w:r>
          </w:p>
        </w:tc>
        <w:tc>
          <w:tcPr>
            <w:tcW w:w="1965" w:type="dxa"/>
            <w:shd w:val="clear" w:color="auto" w:fill="DEEAF6" w:themeFill="accent5" w:themeFillTint="33"/>
          </w:tcPr>
          <w:p w14:paraId="201E9F27" w14:textId="77777777" w:rsidR="00E44B55" w:rsidRPr="00E07D0F" w:rsidRDefault="00E44B55" w:rsidP="00757C86">
            <w:pPr>
              <w:rPr>
                <w:rFonts w:ascii="Times New Roman" w:hAnsi="Times New Roman" w:cs="Times New Roman"/>
                <w:b/>
                <w:bCs/>
                <w:sz w:val="24"/>
                <w:szCs w:val="24"/>
              </w:rPr>
            </w:pPr>
            <w:r w:rsidRPr="00E07D0F">
              <w:rPr>
                <w:rFonts w:ascii="Times New Roman" w:hAnsi="Times New Roman" w:cs="Times New Roman"/>
                <w:b/>
                <w:bCs/>
                <w:sz w:val="24"/>
                <w:szCs w:val="24"/>
              </w:rPr>
              <w:t>NZ adjusted cost per student ($)</w:t>
            </w:r>
          </w:p>
        </w:tc>
        <w:tc>
          <w:tcPr>
            <w:tcW w:w="1624" w:type="dxa"/>
            <w:shd w:val="clear" w:color="auto" w:fill="DEEAF6" w:themeFill="accent5" w:themeFillTint="33"/>
          </w:tcPr>
          <w:p w14:paraId="51CC65B9" w14:textId="77777777" w:rsidR="00E44B55" w:rsidRPr="00E07D0F" w:rsidRDefault="00E44B55" w:rsidP="00757C86">
            <w:pPr>
              <w:rPr>
                <w:rFonts w:ascii="Times New Roman" w:hAnsi="Times New Roman" w:cs="Times New Roman"/>
                <w:b/>
                <w:bCs/>
                <w:sz w:val="24"/>
                <w:szCs w:val="24"/>
              </w:rPr>
            </w:pPr>
            <w:r w:rsidRPr="00E07D0F">
              <w:rPr>
                <w:rFonts w:ascii="Times New Roman" w:hAnsi="Times New Roman" w:cs="Times New Roman"/>
                <w:b/>
                <w:bCs/>
                <w:sz w:val="24"/>
                <w:szCs w:val="24"/>
              </w:rPr>
              <w:t>NZ adjusted cost per school ($)</w:t>
            </w:r>
          </w:p>
        </w:tc>
      </w:tr>
      <w:tr w:rsidR="00E44B55" w:rsidRPr="00E07D0F" w14:paraId="4DF05709" w14:textId="77777777" w:rsidTr="00757C86">
        <w:trPr>
          <w:trHeight w:val="750"/>
        </w:trPr>
        <w:tc>
          <w:tcPr>
            <w:tcW w:w="1572" w:type="dxa"/>
            <w:shd w:val="clear" w:color="auto" w:fill="DEEAF6" w:themeFill="accent5" w:themeFillTint="33"/>
          </w:tcPr>
          <w:p w14:paraId="7A2BAC35" w14:textId="77777777" w:rsidR="00E44B55" w:rsidRPr="00E07D0F" w:rsidRDefault="00E44B55" w:rsidP="00757C86">
            <w:pPr>
              <w:rPr>
                <w:rFonts w:ascii="Times New Roman" w:hAnsi="Times New Roman" w:cs="Times New Roman"/>
                <w:b/>
                <w:bCs/>
                <w:sz w:val="24"/>
                <w:szCs w:val="24"/>
              </w:rPr>
            </w:pPr>
            <w:r w:rsidRPr="00E07D0F">
              <w:rPr>
                <w:rFonts w:ascii="Times New Roman" w:hAnsi="Times New Roman" w:cs="Times New Roman"/>
                <w:b/>
                <w:bCs/>
                <w:sz w:val="24"/>
                <w:szCs w:val="24"/>
              </w:rPr>
              <w:t>TAPE</w:t>
            </w:r>
          </w:p>
        </w:tc>
        <w:tc>
          <w:tcPr>
            <w:tcW w:w="2109" w:type="dxa"/>
          </w:tcPr>
          <w:p w14:paraId="787A735F" w14:textId="72CA0240" w:rsidR="00E44B55" w:rsidRPr="00E07D0F" w:rsidRDefault="00E44B55" w:rsidP="00757C86">
            <w:pPr>
              <w:rPr>
                <w:rFonts w:ascii="Times New Roman" w:hAnsi="Times New Roman" w:cs="Times New Roman"/>
                <w:sz w:val="24"/>
                <w:szCs w:val="24"/>
              </w:rPr>
            </w:pPr>
            <w:r>
              <w:rPr>
                <w:rFonts w:ascii="Times New Roman" w:hAnsi="Times New Roman" w:cs="Times New Roman"/>
                <w:sz w:val="24"/>
                <w:szCs w:val="24"/>
              </w:rPr>
              <w:t xml:space="preserve">Lonsdale et al. 2021 </w:t>
            </w:r>
            <w:r w:rsidRPr="00E07D0F">
              <w:rPr>
                <w:rFonts w:ascii="Times New Roman" w:hAnsi="Times New Roman" w:cs="Times New Roman"/>
                <w:sz w:val="24"/>
                <w:szCs w:val="24"/>
              </w:rPr>
              <w:fldChar w:fldCharType="begin" w:fldLock="1"/>
            </w:r>
            <w:r w:rsidR="000C4B09">
              <w:rPr>
                <w:rFonts w:ascii="Times New Roman" w:hAnsi="Times New Roman" w:cs="Times New Roman"/>
                <w:sz w:val="24"/>
                <w:szCs w:val="24"/>
              </w:rPr>
              <w:instrText>ADDIN CSL_CITATION {"citationItems":[{"id":"ITEM-1","itemData":{"DOI":"10.1001/jamapediatrics.2021.0417","ISBN":"1261600073149","ISSN":"21686211","PMID":"33938946","abstract":"Importance: Cardiorespiratory fitness is an important marker of childhood health and low fitness levels are a risk factor for disease later in life. Levels of children's fitness have declined in recent decades. Whether school-based physical activity interventions can increase fitness at the population level remains unclear. Objective: To evaluate the effect of an internet-based intervention on children's cardiorespiratory fitness across a large number of schools. Design, Setting, and Participants: In this cluster randomized clinical trial, 22 government-funded elementary schools (from 137 providing consent) including 1188 students stratified from grades 3 and 4 in New South Wales, Australia, were randomized. The other schools received the intervention but were not included in the analysis. Eleven schools received the internet-based intervention and 11 received the control intervention. Recruitment and baseline testing began in 2016 and ended in 2017. Research assistants, blinded to treatment allocation, completed follow-up outcome assessments at 12 and 24 months. Data were analyzed from July to August 2020. Interventions: The internet-based intervention included standardized online learning for teachers and minimal in-person support from a project mentor (9-10 months). Main Outcomes and Measures: Multistage 20-m shuttle run test for cardiorespiratory fitness. Results: Of 1219 participants (49% girls; mean [SD] age, 8.85 [0.71] years) from 22 schools, 1188 students provided baseline primary outcome data. At 12 months, the number of 20-m shuttle runs increased by 3.32 laps (95% CI, 2.44-4.20 laps) in the intervention schools and 2.11 laps (95% CI, 1.38-2.85 laps) in the control schools (adjusted difference = 1.20 laps; 95% CI, 0.17-2.24 laps). By 24 months, the adjusted difference was 2.22 laps (95% CI, 0.89-3.55 laps). The cost per student was AUD33 (USD26). Conclusions and Relevance: In this study, a school-based intervention improved children's cardiorespiratory fitness when delivered in a large number of schools. The low cost and sustained effect over 24 months of the intervention suggests that it may have potential to be scaled at the population level. Trial Registration: http://anzctr.org.au Identifier: ACTRN12616000731493.","author":[{"dropping-particle":"","family":"Lonsdale","given":"Chris","non-dropping-particle":"","parse-names":false,"suffix":""},{"dropping-particle":"","family":"Sanders","given":"Taren","non-dropping-particle":"","parse-names":false,"suffix":""},{"dropping-particle":"","family":"Parker","given":"Philip","non-dropping-particle":"","parse-names":false,"suffix":""},{"dropping-particle":"","family":"Noetel","given":"Michael","non-dropping-particle":"","parse-names":false,"suffix":""},{"dropping-particle":"","family":"Hartwig","given":"Timothy","non-dropping-particle":"","parse-names":false,"suffix":""},{"dropping-particle":"","family":"Vasconcellos","given":"Diego","non-dropping-particle":"","parse-names":false,"suffix":""},{"dropping-particle":"","family":"Lee","given":"Jane","non-dropping-particle":"","parse-names":false,"suffix":""},{"dropping-particle":"","family":"Antczak","given":"Devan","non-dropping-particle":"","parse-names":false,"suffix":""},{"dropping-particle":"","family":"Kirwan","given":"Morwenna","non-dropping-particle":"","parse-names":false,"suffix":""},{"dropping-particle":"","family":"Morgan","given":"Philip","non-dropping-particle":"","parse-names":false,"suffix":""},{"dropping-particle":"","family":"Salmon","given":"Jo","non-dropping-particle":"","parse-names":false,"suffix":""},{"dropping-particle":"","family":"Moodie","given":"Marj","non-dropping-particle":"","parse-names":false,"suffix":""},{"dropping-particle":"","family":"McKay","given":"Heather","non-dropping-particle":"","parse-names":false,"suffix":""},{"dropping-particle":"","family":"Bennie","given":"Andrew","non-dropping-particle":"","parse-names":false,"suffix":""},{"dropping-particle":"","family":"Plotnikoff","given":"Ronald C.","non-dropping-particle":"","parse-names":false,"suffix":""},{"dropping-particle":"","family":"Cinelli","given":"Renata","non-dropping-particle":"","parse-names":false,"suffix":""},{"dropping-particle":"","family":"Greene","given":"David","non-dropping-particle":"","parse-names":false,"suffix":""},{"dropping-particle":"","family":"Peralta","given":"Louisa","non-dropping-particle":"","parse-names":false,"suffix":""},{"dropping-particle":"","family":"Cliff","given":"Dylan","non-dropping-particle":"","parse-names":false,"suffix":""},{"dropping-particle":"","family":"Kolt","given":"Gregory","non-dropping-particle":"","parse-names":false,"suffix":""},{"dropping-particle":"","family":"Gore","given":"Jennifer","non-dropping-particle":"","parse-names":false,"suffix":""},{"dropping-particle":"","family":"Gao","given":"Lan","non-dropping-particle":"","parse-names":false,"suffix":""},{"dropping-particle":"","family":"Boyer","given":"James","non-dropping-particle":"","parse-names":false,"suffix":""},{"dropping-particle":"","family":"Morrison","given":"Ross","non-dropping-particle":"","parse-names":false,"suffix":""},{"dropping-particle":"","family":"Hillman","given":"Charles","non-dropping-particle":"","parse-names":false,"suffix":""},{"dropping-particle":"","family":"Shigeta","given":"Tatsuya T.","non-dropping-particle":"","parse-names":false,"suffix":""},{"dropping-particle":"","family":"Tan","given":"Elise","non-dropping-particle":"","parse-names":false,"suffix":""},{"dropping-particle":"","family":"Lubans","given":"David R.","non-dropping-particle":"","parse-names":false,"suffix":""}],"container-title":"JAMA Pediatrics","id":"ITEM-1","issue":"7","issued":{"date-parts":[["2021"]]},"note":"The costs for the study.","page":"680-688","title":"Effect of a Scalable School-Based Intervention on Cardiorespiratory Fitness in Children: A Cluster Randomized Clinical Trial","type":"article-journal","volume":"175"},"uris":["http://www.mendeley.com/documents/?uuid=cd5a28b5-b8d1-414a-805e-f15ee744c9eb"]}],"mendeley":{"formattedCitation":"[4]","plainTextFormattedCitation":"[4]","previouslyFormattedCitation":"(4)"},"properties":{"noteIndex":0},"schema":"https://github.com/citation-style-language/schema/raw/master/csl-citation.json"}</w:instrText>
            </w:r>
            <w:r w:rsidRPr="00E07D0F">
              <w:rPr>
                <w:rFonts w:ascii="Times New Roman" w:hAnsi="Times New Roman" w:cs="Times New Roman"/>
                <w:sz w:val="24"/>
                <w:szCs w:val="24"/>
              </w:rPr>
              <w:fldChar w:fldCharType="separate"/>
            </w:r>
            <w:r w:rsidR="000C4B09" w:rsidRPr="000C4B09">
              <w:rPr>
                <w:rFonts w:ascii="Times New Roman" w:hAnsi="Times New Roman" w:cs="Times New Roman"/>
                <w:noProof/>
                <w:sz w:val="24"/>
                <w:szCs w:val="24"/>
              </w:rPr>
              <w:t>[4]</w:t>
            </w:r>
            <w:r w:rsidRPr="00E07D0F">
              <w:rPr>
                <w:rFonts w:ascii="Times New Roman" w:hAnsi="Times New Roman" w:cs="Times New Roman"/>
                <w:sz w:val="24"/>
                <w:szCs w:val="24"/>
              </w:rPr>
              <w:fldChar w:fldCharType="end"/>
            </w:r>
          </w:p>
        </w:tc>
        <w:tc>
          <w:tcPr>
            <w:tcW w:w="1611" w:type="dxa"/>
          </w:tcPr>
          <w:p w14:paraId="0CA9091D" w14:textId="77777777" w:rsidR="00E44B55" w:rsidRPr="00E07D0F" w:rsidRDefault="00E44B55" w:rsidP="00757C86">
            <w:pPr>
              <w:rPr>
                <w:rFonts w:ascii="Times New Roman" w:hAnsi="Times New Roman" w:cs="Times New Roman"/>
                <w:sz w:val="24"/>
                <w:szCs w:val="24"/>
              </w:rPr>
            </w:pPr>
            <w:r w:rsidRPr="00E07D0F">
              <w:rPr>
                <w:rFonts w:ascii="Times New Roman" w:hAnsi="Times New Roman" w:cs="Times New Roman"/>
                <w:sz w:val="24"/>
                <w:szCs w:val="24"/>
              </w:rPr>
              <w:t>AUS</w:t>
            </w:r>
          </w:p>
        </w:tc>
        <w:tc>
          <w:tcPr>
            <w:tcW w:w="2092" w:type="dxa"/>
          </w:tcPr>
          <w:p w14:paraId="4BCF4BEA" w14:textId="5E6FC7C2" w:rsidR="00E44B55" w:rsidRPr="00E07D0F" w:rsidRDefault="00E44B55" w:rsidP="00757C86">
            <w:pPr>
              <w:rPr>
                <w:rFonts w:ascii="Times New Roman" w:hAnsi="Times New Roman" w:cs="Times New Roman"/>
                <w:sz w:val="24"/>
                <w:szCs w:val="24"/>
              </w:rPr>
            </w:pPr>
            <w:r w:rsidRPr="00E07D0F">
              <w:rPr>
                <w:rFonts w:ascii="Times New Roman" w:hAnsi="Times New Roman" w:cs="Times New Roman"/>
                <w:sz w:val="24"/>
                <w:szCs w:val="24"/>
              </w:rPr>
              <w:t>$8064.82 AUD</w:t>
            </w:r>
            <w:r w:rsidR="00603979">
              <w:rPr>
                <w:rFonts w:ascii="Times New Roman" w:hAnsi="Times New Roman" w:cs="Times New Roman"/>
                <w:sz w:val="24"/>
                <w:szCs w:val="24"/>
              </w:rPr>
              <w:t xml:space="preserve"> (in 2021)</w:t>
            </w:r>
          </w:p>
        </w:tc>
        <w:tc>
          <w:tcPr>
            <w:tcW w:w="1785" w:type="dxa"/>
          </w:tcPr>
          <w:p w14:paraId="6AA03A8E" w14:textId="77777777" w:rsidR="00E44B55" w:rsidRPr="00E07D0F" w:rsidRDefault="00E44B55" w:rsidP="00757C86">
            <w:pPr>
              <w:rPr>
                <w:rFonts w:ascii="Times New Roman" w:hAnsi="Times New Roman" w:cs="Times New Roman"/>
                <w:sz w:val="24"/>
                <w:szCs w:val="24"/>
              </w:rPr>
            </w:pPr>
            <w:r w:rsidRPr="00E07D0F">
              <w:rPr>
                <w:rFonts w:ascii="Times New Roman" w:hAnsi="Times New Roman" w:cs="Times New Roman"/>
                <w:sz w:val="24"/>
                <w:szCs w:val="24"/>
              </w:rPr>
              <w:t>110.9</w:t>
            </w:r>
          </w:p>
        </w:tc>
        <w:tc>
          <w:tcPr>
            <w:tcW w:w="1773" w:type="dxa"/>
          </w:tcPr>
          <w:p w14:paraId="1FF33EAB" w14:textId="77777777" w:rsidR="00E44B55" w:rsidRPr="00E07D0F" w:rsidRDefault="00E44B55" w:rsidP="00757C86">
            <w:pPr>
              <w:rPr>
                <w:rFonts w:ascii="Times New Roman" w:hAnsi="Times New Roman" w:cs="Times New Roman"/>
                <w:sz w:val="24"/>
                <w:szCs w:val="24"/>
              </w:rPr>
            </w:pPr>
            <w:r w:rsidRPr="00E07D0F">
              <w:rPr>
                <w:rFonts w:ascii="Times New Roman" w:hAnsi="Times New Roman" w:cs="Times New Roman"/>
                <w:sz w:val="24"/>
                <w:szCs w:val="24"/>
              </w:rPr>
              <w:t>1.46</w:t>
            </w:r>
          </w:p>
        </w:tc>
        <w:tc>
          <w:tcPr>
            <w:tcW w:w="1965" w:type="dxa"/>
          </w:tcPr>
          <w:p w14:paraId="51B7DADF" w14:textId="77777777" w:rsidR="00E44B55" w:rsidRPr="00E07D0F" w:rsidRDefault="00E44B55" w:rsidP="00757C86">
            <w:pPr>
              <w:rPr>
                <w:rFonts w:ascii="Times New Roman" w:hAnsi="Times New Roman" w:cs="Times New Roman"/>
                <w:sz w:val="24"/>
                <w:szCs w:val="24"/>
              </w:rPr>
            </w:pPr>
            <w:r w:rsidRPr="00E07D0F">
              <w:rPr>
                <w:rFonts w:ascii="Times New Roman" w:hAnsi="Times New Roman" w:cs="Times New Roman"/>
                <w:sz w:val="24"/>
                <w:szCs w:val="24"/>
              </w:rPr>
              <w:t>7588.54/740</w:t>
            </w:r>
          </w:p>
          <w:p w14:paraId="1554720F" w14:textId="77777777" w:rsidR="00E44B55" w:rsidRPr="00E07D0F" w:rsidRDefault="00E44B55" w:rsidP="00757C86">
            <w:pPr>
              <w:rPr>
                <w:rFonts w:ascii="Times New Roman" w:hAnsi="Times New Roman" w:cs="Times New Roman"/>
                <w:sz w:val="24"/>
                <w:szCs w:val="24"/>
                <w:u w:val="single"/>
              </w:rPr>
            </w:pPr>
            <w:r w:rsidRPr="00E07D0F">
              <w:rPr>
                <w:rFonts w:ascii="Times New Roman" w:hAnsi="Times New Roman" w:cs="Times New Roman"/>
                <w:sz w:val="24"/>
                <w:szCs w:val="24"/>
              </w:rPr>
              <w:t xml:space="preserve">= </w:t>
            </w:r>
            <w:r w:rsidRPr="00E07D0F">
              <w:rPr>
                <w:rFonts w:ascii="Times New Roman" w:hAnsi="Times New Roman" w:cs="Times New Roman"/>
                <w:sz w:val="24"/>
                <w:szCs w:val="24"/>
                <w:u w:val="single"/>
              </w:rPr>
              <w:t>10.25</w:t>
            </w:r>
          </w:p>
        </w:tc>
        <w:tc>
          <w:tcPr>
            <w:tcW w:w="1624" w:type="dxa"/>
          </w:tcPr>
          <w:p w14:paraId="63A86324" w14:textId="77777777" w:rsidR="00E44B55" w:rsidRPr="00E07D0F" w:rsidRDefault="00E44B55" w:rsidP="00757C86">
            <w:pPr>
              <w:rPr>
                <w:rFonts w:ascii="Times New Roman" w:hAnsi="Times New Roman" w:cs="Times New Roman"/>
                <w:sz w:val="24"/>
                <w:szCs w:val="24"/>
                <w:u w:val="single"/>
              </w:rPr>
            </w:pPr>
            <w:r w:rsidRPr="00E07D0F">
              <w:rPr>
                <w:rFonts w:ascii="Times New Roman" w:hAnsi="Times New Roman" w:cs="Times New Roman"/>
                <w:sz w:val="24"/>
                <w:szCs w:val="24"/>
                <w:u w:val="single"/>
              </w:rPr>
              <w:t>7588.54</w:t>
            </w:r>
          </w:p>
        </w:tc>
      </w:tr>
      <w:tr w:rsidR="00E44B55" w:rsidRPr="00E07D0F" w14:paraId="068725F1" w14:textId="77777777" w:rsidTr="00757C86">
        <w:trPr>
          <w:trHeight w:val="916"/>
        </w:trPr>
        <w:tc>
          <w:tcPr>
            <w:tcW w:w="1572" w:type="dxa"/>
            <w:shd w:val="clear" w:color="auto" w:fill="DEEAF6" w:themeFill="accent5" w:themeFillTint="33"/>
          </w:tcPr>
          <w:p w14:paraId="1847D0E2" w14:textId="77777777" w:rsidR="00E44B55" w:rsidRPr="00E07D0F" w:rsidRDefault="00E44B55" w:rsidP="00757C86">
            <w:pPr>
              <w:rPr>
                <w:rFonts w:ascii="Times New Roman" w:hAnsi="Times New Roman" w:cs="Times New Roman"/>
                <w:b/>
                <w:bCs/>
                <w:sz w:val="24"/>
                <w:szCs w:val="24"/>
              </w:rPr>
            </w:pPr>
            <w:r w:rsidRPr="00E07D0F">
              <w:rPr>
                <w:rFonts w:ascii="Times New Roman" w:hAnsi="Times New Roman" w:cs="Times New Roman"/>
                <w:b/>
                <w:bCs/>
                <w:sz w:val="24"/>
                <w:szCs w:val="24"/>
              </w:rPr>
              <w:t>PL</w:t>
            </w:r>
          </w:p>
        </w:tc>
        <w:tc>
          <w:tcPr>
            <w:tcW w:w="2109" w:type="dxa"/>
          </w:tcPr>
          <w:p w14:paraId="16253510" w14:textId="20B5BC53" w:rsidR="00E44B55" w:rsidRPr="00E07D0F" w:rsidRDefault="00E44B55" w:rsidP="00757C86">
            <w:pPr>
              <w:rPr>
                <w:rFonts w:ascii="Times New Roman" w:hAnsi="Times New Roman" w:cs="Times New Roman"/>
                <w:sz w:val="24"/>
                <w:szCs w:val="24"/>
              </w:rPr>
            </w:pPr>
            <w:r>
              <w:rPr>
                <w:rFonts w:ascii="Times New Roman" w:hAnsi="Times New Roman" w:cs="Times New Roman"/>
                <w:sz w:val="24"/>
                <w:szCs w:val="24"/>
              </w:rPr>
              <w:t xml:space="preserve">Corder et al. 2020 </w:t>
            </w:r>
            <w:r w:rsidRPr="00E07D0F">
              <w:rPr>
                <w:rFonts w:ascii="Times New Roman" w:hAnsi="Times New Roman" w:cs="Times New Roman"/>
                <w:sz w:val="24"/>
                <w:szCs w:val="24"/>
              </w:rPr>
              <w:fldChar w:fldCharType="begin" w:fldLock="1"/>
            </w:r>
            <w:r w:rsidR="000C4B09">
              <w:rPr>
                <w:rFonts w:ascii="Times New Roman" w:hAnsi="Times New Roman" w:cs="Times New Roman"/>
                <w:sz w:val="24"/>
                <w:szCs w:val="24"/>
              </w:rPr>
              <w:instrText>ADDIN CSL_CITATION {"citationItems":[{"id":"ITEM-1","itemData":{"DOI":"10.1371/journal.pmed.1003210","ISBN":"1111111111","ISSN":"15491676","PMID":"32701954","abstract":"Background Less than 20% of adolescents globally meet recommended levels of physical activity, and not meeting these recommended levels is associated with social disadvantage and rising disease risk. The determinants of physical activity in adolescents are multilevel and poorly understood, but the school’s social environment likely plays an important role. We conducted a cluster randomised controlled trial to assess the effectiveness of a school-based programme (GoActive) to increase moderate-to-vigorous physical activity (MVPA) among adolescents. Methods and findings Non-fee-paying, co-educational schools including Year 9 students in the UK counties of Cambridgeshire and Essex were eligible for inclusion. Within participating schools (n = 16), all Year 9 students were eligible and invited to participate. Participants were 2,862 13- to 14-year-olds (84% of eligible students). After baseline assessment, schools were computer-randomised, stratified by school-level pupil premium funding (below/above county-specific median) and county (control: 8 schools, 1,319 participants, mean [SD] participants per school n = 165 [62]; intervention: 8 schools, 1,543 participants, n = 193 [43]). Measurement staff were blinded to allocation. The iteratively developed, feasibility-tested 12-week intervention, aligned with self-determination theory, trained older adolescent mentors and in-class peer-leaders to encourage classes to conduct 2 new weekly activities. Students and classes gained points and rewards for engaging in any activity in or out of school. The primary outcome was average daily minutes of accelerometer-assessed MVPA at 10-month follow-up; a mixed-methods process evaluation evaluated implementation. Of 2,862 recruited participants (52.1% male), 2,167 (76%) attended 10-month follow-up measurements; we analysed the primary outcome for 1,874 participants (65.5%). At 10 months, there was a mean (SD) decrease in MVPA of 8.3 (19.3) minutes in the control group and 10.4 (22.7) minutes in the intervention group (baseline-adjusted difference [95% confidence interval] −1.91 minutes [−5.53 to 1.70], p = 0.316). The programme cost £13 per student compared with control; it was not cost-effective. Overall, 62.9% of students and 87.3% of mentors reported that GoActive was fun. Teachers and mentors commented that their roles in programme delivery were unclear. Implementation fidelity was low. The main methodological limitation of this study was the relatively affluent and e…","author":[{"dropping-particle":"","family":"Corder","given":"Kirsten","non-dropping-particle":"","parse-names":false,"suffix":""},{"dropping-particle":"","family":"Sharp","given":"Stephen J.","non-dropping-particle":"","parse-names":false,"suffix":""},{"dropping-particle":"","family":"Jong","given":"Stephanie T.","non-dropping-particle":"","parse-names":false,"suffix":""},{"dropping-particle":"","family":"Foubister","given":"Campbell","non-dropping-particle":"","parse-names":false,"suffix":""},{"dropping-particle":"","family":"Brown","given":"Helen Elizabeth","non-dropping-particle":"","parse-names":false,"suffix":""},{"dropping-particle":"","family":"Wells","given":"Emma K.","non-dropping-particle":"","parse-names":false,"suffix":""},{"dropping-particle":"","family":"Armitage","given":"Sofie M.","non-dropping-particle":"","parse-names":false,"suffix":""},{"dropping-particle":"","family":"Croxson","given":"Caroline H.D.","non-dropping-particle":"","parse-names":false,"suffix":""},{"dropping-particle":"","family":"Vignoles","given":"Anna","non-dropping-particle":"","parse-names":false,"suffix":""},{"dropping-particle":"","family":"Wilkinson","given":"Paul O.","non-dropping-particle":"","parse-names":false,"suffix":""},{"dropping-particle":"","family":"Wilson","given":"Edward C.F.","non-dropping-particle":"","parse-names":false,"suffix":""},{"dropping-particle":"","family":"Sluijs","given":"Esther M.F.","non-dropping-particle":"van","parse-names":false,"suffix":""}],"container-title":"PLoS Medicine","id":"ITEM-1","issue":"7","issued":{"date-parts":[["2020"]]},"note":"An updated use of the intervention, no significant results, but good pricing e.t.c","title":"Effectiveness and cost-effectiveness of the GoActive intervention to increase physical activity among UK adolescents: A cluster randomised controlled trial","type":"article-journal","volume":"17"},"uris":["http://www.mendeley.com/documents/?uuid=1c7e1530-e4ed-41b8-a957-863c3bf84912"]}],"mendeley":{"formattedCitation":"[5]","plainTextFormattedCitation":"[5]","previouslyFormattedCitation":"(5)"},"properties":{"noteIndex":0},"schema":"https://github.com/citation-style-language/schema/raw/master/csl-citation.json"}</w:instrText>
            </w:r>
            <w:r w:rsidRPr="00E07D0F">
              <w:rPr>
                <w:rFonts w:ascii="Times New Roman" w:hAnsi="Times New Roman" w:cs="Times New Roman"/>
                <w:sz w:val="24"/>
                <w:szCs w:val="24"/>
              </w:rPr>
              <w:fldChar w:fldCharType="separate"/>
            </w:r>
            <w:r w:rsidR="000C4B09" w:rsidRPr="000C4B09">
              <w:rPr>
                <w:rFonts w:ascii="Times New Roman" w:hAnsi="Times New Roman" w:cs="Times New Roman"/>
                <w:noProof/>
                <w:sz w:val="24"/>
                <w:szCs w:val="24"/>
              </w:rPr>
              <w:t>[5]</w:t>
            </w:r>
            <w:r w:rsidRPr="00E07D0F">
              <w:rPr>
                <w:rFonts w:ascii="Times New Roman" w:hAnsi="Times New Roman" w:cs="Times New Roman"/>
                <w:sz w:val="24"/>
                <w:szCs w:val="24"/>
              </w:rPr>
              <w:fldChar w:fldCharType="end"/>
            </w:r>
            <w:r w:rsidRPr="00E07D0F">
              <w:rPr>
                <w:rFonts w:ascii="Times New Roman" w:hAnsi="Times New Roman" w:cs="Times New Roman"/>
                <w:sz w:val="24"/>
                <w:szCs w:val="24"/>
              </w:rPr>
              <w:t xml:space="preserve"> (</w:t>
            </w:r>
            <w:r>
              <w:rPr>
                <w:rFonts w:ascii="Times New Roman" w:hAnsi="Times New Roman" w:cs="Times New Roman"/>
                <w:sz w:val="24"/>
                <w:szCs w:val="24"/>
              </w:rPr>
              <w:t>2019 costs reported)</w:t>
            </w:r>
          </w:p>
        </w:tc>
        <w:tc>
          <w:tcPr>
            <w:tcW w:w="1611" w:type="dxa"/>
          </w:tcPr>
          <w:p w14:paraId="2C715AD0" w14:textId="77777777" w:rsidR="00E44B55" w:rsidRPr="00E07D0F" w:rsidRDefault="00E44B55" w:rsidP="00757C86">
            <w:pPr>
              <w:rPr>
                <w:rFonts w:ascii="Times New Roman" w:hAnsi="Times New Roman" w:cs="Times New Roman"/>
                <w:sz w:val="24"/>
                <w:szCs w:val="24"/>
              </w:rPr>
            </w:pPr>
            <w:r w:rsidRPr="00E07D0F">
              <w:rPr>
                <w:rFonts w:ascii="Times New Roman" w:hAnsi="Times New Roman" w:cs="Times New Roman"/>
                <w:sz w:val="24"/>
                <w:szCs w:val="24"/>
              </w:rPr>
              <w:t>UK</w:t>
            </w:r>
          </w:p>
        </w:tc>
        <w:tc>
          <w:tcPr>
            <w:tcW w:w="2092" w:type="dxa"/>
          </w:tcPr>
          <w:p w14:paraId="13B5B9A7" w14:textId="488D3441" w:rsidR="00E44B55" w:rsidRPr="00E07D0F" w:rsidRDefault="00E44B55" w:rsidP="00757C86">
            <w:pPr>
              <w:rPr>
                <w:rFonts w:ascii="Times New Roman" w:hAnsi="Times New Roman" w:cs="Times New Roman"/>
                <w:sz w:val="24"/>
                <w:szCs w:val="24"/>
              </w:rPr>
            </w:pPr>
            <w:r w:rsidRPr="00E07D0F">
              <w:rPr>
                <w:rFonts w:ascii="Times New Roman" w:hAnsi="Times New Roman" w:cs="Times New Roman"/>
                <w:sz w:val="24"/>
                <w:szCs w:val="24"/>
              </w:rPr>
              <w:t>£2520 pounds</w:t>
            </w:r>
            <w:r w:rsidR="00603979">
              <w:rPr>
                <w:rFonts w:ascii="Times New Roman" w:hAnsi="Times New Roman" w:cs="Times New Roman"/>
                <w:sz w:val="24"/>
                <w:szCs w:val="24"/>
              </w:rPr>
              <w:t xml:space="preserve"> (in 2019)</w:t>
            </w:r>
          </w:p>
        </w:tc>
        <w:tc>
          <w:tcPr>
            <w:tcW w:w="1785" w:type="dxa"/>
          </w:tcPr>
          <w:p w14:paraId="3D9FF836" w14:textId="77777777" w:rsidR="00E44B55" w:rsidRPr="00E07D0F" w:rsidRDefault="00E44B55" w:rsidP="00757C86">
            <w:pPr>
              <w:rPr>
                <w:rFonts w:ascii="Times New Roman" w:hAnsi="Times New Roman" w:cs="Times New Roman"/>
                <w:sz w:val="24"/>
                <w:szCs w:val="24"/>
              </w:rPr>
            </w:pPr>
            <w:r w:rsidRPr="00E07D0F">
              <w:rPr>
                <w:rFonts w:ascii="Times New Roman" w:hAnsi="Times New Roman" w:cs="Times New Roman"/>
                <w:sz w:val="24"/>
                <w:szCs w:val="24"/>
              </w:rPr>
              <w:t>107.8</w:t>
            </w:r>
          </w:p>
        </w:tc>
        <w:tc>
          <w:tcPr>
            <w:tcW w:w="1773" w:type="dxa"/>
          </w:tcPr>
          <w:p w14:paraId="3D020077" w14:textId="77777777" w:rsidR="00E44B55" w:rsidRPr="00E07D0F" w:rsidRDefault="00E44B55" w:rsidP="00757C86">
            <w:pPr>
              <w:rPr>
                <w:rFonts w:ascii="Times New Roman" w:hAnsi="Times New Roman" w:cs="Times New Roman"/>
                <w:sz w:val="24"/>
                <w:szCs w:val="24"/>
              </w:rPr>
            </w:pPr>
            <w:r w:rsidRPr="00E07D0F">
              <w:rPr>
                <w:rFonts w:ascii="Times New Roman" w:hAnsi="Times New Roman" w:cs="Times New Roman"/>
                <w:sz w:val="24"/>
                <w:szCs w:val="24"/>
              </w:rPr>
              <w:t>0.67</w:t>
            </w:r>
          </w:p>
        </w:tc>
        <w:tc>
          <w:tcPr>
            <w:tcW w:w="1965" w:type="dxa"/>
          </w:tcPr>
          <w:p w14:paraId="10D8AEB3" w14:textId="77777777" w:rsidR="00E44B55" w:rsidRPr="00E07D0F" w:rsidRDefault="00E44B55" w:rsidP="00757C86">
            <w:pPr>
              <w:rPr>
                <w:rFonts w:ascii="Times New Roman" w:hAnsi="Times New Roman" w:cs="Times New Roman"/>
                <w:sz w:val="24"/>
                <w:szCs w:val="24"/>
              </w:rPr>
            </w:pPr>
            <w:r w:rsidRPr="00E07D0F">
              <w:rPr>
                <w:rFonts w:ascii="Times New Roman" w:hAnsi="Times New Roman" w:cs="Times New Roman"/>
                <w:sz w:val="24"/>
                <w:szCs w:val="24"/>
              </w:rPr>
              <w:t>5315.64/740</w:t>
            </w:r>
          </w:p>
          <w:p w14:paraId="63B2B7DB" w14:textId="77777777" w:rsidR="00E44B55" w:rsidRPr="00E07D0F" w:rsidRDefault="00E44B55" w:rsidP="00757C86">
            <w:pPr>
              <w:rPr>
                <w:rFonts w:ascii="Times New Roman" w:hAnsi="Times New Roman" w:cs="Times New Roman"/>
                <w:sz w:val="24"/>
                <w:szCs w:val="24"/>
              </w:rPr>
            </w:pPr>
            <w:r w:rsidRPr="00E07D0F">
              <w:rPr>
                <w:rFonts w:ascii="Times New Roman" w:hAnsi="Times New Roman" w:cs="Times New Roman"/>
                <w:sz w:val="24"/>
                <w:szCs w:val="24"/>
              </w:rPr>
              <w:t xml:space="preserve">= </w:t>
            </w:r>
            <w:r w:rsidRPr="00E07D0F">
              <w:rPr>
                <w:rFonts w:ascii="Times New Roman" w:hAnsi="Times New Roman" w:cs="Times New Roman"/>
                <w:sz w:val="24"/>
                <w:szCs w:val="24"/>
                <w:u w:val="single"/>
              </w:rPr>
              <w:t>7.18</w:t>
            </w:r>
          </w:p>
        </w:tc>
        <w:tc>
          <w:tcPr>
            <w:tcW w:w="1624" w:type="dxa"/>
          </w:tcPr>
          <w:p w14:paraId="5A443A8D" w14:textId="77777777" w:rsidR="00E44B55" w:rsidRPr="00E07D0F" w:rsidRDefault="00E44B55" w:rsidP="00757C86">
            <w:pPr>
              <w:rPr>
                <w:rFonts w:ascii="Times New Roman" w:hAnsi="Times New Roman" w:cs="Times New Roman"/>
                <w:sz w:val="24"/>
                <w:szCs w:val="24"/>
                <w:u w:val="single"/>
              </w:rPr>
            </w:pPr>
            <w:r w:rsidRPr="00E07D0F">
              <w:rPr>
                <w:rFonts w:ascii="Times New Roman" w:hAnsi="Times New Roman" w:cs="Times New Roman"/>
                <w:sz w:val="24"/>
                <w:szCs w:val="24"/>
                <w:u w:val="single"/>
              </w:rPr>
              <w:t>5315.64</w:t>
            </w:r>
          </w:p>
        </w:tc>
      </w:tr>
      <w:tr w:rsidR="00E44B55" w:rsidRPr="00E07D0F" w14:paraId="46D1A302" w14:textId="77777777" w:rsidTr="00757C86">
        <w:trPr>
          <w:trHeight w:val="126"/>
        </w:trPr>
        <w:tc>
          <w:tcPr>
            <w:tcW w:w="1572" w:type="dxa"/>
            <w:vMerge w:val="restart"/>
            <w:shd w:val="clear" w:color="auto" w:fill="DEEAF6" w:themeFill="accent5" w:themeFillTint="33"/>
          </w:tcPr>
          <w:p w14:paraId="09C7458D" w14:textId="77777777" w:rsidR="00E44B55" w:rsidRPr="00E07D0F" w:rsidRDefault="00E44B55" w:rsidP="00757C86">
            <w:pPr>
              <w:rPr>
                <w:rFonts w:ascii="Times New Roman" w:hAnsi="Times New Roman" w:cs="Times New Roman"/>
                <w:b/>
                <w:bCs/>
                <w:sz w:val="24"/>
                <w:szCs w:val="24"/>
              </w:rPr>
            </w:pPr>
            <w:r w:rsidRPr="00E07D0F">
              <w:rPr>
                <w:rFonts w:ascii="Times New Roman" w:hAnsi="Times New Roman" w:cs="Times New Roman"/>
                <w:b/>
                <w:bCs/>
                <w:sz w:val="24"/>
                <w:szCs w:val="24"/>
              </w:rPr>
              <w:t>PAL</w:t>
            </w:r>
          </w:p>
        </w:tc>
        <w:tc>
          <w:tcPr>
            <w:tcW w:w="2109" w:type="dxa"/>
          </w:tcPr>
          <w:p w14:paraId="3CC3F223" w14:textId="010D94EF" w:rsidR="00E44B55" w:rsidRPr="00E07D0F" w:rsidRDefault="00E44B55" w:rsidP="00757C86">
            <w:pPr>
              <w:rPr>
                <w:rFonts w:ascii="Times New Roman" w:hAnsi="Times New Roman" w:cs="Times New Roman"/>
                <w:sz w:val="24"/>
                <w:szCs w:val="24"/>
              </w:rPr>
            </w:pPr>
            <w:r>
              <w:rPr>
                <w:rFonts w:ascii="Times New Roman" w:hAnsi="Times New Roman" w:cs="Times New Roman"/>
                <w:sz w:val="24"/>
                <w:szCs w:val="24"/>
              </w:rPr>
              <w:t xml:space="preserve">H.E. Erwin et al. 2011 </w:t>
            </w:r>
            <w:r w:rsidRPr="00E07D0F">
              <w:rPr>
                <w:rFonts w:ascii="Times New Roman" w:hAnsi="Times New Roman" w:cs="Times New Roman"/>
                <w:sz w:val="24"/>
                <w:szCs w:val="24"/>
              </w:rPr>
              <w:fldChar w:fldCharType="begin" w:fldLock="1"/>
            </w:r>
            <w:r w:rsidR="000C4B09">
              <w:rPr>
                <w:rFonts w:ascii="Times New Roman" w:hAnsi="Times New Roman" w:cs="Times New Roman"/>
                <w:sz w:val="24"/>
                <w:szCs w:val="24"/>
              </w:rPr>
              <w:instrText>ADDIN CSL_CITATION {"citationItems":[{"id":"ITEM-1","itemData":{"DOI":"10.1111/j.1746-1561.2011.00614.x","ISSN":"00224391","PMID":"21740430","abstract":"Background: Effective physical activity (PA) interventions are warranted for youth, and schools have been identified as logical locations for such involvement. Experts and professionals in the field promote comprehensive school PA programs, including classroom PA. The purpose of this study was to determine the effect of a low-cost, teacher-directed classroom-based intervention on the school PA of elementary children. Methods: Nine classroom teachers were provided inexpensive curricula and trained to implement and instruct PA breaks (2 × 30 minute training sessions). The teachers were encouraged to lead 1 activity break per day after the training. One hundred and six elementary students wore pedometers up to 12 days over 3 monitoring periods during the school year (baseline, follow-up, post follow-up) to assess the effectiveness and the sustainability of the intervention. The teachers self-reported the frequency of activity breaks instructed. Results: The teachers (n = 5) who complied with the recommended 1 activity break per day had students who accrued ~33% more mean school steps/day at follow-up (~1100) and post follow-up (~1350) compared to controls. Teachers (n = 4) in the intervention who did not comply with the 1 activity break per day recommendation had students accrue similar mean school steps/day as controls. Conclusion: Inexpensive, teacher-directed classroom-based PA interventions can be effective in improving children's PA levels if teachers implement 1 activity break per school day. We recommend promoting the notion of 1 activity break per day in the classroom as part of a comprehensive school PA program that includes quality physical education, recess, and before/after school programs. © 2011, American School Health Association.","author":[{"dropping-particle":"","family":"Erwin","given":"Heather E.","non-dropping-particle":"","parse-names":false,"suffix":""},{"dropping-particle":"","family":"Beighle","given":"Aaron","non-dropping-particle":"","parse-names":false,"suffix":""},{"dropping-particle":"","family":"Morgan","given":"Charles F.","non-dropping-particle":"","parse-names":false,"suffix":""},{"dropping-particle":"","family":"Noland","given":"Melody","non-dropping-particle":"","parse-names":false,"suffix":""}],"container-title":"Journal of School Health","id":"ITEM-1","issue":"8","issued":{"date-parts":[["2011"]]},"note":"Example of cost of materials for PAL.","page":"455-461","title":"Effect of a low-cost, teacher-directed classroom intervention on elementary students' physical activity","type":"article-journal","volume":"81"},"uris":["http://www.mendeley.com/documents/?uuid=3b639ec3-7834-449b-9f16-674111ef3e28"]}],"mendeley":{"formattedCitation":"[6]","plainTextFormattedCitation":"[6]","previouslyFormattedCitation":"(6)"},"properties":{"noteIndex":0},"schema":"https://github.com/citation-style-language/schema/raw/master/csl-citation.json"}</w:instrText>
            </w:r>
            <w:r w:rsidRPr="00E07D0F">
              <w:rPr>
                <w:rFonts w:ascii="Times New Roman" w:hAnsi="Times New Roman" w:cs="Times New Roman"/>
                <w:sz w:val="24"/>
                <w:szCs w:val="24"/>
              </w:rPr>
              <w:fldChar w:fldCharType="separate"/>
            </w:r>
            <w:r w:rsidR="000C4B09" w:rsidRPr="000C4B09">
              <w:rPr>
                <w:rFonts w:ascii="Times New Roman" w:hAnsi="Times New Roman" w:cs="Times New Roman"/>
                <w:noProof/>
                <w:sz w:val="24"/>
                <w:szCs w:val="24"/>
              </w:rPr>
              <w:t>[6]</w:t>
            </w:r>
            <w:r w:rsidRPr="00E07D0F">
              <w:rPr>
                <w:rFonts w:ascii="Times New Roman" w:hAnsi="Times New Roman" w:cs="Times New Roman"/>
                <w:sz w:val="24"/>
                <w:szCs w:val="24"/>
              </w:rPr>
              <w:fldChar w:fldCharType="end"/>
            </w:r>
          </w:p>
        </w:tc>
        <w:tc>
          <w:tcPr>
            <w:tcW w:w="1611" w:type="dxa"/>
          </w:tcPr>
          <w:p w14:paraId="442D003B" w14:textId="77777777" w:rsidR="00E44B55" w:rsidRPr="00E07D0F" w:rsidRDefault="00E44B55" w:rsidP="00757C86">
            <w:pPr>
              <w:rPr>
                <w:rFonts w:ascii="Times New Roman" w:hAnsi="Times New Roman" w:cs="Times New Roman"/>
                <w:sz w:val="24"/>
                <w:szCs w:val="24"/>
              </w:rPr>
            </w:pPr>
            <w:r w:rsidRPr="00E07D0F">
              <w:rPr>
                <w:rFonts w:ascii="Times New Roman" w:hAnsi="Times New Roman" w:cs="Times New Roman"/>
                <w:sz w:val="24"/>
                <w:szCs w:val="24"/>
              </w:rPr>
              <w:t>US</w:t>
            </w:r>
          </w:p>
        </w:tc>
        <w:tc>
          <w:tcPr>
            <w:tcW w:w="2092" w:type="dxa"/>
          </w:tcPr>
          <w:p w14:paraId="0D6EB745" w14:textId="5650DD5E" w:rsidR="00E44B55" w:rsidRPr="00E07D0F" w:rsidRDefault="00E44B55" w:rsidP="00757C86">
            <w:pPr>
              <w:rPr>
                <w:rFonts w:ascii="Times New Roman" w:hAnsi="Times New Roman" w:cs="Times New Roman"/>
                <w:sz w:val="24"/>
                <w:szCs w:val="24"/>
              </w:rPr>
            </w:pPr>
            <w:r w:rsidRPr="00E07D0F">
              <w:rPr>
                <w:rFonts w:ascii="Times New Roman" w:hAnsi="Times New Roman" w:cs="Times New Roman"/>
                <w:sz w:val="24"/>
                <w:szCs w:val="24"/>
              </w:rPr>
              <w:t>$180 USD</w:t>
            </w:r>
            <w:r w:rsidR="00603979">
              <w:rPr>
                <w:rFonts w:ascii="Times New Roman" w:hAnsi="Times New Roman" w:cs="Times New Roman"/>
                <w:sz w:val="24"/>
                <w:szCs w:val="24"/>
              </w:rPr>
              <w:t xml:space="preserve"> (in 2011)</w:t>
            </w:r>
          </w:p>
        </w:tc>
        <w:tc>
          <w:tcPr>
            <w:tcW w:w="1785" w:type="dxa"/>
          </w:tcPr>
          <w:p w14:paraId="6B7991C1" w14:textId="77777777" w:rsidR="00E44B55" w:rsidRPr="00E07D0F" w:rsidRDefault="00E44B55" w:rsidP="00757C86">
            <w:pPr>
              <w:rPr>
                <w:rFonts w:ascii="Times New Roman" w:hAnsi="Times New Roman" w:cs="Times New Roman"/>
                <w:sz w:val="24"/>
                <w:szCs w:val="24"/>
              </w:rPr>
            </w:pPr>
            <w:r w:rsidRPr="00E07D0F">
              <w:rPr>
                <w:rFonts w:ascii="Times New Roman" w:hAnsi="Times New Roman" w:cs="Times New Roman"/>
                <w:sz w:val="24"/>
                <w:szCs w:val="24"/>
              </w:rPr>
              <w:t>94.9</w:t>
            </w:r>
          </w:p>
        </w:tc>
        <w:tc>
          <w:tcPr>
            <w:tcW w:w="1773" w:type="dxa"/>
          </w:tcPr>
          <w:p w14:paraId="31D98217" w14:textId="77777777" w:rsidR="00E44B55" w:rsidRPr="00E07D0F" w:rsidRDefault="00E44B55" w:rsidP="00757C86">
            <w:pPr>
              <w:rPr>
                <w:rFonts w:ascii="Times New Roman" w:hAnsi="Times New Roman" w:cs="Times New Roman"/>
                <w:sz w:val="24"/>
                <w:szCs w:val="24"/>
              </w:rPr>
            </w:pPr>
            <w:r w:rsidRPr="00E07D0F">
              <w:rPr>
                <w:rFonts w:ascii="Times New Roman" w:hAnsi="Times New Roman" w:cs="Times New Roman"/>
                <w:sz w:val="24"/>
                <w:szCs w:val="24"/>
              </w:rPr>
              <w:t>1</w:t>
            </w:r>
          </w:p>
        </w:tc>
        <w:tc>
          <w:tcPr>
            <w:tcW w:w="1965" w:type="dxa"/>
          </w:tcPr>
          <w:p w14:paraId="00607245" w14:textId="77777777" w:rsidR="00E44B55" w:rsidRPr="00E07D0F" w:rsidRDefault="00E44B55" w:rsidP="00757C86">
            <w:pPr>
              <w:rPr>
                <w:rFonts w:ascii="Times New Roman" w:hAnsi="Times New Roman" w:cs="Times New Roman"/>
                <w:sz w:val="24"/>
                <w:szCs w:val="24"/>
              </w:rPr>
            </w:pPr>
            <w:r w:rsidRPr="00E07D0F">
              <w:rPr>
                <w:rFonts w:ascii="Times New Roman" w:hAnsi="Times New Roman" w:cs="Times New Roman"/>
                <w:sz w:val="24"/>
                <w:szCs w:val="24"/>
              </w:rPr>
              <w:t>289/740</w:t>
            </w:r>
          </w:p>
          <w:p w14:paraId="0F0C603D" w14:textId="77777777" w:rsidR="00E44B55" w:rsidRPr="00E07D0F" w:rsidRDefault="00E44B55" w:rsidP="00757C86">
            <w:pPr>
              <w:rPr>
                <w:rFonts w:ascii="Times New Roman" w:hAnsi="Times New Roman" w:cs="Times New Roman"/>
                <w:sz w:val="24"/>
                <w:szCs w:val="24"/>
              </w:rPr>
            </w:pPr>
            <w:r w:rsidRPr="00E07D0F">
              <w:rPr>
                <w:rFonts w:ascii="Times New Roman" w:hAnsi="Times New Roman" w:cs="Times New Roman"/>
                <w:sz w:val="24"/>
                <w:szCs w:val="24"/>
              </w:rPr>
              <w:t xml:space="preserve">= </w:t>
            </w:r>
            <w:r w:rsidRPr="00E07D0F">
              <w:rPr>
                <w:rFonts w:ascii="Times New Roman" w:hAnsi="Times New Roman" w:cs="Times New Roman"/>
                <w:sz w:val="24"/>
                <w:szCs w:val="24"/>
                <w:u w:val="single"/>
              </w:rPr>
              <w:t>0.39</w:t>
            </w:r>
          </w:p>
        </w:tc>
        <w:tc>
          <w:tcPr>
            <w:tcW w:w="1624" w:type="dxa"/>
          </w:tcPr>
          <w:p w14:paraId="68D4CD37" w14:textId="77777777" w:rsidR="00E44B55" w:rsidRPr="00E07D0F" w:rsidRDefault="00E44B55" w:rsidP="00757C86">
            <w:pPr>
              <w:rPr>
                <w:rFonts w:ascii="Times New Roman" w:hAnsi="Times New Roman" w:cs="Times New Roman"/>
                <w:sz w:val="24"/>
                <w:szCs w:val="24"/>
                <w:u w:val="single"/>
              </w:rPr>
            </w:pPr>
            <w:r w:rsidRPr="00E07D0F">
              <w:rPr>
                <w:rFonts w:ascii="Times New Roman" w:hAnsi="Times New Roman" w:cs="Times New Roman"/>
                <w:sz w:val="24"/>
                <w:szCs w:val="24"/>
                <w:u w:val="single"/>
              </w:rPr>
              <w:t>289</w:t>
            </w:r>
          </w:p>
        </w:tc>
      </w:tr>
      <w:tr w:rsidR="00E44B55" w:rsidRPr="00E07D0F" w14:paraId="7DFCB724" w14:textId="77777777" w:rsidTr="00757C86">
        <w:trPr>
          <w:trHeight w:val="126"/>
        </w:trPr>
        <w:tc>
          <w:tcPr>
            <w:tcW w:w="1572" w:type="dxa"/>
            <w:vMerge/>
            <w:shd w:val="clear" w:color="auto" w:fill="DEEAF6" w:themeFill="accent5" w:themeFillTint="33"/>
          </w:tcPr>
          <w:p w14:paraId="73676295" w14:textId="77777777" w:rsidR="00E44B55" w:rsidRPr="00E07D0F" w:rsidRDefault="00E44B55" w:rsidP="00757C86">
            <w:pPr>
              <w:rPr>
                <w:rFonts w:ascii="Times New Roman" w:hAnsi="Times New Roman" w:cs="Times New Roman"/>
                <w:b/>
                <w:bCs/>
                <w:sz w:val="24"/>
                <w:szCs w:val="24"/>
              </w:rPr>
            </w:pPr>
          </w:p>
        </w:tc>
        <w:tc>
          <w:tcPr>
            <w:tcW w:w="2109" w:type="dxa"/>
          </w:tcPr>
          <w:p w14:paraId="603DECAE" w14:textId="6FBB50CB" w:rsidR="00E44B55" w:rsidRPr="00E07D0F" w:rsidRDefault="00E44B55" w:rsidP="00757C86">
            <w:pPr>
              <w:rPr>
                <w:rFonts w:ascii="Times New Roman" w:hAnsi="Times New Roman" w:cs="Times New Roman"/>
                <w:sz w:val="24"/>
                <w:szCs w:val="24"/>
              </w:rPr>
            </w:pPr>
            <w:r>
              <w:rPr>
                <w:rFonts w:ascii="Times New Roman" w:hAnsi="Times New Roman" w:cs="Times New Roman"/>
                <w:sz w:val="24"/>
                <w:szCs w:val="24"/>
              </w:rPr>
              <w:t xml:space="preserve">Gammon et al. 2019 </w:t>
            </w:r>
            <w:r w:rsidRPr="00E07D0F">
              <w:rPr>
                <w:rFonts w:ascii="Times New Roman" w:hAnsi="Times New Roman" w:cs="Times New Roman"/>
                <w:sz w:val="24"/>
                <w:szCs w:val="24"/>
              </w:rPr>
              <w:fldChar w:fldCharType="begin" w:fldLock="1"/>
            </w:r>
            <w:r w:rsidR="000C4B09">
              <w:rPr>
                <w:rFonts w:ascii="Times New Roman" w:hAnsi="Times New Roman" w:cs="Times New Roman"/>
                <w:sz w:val="24"/>
                <w:szCs w:val="24"/>
              </w:rPr>
              <w:instrText xml:space="preserve">ADDIN CSL_CITATION {"citationItems":[{"id":"ITEM-1","itemData":{"DOI":"10.1136/bmjopen-2018-025080","ISSN":"20446055","PMID":"31064805","abstract":"Objectives Assess feasibility, acceptability and costs of delivering a physically active lessons (PAL) training programme to secondary school teachers and explore preliminary effectiveness for reducing pupils' sedentary time. Design and setting Secondary schools in East England; one school participated in a pre-post feasibility study, two in a pilot cluster-randomised controlled trial. In the pilot trial, blinding to group assignment was not possible. Participants Across studies, 321 randomly selected students (51% male; mean age: 12.9 years), 78 teachers (35% male) and 2 assistant head teachers enrolled; 296 (92%) students, 69 (88%) teachers and 2 assistant head teachers completed the studies. Intervention PAL training was delivered to teachers over two after-school sessions. Teachers were made aware of how to integrate movement into lessons; strategies included students collecting data from the environment for class activities and completing activities posted on classroom walls, instead of sitting at desks. Primary and secondary outcomes Quantitative and qualitative data were collected to assess feasibility and acceptability of PAL training and delivery. Outcomes were assessed at baseline and </w:instrText>
            </w:r>
            <w:r w:rsidR="000C4B09">
              <w:rPr>
                <w:rFonts w:ascii="Cambria Math" w:hAnsi="Cambria Math" w:cs="Cambria Math"/>
                <w:sz w:val="24"/>
                <w:szCs w:val="24"/>
              </w:rPr>
              <w:instrText>∼</w:instrText>
            </w:r>
            <w:r w:rsidR="000C4B09">
              <w:rPr>
                <w:rFonts w:ascii="Times New Roman" w:hAnsi="Times New Roman" w:cs="Times New Roman"/>
                <w:sz w:val="24"/>
                <w:szCs w:val="24"/>
              </w:rPr>
              <w:instrText>8 weeks post-training; measures included accelerometer-assessed activity, self-reported well-being and observations of time-on-task. Process evaluation was conducted at follow-up. Results In the feasibility study, teachers reported good acceptability of PAL training and mixed experiences of delivering PAL. In the pilot study, teachers' acceptability of training was lower and teachers identified aspects of the training in need of review, including the outdoor PAL training and learning challenge of PAL strategies. In both studies, students and assistant head teachers reported good acceptability of the intervention. Preliminary effectiveness for reducing students' sedentary time was not demonstrated in either study. Conclusions No evidence of preliminary effectiveness on the primary outcome and mixed reports of teachers' acceptability of PAL training suggest the need to review the training. The results do not support continuation of research with the current intervention. Trial registration number ISRCTN38409550.","author":[{"dropping-particle":"","family":"Gammon","given":"Catherine","non-dropping-particle":"","parse-names":false,"suffix":""},{"dropping-particle":"","family":"Morton","given":"Katie","non-dropping-particle":"","parse-names":false,"suffix":""},{"dropping-particle":"","family":"Atkin","given":"Andrew","non-dropping-particle":"","parse-names":false,"suffix":""},{"dropping-particle":"","family":"Corder","given":"Kirsten","non-dropping-particle":"","parse-names":false,"suffix":""},{"dropping-particle":"","family":"Daly-Smith","given":"Andy","non-dropping-particle":"","parse-names":false,"suffix":""},{"dropping-particle":"","family":"Quarmby","given":"Thomas","non-dropping-particle":"","parse-names":false,"suffix":""},{"dropping-particle":"","family":"Suhrcke","given":"Marc","non-dropping-particle":"","parse-names":false,"suffix":""},{"dropping-particle":"","family":"Turner","given":"David","non-dropping-particle":"","parse-names":false,"suffix":""},{"dropping-particle":"","family":"Sluijs","given":"Esther","non-dropping-particle":"Van","parse-names":false,"suffix":""}],"container-title":"BMJ Open","id":"ITEM-1","issue":"5","issued":{"date-parts":[["2019"]]},"note":"Example of costs involved with study.","page":"1-13","title":"Introducing physically active lessons in UK secondary schools: Feasibility study and pilot cluster-randomised controlled trial","type":"article-journal","volume":"9"},"uris":["http://www.mendeley.com/documents/?uuid=46bbd6b7-9ccb-4399-aa31-3183534dc3d6"]}],"mendeley":{"formattedCitation":"[7]","plainTextFormattedCitation":"[7]","previouslyFormattedCitation":"(7)"},"properties":{"noteIndex":0},"schema":"https://github.com/citation-style-language/schema/raw/master/csl-citation.json"}</w:instrText>
            </w:r>
            <w:r w:rsidRPr="00E07D0F">
              <w:rPr>
                <w:rFonts w:ascii="Times New Roman" w:hAnsi="Times New Roman" w:cs="Times New Roman"/>
                <w:sz w:val="24"/>
                <w:szCs w:val="24"/>
              </w:rPr>
              <w:fldChar w:fldCharType="separate"/>
            </w:r>
            <w:r w:rsidR="000C4B09" w:rsidRPr="000C4B09">
              <w:rPr>
                <w:rFonts w:ascii="Times New Roman" w:hAnsi="Times New Roman" w:cs="Times New Roman"/>
                <w:noProof/>
                <w:sz w:val="24"/>
                <w:szCs w:val="24"/>
              </w:rPr>
              <w:t>[7]</w:t>
            </w:r>
            <w:r w:rsidRPr="00E07D0F">
              <w:rPr>
                <w:rFonts w:ascii="Times New Roman" w:hAnsi="Times New Roman" w:cs="Times New Roman"/>
                <w:sz w:val="24"/>
                <w:szCs w:val="24"/>
              </w:rPr>
              <w:fldChar w:fldCharType="end"/>
            </w:r>
          </w:p>
        </w:tc>
        <w:tc>
          <w:tcPr>
            <w:tcW w:w="1611" w:type="dxa"/>
          </w:tcPr>
          <w:p w14:paraId="42ADC779" w14:textId="77777777" w:rsidR="00E44B55" w:rsidRPr="00E07D0F" w:rsidRDefault="00E44B55" w:rsidP="00757C86">
            <w:pPr>
              <w:rPr>
                <w:rFonts w:ascii="Times New Roman" w:hAnsi="Times New Roman" w:cs="Times New Roman"/>
                <w:sz w:val="24"/>
                <w:szCs w:val="24"/>
              </w:rPr>
            </w:pPr>
            <w:r w:rsidRPr="00E07D0F">
              <w:rPr>
                <w:rFonts w:ascii="Times New Roman" w:hAnsi="Times New Roman" w:cs="Times New Roman"/>
                <w:sz w:val="24"/>
                <w:szCs w:val="24"/>
              </w:rPr>
              <w:t>UK</w:t>
            </w:r>
          </w:p>
        </w:tc>
        <w:tc>
          <w:tcPr>
            <w:tcW w:w="2092" w:type="dxa"/>
          </w:tcPr>
          <w:p w14:paraId="1FCA34E4" w14:textId="6DABB065" w:rsidR="00E44B55" w:rsidRPr="00E07D0F" w:rsidRDefault="00E44B55" w:rsidP="00757C86">
            <w:pPr>
              <w:rPr>
                <w:rFonts w:ascii="Times New Roman" w:hAnsi="Times New Roman" w:cs="Times New Roman"/>
                <w:sz w:val="24"/>
                <w:szCs w:val="24"/>
              </w:rPr>
            </w:pPr>
            <w:r w:rsidRPr="00E07D0F">
              <w:rPr>
                <w:rFonts w:ascii="Times New Roman" w:hAnsi="Times New Roman" w:cs="Times New Roman"/>
                <w:sz w:val="24"/>
                <w:szCs w:val="24"/>
              </w:rPr>
              <w:t>£910 Pounds</w:t>
            </w:r>
            <w:r w:rsidR="00603979">
              <w:rPr>
                <w:rFonts w:ascii="Times New Roman" w:hAnsi="Times New Roman" w:cs="Times New Roman"/>
                <w:sz w:val="24"/>
                <w:szCs w:val="24"/>
              </w:rPr>
              <w:t xml:space="preserve"> (in 2019)</w:t>
            </w:r>
          </w:p>
        </w:tc>
        <w:tc>
          <w:tcPr>
            <w:tcW w:w="1785" w:type="dxa"/>
          </w:tcPr>
          <w:p w14:paraId="2B5BD0B1" w14:textId="77777777" w:rsidR="00E44B55" w:rsidRPr="00E07D0F" w:rsidRDefault="00E44B55" w:rsidP="00757C86">
            <w:pPr>
              <w:rPr>
                <w:rFonts w:ascii="Times New Roman" w:hAnsi="Times New Roman" w:cs="Times New Roman"/>
                <w:sz w:val="24"/>
                <w:szCs w:val="24"/>
              </w:rPr>
            </w:pPr>
            <w:r w:rsidRPr="00E07D0F">
              <w:rPr>
                <w:rFonts w:ascii="Times New Roman" w:hAnsi="Times New Roman" w:cs="Times New Roman"/>
                <w:sz w:val="24"/>
                <w:szCs w:val="24"/>
              </w:rPr>
              <w:t>107.8</w:t>
            </w:r>
          </w:p>
        </w:tc>
        <w:tc>
          <w:tcPr>
            <w:tcW w:w="1773" w:type="dxa"/>
          </w:tcPr>
          <w:p w14:paraId="7C61E32D" w14:textId="77777777" w:rsidR="00E44B55" w:rsidRPr="00E07D0F" w:rsidRDefault="00E44B55" w:rsidP="00757C86">
            <w:pPr>
              <w:rPr>
                <w:rFonts w:ascii="Times New Roman" w:hAnsi="Times New Roman" w:cs="Times New Roman"/>
                <w:sz w:val="24"/>
                <w:szCs w:val="24"/>
              </w:rPr>
            </w:pPr>
            <w:r w:rsidRPr="00E07D0F">
              <w:rPr>
                <w:rFonts w:ascii="Times New Roman" w:hAnsi="Times New Roman" w:cs="Times New Roman"/>
                <w:sz w:val="24"/>
                <w:szCs w:val="24"/>
              </w:rPr>
              <w:t>0.67</w:t>
            </w:r>
          </w:p>
        </w:tc>
        <w:tc>
          <w:tcPr>
            <w:tcW w:w="1965" w:type="dxa"/>
          </w:tcPr>
          <w:p w14:paraId="52551D1F" w14:textId="77777777" w:rsidR="00E44B55" w:rsidRPr="00E07D0F" w:rsidRDefault="00E44B55" w:rsidP="00757C86">
            <w:pPr>
              <w:rPr>
                <w:rFonts w:ascii="Times New Roman" w:hAnsi="Times New Roman" w:cs="Times New Roman"/>
                <w:sz w:val="24"/>
                <w:szCs w:val="24"/>
              </w:rPr>
            </w:pPr>
            <w:r w:rsidRPr="00E07D0F">
              <w:rPr>
                <w:rFonts w:ascii="Times New Roman" w:hAnsi="Times New Roman" w:cs="Times New Roman"/>
                <w:sz w:val="24"/>
                <w:szCs w:val="24"/>
              </w:rPr>
              <w:t>1919.53/740</w:t>
            </w:r>
          </w:p>
          <w:p w14:paraId="264B1E22" w14:textId="77777777" w:rsidR="00E44B55" w:rsidRPr="00E07D0F" w:rsidRDefault="00E44B55" w:rsidP="00757C86">
            <w:pPr>
              <w:rPr>
                <w:rFonts w:ascii="Times New Roman" w:hAnsi="Times New Roman" w:cs="Times New Roman"/>
                <w:sz w:val="24"/>
                <w:szCs w:val="24"/>
                <w:u w:val="single"/>
              </w:rPr>
            </w:pPr>
            <w:r w:rsidRPr="00E07D0F">
              <w:rPr>
                <w:rFonts w:ascii="Times New Roman" w:hAnsi="Times New Roman" w:cs="Times New Roman"/>
                <w:sz w:val="24"/>
                <w:szCs w:val="24"/>
              </w:rPr>
              <w:t xml:space="preserve">= </w:t>
            </w:r>
            <w:r w:rsidRPr="00E07D0F">
              <w:rPr>
                <w:rFonts w:ascii="Times New Roman" w:hAnsi="Times New Roman" w:cs="Times New Roman"/>
                <w:sz w:val="24"/>
                <w:szCs w:val="24"/>
                <w:u w:val="single"/>
              </w:rPr>
              <w:t>2.59</w:t>
            </w:r>
          </w:p>
        </w:tc>
        <w:tc>
          <w:tcPr>
            <w:tcW w:w="1624" w:type="dxa"/>
          </w:tcPr>
          <w:p w14:paraId="2ACFB919" w14:textId="77777777" w:rsidR="00E44B55" w:rsidRPr="00E07D0F" w:rsidRDefault="00E44B55" w:rsidP="00757C86">
            <w:pPr>
              <w:rPr>
                <w:rFonts w:ascii="Times New Roman" w:hAnsi="Times New Roman" w:cs="Times New Roman"/>
                <w:sz w:val="24"/>
                <w:szCs w:val="24"/>
                <w:u w:val="single"/>
              </w:rPr>
            </w:pPr>
            <w:r w:rsidRPr="00E07D0F">
              <w:rPr>
                <w:rFonts w:ascii="Times New Roman" w:hAnsi="Times New Roman" w:cs="Times New Roman"/>
                <w:sz w:val="24"/>
                <w:szCs w:val="24"/>
                <w:u w:val="single"/>
              </w:rPr>
              <w:t>1919.53</w:t>
            </w:r>
          </w:p>
        </w:tc>
      </w:tr>
      <w:tr w:rsidR="00E44B55" w:rsidRPr="00E07D0F" w14:paraId="1CAADE5D" w14:textId="77777777" w:rsidTr="00757C86">
        <w:trPr>
          <w:trHeight w:val="557"/>
        </w:trPr>
        <w:tc>
          <w:tcPr>
            <w:tcW w:w="1572" w:type="dxa"/>
            <w:shd w:val="clear" w:color="auto" w:fill="DEEAF6" w:themeFill="accent5" w:themeFillTint="33"/>
          </w:tcPr>
          <w:p w14:paraId="630ACFB8" w14:textId="77777777" w:rsidR="00E44B55" w:rsidRPr="00E07D0F" w:rsidRDefault="00E44B55" w:rsidP="00757C86">
            <w:pPr>
              <w:rPr>
                <w:rFonts w:ascii="Times New Roman" w:hAnsi="Times New Roman" w:cs="Times New Roman"/>
                <w:b/>
                <w:bCs/>
                <w:sz w:val="24"/>
                <w:szCs w:val="24"/>
              </w:rPr>
            </w:pPr>
            <w:r w:rsidRPr="00E07D0F">
              <w:rPr>
                <w:rFonts w:ascii="Times New Roman" w:hAnsi="Times New Roman" w:cs="Times New Roman"/>
                <w:b/>
                <w:bCs/>
                <w:sz w:val="24"/>
                <w:szCs w:val="24"/>
              </w:rPr>
              <w:t>NE</w:t>
            </w:r>
          </w:p>
        </w:tc>
        <w:tc>
          <w:tcPr>
            <w:tcW w:w="2109" w:type="dxa"/>
          </w:tcPr>
          <w:p w14:paraId="30CFB88F" w14:textId="591B56A0" w:rsidR="00E44B55" w:rsidRPr="00E07D0F" w:rsidRDefault="00E44B55" w:rsidP="00757C86">
            <w:pPr>
              <w:rPr>
                <w:rFonts w:ascii="Times New Roman" w:hAnsi="Times New Roman" w:cs="Times New Roman"/>
                <w:sz w:val="24"/>
                <w:szCs w:val="24"/>
              </w:rPr>
            </w:pPr>
            <w:proofErr w:type="spellStart"/>
            <w:r>
              <w:rPr>
                <w:rFonts w:ascii="Times New Roman" w:hAnsi="Times New Roman" w:cs="Times New Roman"/>
                <w:sz w:val="24"/>
                <w:szCs w:val="24"/>
              </w:rPr>
              <w:t>Giezen</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Pellerey</w:t>
            </w:r>
            <w:proofErr w:type="spellEnd"/>
            <w:r>
              <w:rPr>
                <w:rFonts w:ascii="Times New Roman" w:hAnsi="Times New Roman" w:cs="Times New Roman"/>
                <w:sz w:val="24"/>
                <w:szCs w:val="24"/>
              </w:rPr>
              <w:t xml:space="preserve"> 2021 </w:t>
            </w:r>
            <w:r w:rsidRPr="00E07D0F">
              <w:rPr>
                <w:rFonts w:ascii="Times New Roman" w:hAnsi="Times New Roman" w:cs="Times New Roman"/>
                <w:sz w:val="24"/>
                <w:szCs w:val="24"/>
              </w:rPr>
              <w:fldChar w:fldCharType="begin" w:fldLock="1"/>
            </w:r>
            <w:r w:rsidR="000C4B09">
              <w:rPr>
                <w:rFonts w:ascii="Times New Roman" w:hAnsi="Times New Roman" w:cs="Times New Roman"/>
                <w:sz w:val="24"/>
                <w:szCs w:val="24"/>
              </w:rPr>
              <w:instrText>ADDIN CSL_CITATION {"citationItems":[{"id":"ITEM-1","itemData":{"DOI":"10.1016/j.ufug.2021.127190","ISSN":"16108167","abstract":"To increase urban climate resilience, the renaturing of cities plays an important role. One strategy is the greening of schoolyards to increase climate resilience and bring additional benefits such as nature education and a healthy environment. While these are small projects, they could make a significant impact if they can be upscaled. With the intent of identifying the local barriers to the upscaling of green schoolyards, this research applies an upscaling framework to analyze and compare two initiatives that incentivize the greening of schoolyards by providing funds to local schools in Amsterdam and The Hague. There is not one barrier but a combination that seems to prevent upscaling, so it is a combination of factors that prevents the successful up-taking of green schoolyards: lack of environmental awareness, difficulties in acquiring monetary funds, lack of time and expertise from the demand-side, complexity of the bureaucratic processes, and lack of political will.","author":[{"dropping-particle":"","family":"Giezen","given":"Mendel","non-dropping-particle":"","parse-names":false,"suffix":""},{"dropping-particle":"","family":"Pellerey","given":"Virginia","non-dropping-particle":"","parse-names":false,"suffix":""}],"container-title":"Urban Forestry and Urban Greening","id":"ITEM-1","issue":"December 2020","issued":{"date-parts":[["2021"]]},"note":"Provides a reasonable average cost for a green schoolyard, we could likely do less due to it not being an entire school.","page":"127190","publisher":"Elsevier GmbH","title":"Renaturing the city: Factors contributing to upscaling green schoolyards in Amsterdam and The Hague","type":"article-journal","volume":"63"},"uris":["http://www.mendeley.com/documents/?uuid=912a2819-905c-4e00-a69e-d57663002fe3"]}],"mendeley":{"formattedCitation":"[8]","plainTextFormattedCitation":"[8]","previouslyFormattedCitation":"(8)"},"properties":{"noteIndex":0},"schema":"https://github.com/citation-style-language/schema/raw/master/csl-citation.json"}</w:instrText>
            </w:r>
            <w:r w:rsidRPr="00E07D0F">
              <w:rPr>
                <w:rFonts w:ascii="Times New Roman" w:hAnsi="Times New Roman" w:cs="Times New Roman"/>
                <w:sz w:val="24"/>
                <w:szCs w:val="24"/>
              </w:rPr>
              <w:fldChar w:fldCharType="separate"/>
            </w:r>
            <w:r w:rsidR="000C4B09" w:rsidRPr="000C4B09">
              <w:rPr>
                <w:rFonts w:ascii="Times New Roman" w:hAnsi="Times New Roman" w:cs="Times New Roman"/>
                <w:noProof/>
                <w:sz w:val="24"/>
                <w:szCs w:val="24"/>
              </w:rPr>
              <w:t>[8]</w:t>
            </w:r>
            <w:r w:rsidRPr="00E07D0F">
              <w:rPr>
                <w:rFonts w:ascii="Times New Roman" w:hAnsi="Times New Roman" w:cs="Times New Roman"/>
                <w:sz w:val="24"/>
                <w:szCs w:val="24"/>
              </w:rPr>
              <w:fldChar w:fldCharType="end"/>
            </w:r>
          </w:p>
        </w:tc>
        <w:tc>
          <w:tcPr>
            <w:tcW w:w="1611" w:type="dxa"/>
          </w:tcPr>
          <w:p w14:paraId="2BE82350" w14:textId="77777777" w:rsidR="00E44B55" w:rsidRPr="00E07D0F" w:rsidRDefault="00E44B55" w:rsidP="00757C86">
            <w:pPr>
              <w:rPr>
                <w:rFonts w:ascii="Times New Roman" w:hAnsi="Times New Roman" w:cs="Times New Roman"/>
                <w:sz w:val="24"/>
                <w:szCs w:val="24"/>
              </w:rPr>
            </w:pPr>
            <w:r w:rsidRPr="00E07D0F">
              <w:rPr>
                <w:rFonts w:ascii="Times New Roman" w:hAnsi="Times New Roman" w:cs="Times New Roman"/>
                <w:sz w:val="24"/>
                <w:szCs w:val="24"/>
              </w:rPr>
              <w:t>Netherlands</w:t>
            </w:r>
          </w:p>
        </w:tc>
        <w:tc>
          <w:tcPr>
            <w:tcW w:w="2092" w:type="dxa"/>
          </w:tcPr>
          <w:p w14:paraId="039F73FB" w14:textId="3E15E559" w:rsidR="00E44B55" w:rsidRPr="00E07D0F" w:rsidRDefault="00E44B55" w:rsidP="00757C86">
            <w:pPr>
              <w:rPr>
                <w:rFonts w:ascii="Times New Roman" w:hAnsi="Times New Roman" w:cs="Times New Roman"/>
                <w:sz w:val="24"/>
                <w:szCs w:val="24"/>
              </w:rPr>
            </w:pPr>
            <w:r w:rsidRPr="00E07D0F">
              <w:rPr>
                <w:rFonts w:ascii="Times New Roman" w:hAnsi="Times New Roman" w:cs="Times New Roman"/>
                <w:sz w:val="24"/>
                <w:szCs w:val="24"/>
              </w:rPr>
              <w:t>~</w:t>
            </w:r>
            <w:r w:rsidR="008062BE" w:rsidRPr="001967D7">
              <w:rPr>
                <w:rFonts w:ascii="Times New Roman" w:hAnsi="Times New Roman" w:cs="Times New Roman"/>
                <w:sz w:val="24"/>
                <w:szCs w:val="24"/>
              </w:rPr>
              <w:t>€</w:t>
            </w:r>
            <w:r w:rsidRPr="00E07D0F">
              <w:rPr>
                <w:rFonts w:ascii="Times New Roman" w:hAnsi="Times New Roman" w:cs="Times New Roman"/>
                <w:sz w:val="24"/>
                <w:szCs w:val="24"/>
              </w:rPr>
              <w:t>50000 euro (</w:t>
            </w:r>
            <w:r w:rsidR="00603979">
              <w:rPr>
                <w:rFonts w:ascii="Times New Roman" w:hAnsi="Times New Roman" w:cs="Times New Roman"/>
                <w:sz w:val="24"/>
                <w:szCs w:val="24"/>
              </w:rPr>
              <w:t>in 2021)</w:t>
            </w:r>
          </w:p>
        </w:tc>
        <w:tc>
          <w:tcPr>
            <w:tcW w:w="1785" w:type="dxa"/>
          </w:tcPr>
          <w:p w14:paraId="17311557" w14:textId="77777777" w:rsidR="00E44B55" w:rsidRPr="00E07D0F" w:rsidRDefault="00E44B55" w:rsidP="00757C86">
            <w:pPr>
              <w:rPr>
                <w:rFonts w:ascii="Times New Roman" w:hAnsi="Times New Roman" w:cs="Times New Roman"/>
                <w:sz w:val="24"/>
                <w:szCs w:val="24"/>
              </w:rPr>
            </w:pPr>
            <w:r w:rsidRPr="00E07D0F">
              <w:rPr>
                <w:rFonts w:ascii="Times New Roman" w:hAnsi="Times New Roman" w:cs="Times New Roman"/>
                <w:sz w:val="24"/>
                <w:szCs w:val="24"/>
              </w:rPr>
              <w:t>111.9</w:t>
            </w:r>
          </w:p>
        </w:tc>
        <w:tc>
          <w:tcPr>
            <w:tcW w:w="1773" w:type="dxa"/>
          </w:tcPr>
          <w:p w14:paraId="510C6413" w14:textId="77777777" w:rsidR="00E44B55" w:rsidRPr="00E07D0F" w:rsidRDefault="00E44B55" w:rsidP="00757C86">
            <w:pPr>
              <w:rPr>
                <w:rFonts w:ascii="Times New Roman" w:hAnsi="Times New Roman" w:cs="Times New Roman"/>
                <w:sz w:val="24"/>
                <w:szCs w:val="24"/>
              </w:rPr>
            </w:pPr>
            <w:r w:rsidRPr="00E07D0F">
              <w:rPr>
                <w:rFonts w:ascii="Times New Roman" w:hAnsi="Times New Roman" w:cs="Times New Roman"/>
                <w:sz w:val="24"/>
                <w:szCs w:val="24"/>
              </w:rPr>
              <w:t>0.77</w:t>
            </w:r>
          </w:p>
        </w:tc>
        <w:tc>
          <w:tcPr>
            <w:tcW w:w="1965" w:type="dxa"/>
          </w:tcPr>
          <w:p w14:paraId="636812F4" w14:textId="77777777" w:rsidR="00E44B55" w:rsidRPr="00E07D0F" w:rsidRDefault="00E44B55" w:rsidP="00757C86">
            <w:pPr>
              <w:rPr>
                <w:rFonts w:ascii="Times New Roman" w:hAnsi="Times New Roman" w:cs="Times New Roman"/>
                <w:sz w:val="24"/>
                <w:szCs w:val="24"/>
              </w:rPr>
            </w:pPr>
            <w:r w:rsidRPr="00E07D0F">
              <w:rPr>
                <w:rFonts w:ascii="Times New Roman" w:hAnsi="Times New Roman" w:cs="Times New Roman"/>
                <w:sz w:val="24"/>
                <w:szCs w:val="24"/>
              </w:rPr>
              <w:t>88,755/740</w:t>
            </w:r>
          </w:p>
          <w:p w14:paraId="2AAC039E" w14:textId="77777777" w:rsidR="00E44B55" w:rsidRPr="00E07D0F" w:rsidRDefault="00E44B55" w:rsidP="00757C86">
            <w:pPr>
              <w:rPr>
                <w:rFonts w:ascii="Times New Roman" w:hAnsi="Times New Roman" w:cs="Times New Roman"/>
                <w:sz w:val="24"/>
                <w:szCs w:val="24"/>
              </w:rPr>
            </w:pPr>
            <w:r w:rsidRPr="00E07D0F">
              <w:rPr>
                <w:rFonts w:ascii="Times New Roman" w:hAnsi="Times New Roman" w:cs="Times New Roman"/>
                <w:sz w:val="24"/>
                <w:szCs w:val="24"/>
              </w:rPr>
              <w:t xml:space="preserve">= </w:t>
            </w:r>
            <w:r w:rsidRPr="00E07D0F">
              <w:rPr>
                <w:rFonts w:ascii="Times New Roman" w:hAnsi="Times New Roman" w:cs="Times New Roman"/>
                <w:sz w:val="24"/>
                <w:szCs w:val="24"/>
                <w:u w:val="single"/>
              </w:rPr>
              <w:t>119.40</w:t>
            </w:r>
          </w:p>
        </w:tc>
        <w:tc>
          <w:tcPr>
            <w:tcW w:w="1624" w:type="dxa"/>
          </w:tcPr>
          <w:p w14:paraId="24138A3C" w14:textId="77777777" w:rsidR="00E44B55" w:rsidRPr="00E07D0F" w:rsidRDefault="00E44B55" w:rsidP="00757C86">
            <w:pPr>
              <w:rPr>
                <w:rFonts w:ascii="Times New Roman" w:hAnsi="Times New Roman" w:cs="Times New Roman"/>
                <w:sz w:val="24"/>
                <w:szCs w:val="24"/>
                <w:u w:val="single"/>
              </w:rPr>
            </w:pPr>
            <w:r w:rsidRPr="00E07D0F">
              <w:rPr>
                <w:rFonts w:ascii="Times New Roman" w:hAnsi="Times New Roman" w:cs="Times New Roman"/>
                <w:sz w:val="24"/>
                <w:szCs w:val="24"/>
                <w:u w:val="single"/>
              </w:rPr>
              <w:t>88,755</w:t>
            </w:r>
          </w:p>
        </w:tc>
      </w:tr>
    </w:tbl>
    <w:p w14:paraId="3BDB72F9" w14:textId="2D6269FA" w:rsidR="00BC653D" w:rsidRDefault="00BC653D" w:rsidP="00E44B55"/>
    <w:p w14:paraId="5C811C68" w14:textId="77777777" w:rsidR="00F86065" w:rsidRDefault="00F86065" w:rsidP="00E44B55"/>
    <w:p w14:paraId="3F51D202" w14:textId="22E90AA1" w:rsidR="00F86065" w:rsidRPr="00F0615E" w:rsidRDefault="00F86065" w:rsidP="00E44B55">
      <w:pPr>
        <w:rPr>
          <w:rFonts w:ascii="Arial" w:hAnsi="Arial" w:cs="Arial"/>
          <w:b/>
          <w:bCs/>
          <w:sz w:val="28"/>
          <w:szCs w:val="28"/>
        </w:rPr>
      </w:pPr>
      <w:r w:rsidRPr="00F0615E">
        <w:rPr>
          <w:rFonts w:ascii="Arial" w:hAnsi="Arial" w:cs="Arial"/>
          <w:b/>
          <w:bCs/>
          <w:sz w:val="28"/>
          <w:szCs w:val="28"/>
        </w:rPr>
        <w:t>References</w:t>
      </w:r>
    </w:p>
    <w:p w14:paraId="5B748BA2" w14:textId="6D1B816D" w:rsidR="000C4B09" w:rsidRPr="000C4B09" w:rsidRDefault="00F86065" w:rsidP="000C4B09">
      <w:pPr>
        <w:widowControl w:val="0"/>
        <w:autoSpaceDE w:val="0"/>
        <w:autoSpaceDN w:val="0"/>
        <w:adjustRightInd w:val="0"/>
        <w:spacing w:line="240" w:lineRule="auto"/>
        <w:rPr>
          <w:rFonts w:ascii="Times New Roman" w:hAnsi="Times New Roman" w:cs="Times New Roman"/>
          <w:noProof/>
          <w:sz w:val="24"/>
        </w:rPr>
      </w:pPr>
      <w:r w:rsidRPr="00F86065">
        <w:rPr>
          <w:rFonts w:ascii="Times New Roman" w:hAnsi="Times New Roman" w:cs="Times New Roman"/>
          <w:b/>
          <w:bCs/>
          <w:sz w:val="24"/>
          <w:szCs w:val="24"/>
        </w:rPr>
        <w:fldChar w:fldCharType="begin" w:fldLock="1"/>
      </w:r>
      <w:r w:rsidRPr="00F86065">
        <w:rPr>
          <w:rFonts w:ascii="Times New Roman" w:hAnsi="Times New Roman" w:cs="Times New Roman"/>
          <w:b/>
          <w:bCs/>
          <w:sz w:val="24"/>
          <w:szCs w:val="24"/>
        </w:rPr>
        <w:instrText xml:space="preserve">ADDIN Mendeley Bibliography CSL_BIBLIOGRAPHY </w:instrText>
      </w:r>
      <w:r w:rsidRPr="00F86065">
        <w:rPr>
          <w:rFonts w:ascii="Times New Roman" w:hAnsi="Times New Roman" w:cs="Times New Roman"/>
          <w:b/>
          <w:bCs/>
          <w:sz w:val="24"/>
          <w:szCs w:val="24"/>
        </w:rPr>
        <w:fldChar w:fldCharType="separate"/>
      </w:r>
      <w:r w:rsidR="000C4B09" w:rsidRPr="000C4B09">
        <w:rPr>
          <w:rFonts w:ascii="Times New Roman" w:hAnsi="Times New Roman" w:cs="Times New Roman"/>
          <w:noProof/>
          <w:sz w:val="24"/>
        </w:rPr>
        <w:t>1. Organization for Economic Cooperation and Development. Prices and purchasing power parities [Internet]. 2023. Available from: https://www.oecd.org/sdd/prices-ppp/</w:t>
      </w:r>
    </w:p>
    <w:p w14:paraId="211DAF47" w14:textId="77777777" w:rsidR="000C4B09" w:rsidRPr="000C4B09" w:rsidRDefault="000C4B09" w:rsidP="000C4B09">
      <w:pPr>
        <w:widowControl w:val="0"/>
        <w:autoSpaceDE w:val="0"/>
        <w:autoSpaceDN w:val="0"/>
        <w:adjustRightInd w:val="0"/>
        <w:spacing w:line="240" w:lineRule="auto"/>
        <w:rPr>
          <w:rFonts w:ascii="Times New Roman" w:hAnsi="Times New Roman" w:cs="Times New Roman"/>
          <w:noProof/>
          <w:sz w:val="24"/>
        </w:rPr>
      </w:pPr>
      <w:r w:rsidRPr="000C4B09">
        <w:rPr>
          <w:rFonts w:ascii="Times New Roman" w:hAnsi="Times New Roman" w:cs="Times New Roman"/>
          <w:noProof/>
          <w:sz w:val="24"/>
        </w:rPr>
        <w:t>2. Education Counts. Number of Schools [Internet]. 2023. Available from: https://www.educationcounts.govt.nz/statistics/number-of-schools</w:t>
      </w:r>
    </w:p>
    <w:p w14:paraId="0ADA0014" w14:textId="77777777" w:rsidR="000C4B09" w:rsidRPr="000C4B09" w:rsidRDefault="000C4B09" w:rsidP="000C4B09">
      <w:pPr>
        <w:widowControl w:val="0"/>
        <w:autoSpaceDE w:val="0"/>
        <w:autoSpaceDN w:val="0"/>
        <w:adjustRightInd w:val="0"/>
        <w:spacing w:line="240" w:lineRule="auto"/>
        <w:rPr>
          <w:rFonts w:ascii="Times New Roman" w:hAnsi="Times New Roman" w:cs="Times New Roman"/>
          <w:noProof/>
          <w:sz w:val="24"/>
        </w:rPr>
      </w:pPr>
      <w:r w:rsidRPr="000C4B09">
        <w:rPr>
          <w:rFonts w:ascii="Times New Roman" w:hAnsi="Times New Roman" w:cs="Times New Roman"/>
          <w:noProof/>
          <w:sz w:val="24"/>
        </w:rPr>
        <w:t>3. Education Counts. School Rolls [Internet]. 2023. Available from: https://www.educationcounts.govt.nz/statistics/school-rolls</w:t>
      </w:r>
    </w:p>
    <w:p w14:paraId="6841A51A" w14:textId="77777777" w:rsidR="000C4B09" w:rsidRPr="000C4B09" w:rsidRDefault="000C4B09" w:rsidP="000C4B09">
      <w:pPr>
        <w:widowControl w:val="0"/>
        <w:autoSpaceDE w:val="0"/>
        <w:autoSpaceDN w:val="0"/>
        <w:adjustRightInd w:val="0"/>
        <w:spacing w:line="240" w:lineRule="auto"/>
        <w:rPr>
          <w:rFonts w:ascii="Times New Roman" w:hAnsi="Times New Roman" w:cs="Times New Roman"/>
          <w:noProof/>
          <w:sz w:val="24"/>
        </w:rPr>
      </w:pPr>
      <w:r w:rsidRPr="000C4B09">
        <w:rPr>
          <w:rFonts w:ascii="Times New Roman" w:hAnsi="Times New Roman" w:cs="Times New Roman"/>
          <w:noProof/>
          <w:sz w:val="24"/>
        </w:rPr>
        <w:t xml:space="preserve">4. Lonsdale C, Sanders T, Parker P, Noetel M, Hartwig T, Vasconcellos D, et al. Effect of a Scalable School-Based Intervention on Cardiorespiratory Fitness in Children: A Cluster Randomized Clinical Trial. JAMA Pediatr. 2021;175:680–8. </w:t>
      </w:r>
    </w:p>
    <w:p w14:paraId="3967CC3C" w14:textId="77777777" w:rsidR="000C4B09" w:rsidRPr="000C4B09" w:rsidRDefault="000C4B09" w:rsidP="000C4B09">
      <w:pPr>
        <w:widowControl w:val="0"/>
        <w:autoSpaceDE w:val="0"/>
        <w:autoSpaceDN w:val="0"/>
        <w:adjustRightInd w:val="0"/>
        <w:spacing w:line="240" w:lineRule="auto"/>
        <w:rPr>
          <w:rFonts w:ascii="Times New Roman" w:hAnsi="Times New Roman" w:cs="Times New Roman"/>
          <w:noProof/>
          <w:sz w:val="24"/>
        </w:rPr>
      </w:pPr>
      <w:r w:rsidRPr="000C4B09">
        <w:rPr>
          <w:rFonts w:ascii="Times New Roman" w:hAnsi="Times New Roman" w:cs="Times New Roman"/>
          <w:noProof/>
          <w:sz w:val="24"/>
        </w:rPr>
        <w:t>5. Corder K, Sharp SJ, Jong ST, Foubister C, Brown HE, Wells EK, et al. Effectiveness and cost-effectiveness of the GoActive intervention to increase physical activity among UK adolescents: A cluster randomised controlled trial. PLoS Med [Internet]. 2020;17. Available from: http://dx.doi.org/10.1371/journal.pmed.1003210</w:t>
      </w:r>
    </w:p>
    <w:p w14:paraId="5E12E1F4" w14:textId="77777777" w:rsidR="000C4B09" w:rsidRPr="000C4B09" w:rsidRDefault="000C4B09" w:rsidP="000C4B09">
      <w:pPr>
        <w:widowControl w:val="0"/>
        <w:autoSpaceDE w:val="0"/>
        <w:autoSpaceDN w:val="0"/>
        <w:adjustRightInd w:val="0"/>
        <w:spacing w:line="240" w:lineRule="auto"/>
        <w:rPr>
          <w:rFonts w:ascii="Times New Roman" w:hAnsi="Times New Roman" w:cs="Times New Roman"/>
          <w:noProof/>
          <w:sz w:val="24"/>
        </w:rPr>
      </w:pPr>
      <w:r w:rsidRPr="000C4B09">
        <w:rPr>
          <w:rFonts w:ascii="Times New Roman" w:hAnsi="Times New Roman" w:cs="Times New Roman"/>
          <w:noProof/>
          <w:sz w:val="24"/>
        </w:rPr>
        <w:t xml:space="preserve">6. Erwin HE, Beighle A, Morgan CF, Noland M. Effect of a low-cost, teacher-directed classroom intervention on elementary students’ physical activity. J Sch Health. 2011;81:455–61. </w:t>
      </w:r>
    </w:p>
    <w:p w14:paraId="15732469" w14:textId="77777777" w:rsidR="000C4B09" w:rsidRPr="000C4B09" w:rsidRDefault="000C4B09" w:rsidP="000C4B09">
      <w:pPr>
        <w:widowControl w:val="0"/>
        <w:autoSpaceDE w:val="0"/>
        <w:autoSpaceDN w:val="0"/>
        <w:adjustRightInd w:val="0"/>
        <w:spacing w:line="240" w:lineRule="auto"/>
        <w:rPr>
          <w:rFonts w:ascii="Times New Roman" w:hAnsi="Times New Roman" w:cs="Times New Roman"/>
          <w:noProof/>
          <w:sz w:val="24"/>
        </w:rPr>
      </w:pPr>
      <w:r w:rsidRPr="000C4B09">
        <w:rPr>
          <w:rFonts w:ascii="Times New Roman" w:hAnsi="Times New Roman" w:cs="Times New Roman"/>
          <w:noProof/>
          <w:sz w:val="24"/>
        </w:rPr>
        <w:t xml:space="preserve">7. Gammon C, Morton K, Atkin A, Corder K, Daly-Smith A, Quarmby T, et al. Introducing physically active lessons in UK secondary schools: Feasibility study and pilot cluster-randomised controlled trial. BMJ Open. 2019;9:1–13. </w:t>
      </w:r>
    </w:p>
    <w:p w14:paraId="7D4890A8" w14:textId="77777777" w:rsidR="000C4B09" w:rsidRPr="000C4B09" w:rsidRDefault="000C4B09" w:rsidP="000C4B09">
      <w:pPr>
        <w:widowControl w:val="0"/>
        <w:autoSpaceDE w:val="0"/>
        <w:autoSpaceDN w:val="0"/>
        <w:adjustRightInd w:val="0"/>
        <w:spacing w:line="240" w:lineRule="auto"/>
        <w:rPr>
          <w:rFonts w:ascii="Times New Roman" w:hAnsi="Times New Roman" w:cs="Times New Roman"/>
          <w:noProof/>
          <w:sz w:val="24"/>
        </w:rPr>
      </w:pPr>
      <w:r w:rsidRPr="000C4B09">
        <w:rPr>
          <w:rFonts w:ascii="Times New Roman" w:hAnsi="Times New Roman" w:cs="Times New Roman"/>
          <w:noProof/>
          <w:sz w:val="24"/>
        </w:rPr>
        <w:t>8. Giezen M, Pellerey V. Renaturing the city: Factors contributing to upscaling green schoolyards in Amsterdam and The Hague. Urban For Urban Green [Internet]. 2021;63:127190. Available from: https://doi.org/10.1016/j.ufug.2021.127190</w:t>
      </w:r>
    </w:p>
    <w:p w14:paraId="06457A2F" w14:textId="31747A0F" w:rsidR="00F86065" w:rsidRPr="00F86065" w:rsidRDefault="00F86065" w:rsidP="00E44B55">
      <w:pPr>
        <w:rPr>
          <w:b/>
          <w:bCs/>
          <w:sz w:val="28"/>
          <w:szCs w:val="28"/>
        </w:rPr>
      </w:pPr>
      <w:r w:rsidRPr="00F86065">
        <w:rPr>
          <w:rFonts w:ascii="Times New Roman" w:hAnsi="Times New Roman" w:cs="Times New Roman"/>
          <w:b/>
          <w:bCs/>
          <w:sz w:val="24"/>
          <w:szCs w:val="24"/>
        </w:rPr>
        <w:fldChar w:fldCharType="end"/>
      </w:r>
    </w:p>
    <w:sectPr w:rsidR="00F86065" w:rsidRPr="00F86065" w:rsidSect="00863CE1">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CE1"/>
    <w:rsid w:val="000C4B09"/>
    <w:rsid w:val="000F5BB5"/>
    <w:rsid w:val="002E5F18"/>
    <w:rsid w:val="002F7648"/>
    <w:rsid w:val="003D1DA8"/>
    <w:rsid w:val="00553531"/>
    <w:rsid w:val="00603979"/>
    <w:rsid w:val="006849A3"/>
    <w:rsid w:val="0071699B"/>
    <w:rsid w:val="008062BE"/>
    <w:rsid w:val="00863CE1"/>
    <w:rsid w:val="00880FF2"/>
    <w:rsid w:val="008E0E8A"/>
    <w:rsid w:val="00A23578"/>
    <w:rsid w:val="00B71271"/>
    <w:rsid w:val="00BC653D"/>
    <w:rsid w:val="00CA39FA"/>
    <w:rsid w:val="00D314B7"/>
    <w:rsid w:val="00E44B55"/>
    <w:rsid w:val="00E54544"/>
    <w:rsid w:val="00EE03A6"/>
    <w:rsid w:val="00F0615E"/>
    <w:rsid w:val="00F60DDA"/>
    <w:rsid w:val="00F86065"/>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536D8C"/>
  <w15:chartTrackingRefBased/>
  <w15:docId w15:val="{6DCA2223-3C61-427A-B0A3-667824A50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B55"/>
    <w:rPr>
      <w:kern w:val="0"/>
      <w14:ligatures w14:val="none"/>
    </w:rPr>
  </w:style>
  <w:style w:type="paragraph" w:styleId="Heading1">
    <w:name w:val="heading 1"/>
    <w:basedOn w:val="Normal"/>
    <w:next w:val="Normal"/>
    <w:link w:val="Heading1Char"/>
    <w:uiPriority w:val="9"/>
    <w:qFormat/>
    <w:rsid w:val="00880FF2"/>
    <w:pPr>
      <w:keepNext/>
      <w:keepLines/>
      <w:spacing w:before="240" w:after="0"/>
      <w:outlineLvl w:val="0"/>
    </w:pPr>
    <w:rPr>
      <w:rFonts w:ascii="Times New Roman" w:eastAsiaTheme="majorEastAsia" w:hAnsi="Times New Roman" w:cstheme="majorBidi"/>
      <w:b/>
      <w:kern w:val="2"/>
      <w:sz w:val="28"/>
      <w:szCs w:val="32"/>
      <w14:ligatures w14:val="standardContextual"/>
    </w:rPr>
  </w:style>
  <w:style w:type="paragraph" w:styleId="Heading3">
    <w:name w:val="heading 3"/>
    <w:basedOn w:val="Normal"/>
    <w:next w:val="Normal"/>
    <w:link w:val="Heading3Char"/>
    <w:uiPriority w:val="9"/>
    <w:semiHidden/>
    <w:unhideWhenUsed/>
    <w:qFormat/>
    <w:rsid w:val="00E44B5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0FF2"/>
    <w:rPr>
      <w:rFonts w:ascii="Times New Roman" w:eastAsiaTheme="majorEastAsia" w:hAnsi="Times New Roman" w:cstheme="majorBidi"/>
      <w:b/>
      <w:sz w:val="28"/>
      <w:szCs w:val="32"/>
    </w:rPr>
  </w:style>
  <w:style w:type="character" w:styleId="CommentReference">
    <w:name w:val="annotation reference"/>
    <w:basedOn w:val="DefaultParagraphFont"/>
    <w:uiPriority w:val="99"/>
    <w:semiHidden/>
    <w:unhideWhenUsed/>
    <w:rsid w:val="00E44B55"/>
    <w:rPr>
      <w:sz w:val="16"/>
      <w:szCs w:val="16"/>
    </w:rPr>
  </w:style>
  <w:style w:type="paragraph" w:styleId="CommentText">
    <w:name w:val="annotation text"/>
    <w:basedOn w:val="Normal"/>
    <w:link w:val="CommentTextChar"/>
    <w:uiPriority w:val="99"/>
    <w:unhideWhenUsed/>
    <w:rsid w:val="00E44B55"/>
    <w:pPr>
      <w:spacing w:line="240" w:lineRule="auto"/>
    </w:pPr>
    <w:rPr>
      <w:sz w:val="20"/>
      <w:szCs w:val="20"/>
    </w:rPr>
  </w:style>
  <w:style w:type="character" w:customStyle="1" w:styleId="CommentTextChar">
    <w:name w:val="Comment Text Char"/>
    <w:basedOn w:val="DefaultParagraphFont"/>
    <w:link w:val="CommentText"/>
    <w:uiPriority w:val="99"/>
    <w:rsid w:val="00E44B55"/>
    <w:rPr>
      <w:kern w:val="0"/>
      <w:sz w:val="20"/>
      <w:szCs w:val="20"/>
      <w14:ligatures w14:val="none"/>
    </w:rPr>
  </w:style>
  <w:style w:type="table" w:styleId="TableGrid">
    <w:name w:val="Table Grid"/>
    <w:basedOn w:val="TableNormal"/>
    <w:uiPriority w:val="39"/>
    <w:rsid w:val="00E44B5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
    <w:name w:val="Sub"/>
    <w:aliases w:val="sub headings"/>
    <w:basedOn w:val="Heading3"/>
    <w:link w:val="SubChar"/>
    <w:qFormat/>
    <w:rsid w:val="00E44B55"/>
    <w:rPr>
      <w:rFonts w:ascii="Arial" w:hAnsi="Arial" w:cs="Arial"/>
      <w:b/>
      <w:bCs/>
      <w:i/>
      <w:iCs/>
    </w:rPr>
  </w:style>
  <w:style w:type="character" w:customStyle="1" w:styleId="SubChar">
    <w:name w:val="Sub Char"/>
    <w:aliases w:val="sub headings Char"/>
    <w:basedOn w:val="Heading3Char"/>
    <w:link w:val="Sub"/>
    <w:rsid w:val="00E44B55"/>
    <w:rPr>
      <w:rFonts w:ascii="Arial" w:eastAsiaTheme="majorEastAsia" w:hAnsi="Arial" w:cs="Arial"/>
      <w:b/>
      <w:bCs/>
      <w:i/>
      <w:iCs/>
      <w:color w:val="1F3763" w:themeColor="accent1" w:themeShade="7F"/>
      <w:kern w:val="0"/>
      <w:sz w:val="24"/>
      <w:szCs w:val="24"/>
      <w14:ligatures w14:val="none"/>
    </w:rPr>
  </w:style>
  <w:style w:type="character" w:customStyle="1" w:styleId="Heading3Char">
    <w:name w:val="Heading 3 Char"/>
    <w:basedOn w:val="DefaultParagraphFont"/>
    <w:link w:val="Heading3"/>
    <w:uiPriority w:val="9"/>
    <w:semiHidden/>
    <w:rsid w:val="00E44B55"/>
    <w:rPr>
      <w:rFonts w:asciiTheme="majorHAnsi" w:eastAsiaTheme="majorEastAsia" w:hAnsiTheme="majorHAnsi" w:cstheme="majorBidi"/>
      <w:color w:val="1F3763" w:themeColor="accent1" w:themeShade="7F"/>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FE28F6-EAF5-482A-BCEA-7DB0B6849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Pages>
  <Words>429</Words>
  <Characters>2513</Characters>
  <Application>Microsoft Office Word</Application>
  <DocSecurity>0</DocSecurity>
  <Lines>95</Lines>
  <Paragraphs>65</Paragraphs>
  <ScaleCrop>false</ScaleCrop>
  <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Bergen</dc:creator>
  <cp:keywords/>
  <dc:description/>
  <cp:lastModifiedBy>Tom Bergen</cp:lastModifiedBy>
  <cp:revision>14</cp:revision>
  <dcterms:created xsi:type="dcterms:W3CDTF">2024-03-28T00:52:00Z</dcterms:created>
  <dcterms:modified xsi:type="dcterms:W3CDTF">2024-07-27T09:27:00Z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6a825aa1-8f08-3850-ab72-d587b1e37701</vt:lpwstr>
  </property>
  <property fmtid="{D5CDD505-2E9C-101B-9397-08002B2CF9AE}" pid="4" name="Mendeley Citation Style_1">
    <vt:lpwstr>http://www.zotero.org/styles/international-journal-of-behavioral-nutrition-and-physical-activity</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http://www.zotero.org/styles/harvard-cite-them-right</vt:lpwstr>
  </property>
  <property fmtid="{D5CDD505-2E9C-101B-9397-08002B2CF9AE}" pid="12" name="Mendeley Recent Style Name 3_1">
    <vt:lpwstr>Cite Them Right 12th edition - Harvard</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http://www.zotero.org/styles/international-journal-of-behavioral-nutrition-and-physical-activity</vt:lpwstr>
  </property>
  <property fmtid="{D5CDD505-2E9C-101B-9397-08002B2CF9AE}" pid="16" name="Mendeley Recent Style Name 5_1">
    <vt:lpwstr>International Journal of Behavioral Nutrition and Physical Activity</vt:lpwstr>
  </property>
  <property fmtid="{D5CDD505-2E9C-101B-9397-08002B2CF9AE}" pid="17" name="Mendeley Recent Style Id 6_1">
    <vt:lpwstr>http://www.zotero.org/styles/international-journal-of-environmental-research-and-public-health</vt:lpwstr>
  </property>
  <property fmtid="{D5CDD505-2E9C-101B-9397-08002B2CF9AE}" pid="18" name="Mendeley Recent Style Name 6_1">
    <vt:lpwstr>International Journal of Environmental Research and Public Health</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GrammarlyDocumentId">
    <vt:lpwstr>431639077af387ae9d151c1092218c2a06ca735b42dd4b2156fc4082c006f5db</vt:lpwstr>
  </property>
</Properties>
</file>