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31C52A" w14:textId="77777777" w:rsidR="00FE3342" w:rsidRPr="00E07D0F" w:rsidRDefault="00FE3342" w:rsidP="00FE3342">
      <w:pPr>
        <w:pStyle w:val="Thesisnormalv2"/>
      </w:pPr>
      <w:r w:rsidRPr="00AA5E8B">
        <w:t xml:space="preserve">Extra information for the coding methodology of </w:t>
      </w:r>
      <w:r>
        <w:t xml:space="preserve">the </w:t>
      </w:r>
      <w:r w:rsidRPr="00AA5E8B">
        <w:t xml:space="preserve">paper </w:t>
      </w:r>
    </w:p>
    <w:p w14:paraId="4265B3D9" w14:textId="77777777" w:rsidR="00FE3342" w:rsidRDefault="00FE3342" w:rsidP="00FE3342">
      <w:pPr>
        <w:spacing w:line="360" w:lineRule="auto"/>
        <w:rPr>
          <w:rFonts w:ascii="Times New Roman" w:hAnsi="Times New Roman" w:cs="Times New Roman"/>
          <w:sz w:val="24"/>
          <w:szCs w:val="24"/>
        </w:rPr>
      </w:pPr>
      <w:r>
        <w:rPr>
          <w:rFonts w:ascii="Times New Roman" w:hAnsi="Times New Roman" w:cs="Times New Roman"/>
          <w:sz w:val="24"/>
          <w:szCs w:val="24"/>
        </w:rPr>
        <w:t xml:space="preserve">Different methods and assumptions were used to formulate determinant score changes that would be used in the final coding (Supplementary </w:t>
      </w:r>
      <w:r w:rsidRPr="00E07D0F">
        <w:rPr>
          <w:rFonts w:ascii="Times New Roman" w:hAnsi="Times New Roman" w:cs="Times New Roman"/>
          <w:sz w:val="24"/>
          <w:szCs w:val="24"/>
        </w:rPr>
        <w:t>Table ST</w:t>
      </w:r>
      <w:r>
        <w:rPr>
          <w:rFonts w:ascii="Times New Roman" w:hAnsi="Times New Roman" w:cs="Times New Roman"/>
          <w:sz w:val="24"/>
          <w:szCs w:val="24"/>
        </w:rPr>
        <w:t>4).</w:t>
      </w:r>
    </w:p>
    <w:p w14:paraId="52B172A2" w14:textId="77777777" w:rsidR="00FE3342" w:rsidRPr="00E07D0F" w:rsidRDefault="00FE3342" w:rsidP="00FE3342">
      <w:pPr>
        <w:spacing w:line="360" w:lineRule="auto"/>
        <w:rPr>
          <w:rFonts w:ascii="Times New Roman" w:hAnsi="Times New Roman" w:cs="Times New Roman"/>
          <w:b/>
          <w:bCs/>
          <w:i/>
          <w:iCs/>
          <w:sz w:val="24"/>
          <w:szCs w:val="24"/>
        </w:rPr>
      </w:pPr>
      <w:r w:rsidRPr="00E07D0F">
        <w:rPr>
          <w:rFonts w:ascii="Times New Roman" w:hAnsi="Times New Roman" w:cs="Times New Roman"/>
          <w:b/>
          <w:bCs/>
          <w:i/>
          <w:iCs/>
          <w:sz w:val="24"/>
          <w:szCs w:val="24"/>
        </w:rPr>
        <w:t>Method 1: Used for current amount of PA settings and current social support for PA</w:t>
      </w:r>
    </w:p>
    <w:p w14:paraId="7C8792C8" w14:textId="77777777" w:rsidR="00FE3342" w:rsidRPr="00E07D0F" w:rsidRDefault="00FE3342" w:rsidP="00FE3342">
      <w:pPr>
        <w:spacing w:line="360" w:lineRule="auto"/>
        <w:rPr>
          <w:rFonts w:ascii="Times New Roman" w:hAnsi="Times New Roman" w:cs="Times New Roman"/>
          <w:sz w:val="24"/>
          <w:szCs w:val="24"/>
        </w:rPr>
      </w:pPr>
      <w:r w:rsidRPr="00E07D0F">
        <w:rPr>
          <w:rFonts w:ascii="Times New Roman" w:hAnsi="Times New Roman" w:cs="Times New Roman"/>
          <w:sz w:val="24"/>
          <w:szCs w:val="24"/>
        </w:rPr>
        <w:t>For these variables</w:t>
      </w:r>
      <w:r>
        <w:rPr>
          <w:rFonts w:ascii="Times New Roman" w:hAnsi="Times New Roman" w:cs="Times New Roman"/>
          <w:sz w:val="24"/>
          <w:szCs w:val="24"/>
        </w:rPr>
        <w:t>, it is clear how each intervention affects the specific questions that</w:t>
      </w:r>
      <w:r w:rsidRPr="00E07D0F">
        <w:rPr>
          <w:rFonts w:ascii="Times New Roman" w:hAnsi="Times New Roman" w:cs="Times New Roman"/>
          <w:sz w:val="24"/>
          <w:szCs w:val="24"/>
        </w:rPr>
        <w:t xml:space="preserve"> comprise the determinant. For example, </w:t>
      </w:r>
      <w:r>
        <w:rPr>
          <w:rFonts w:ascii="Times New Roman" w:hAnsi="Times New Roman" w:cs="Times New Roman"/>
          <w:sz w:val="24"/>
          <w:szCs w:val="24"/>
        </w:rPr>
        <w:t>PL</w:t>
      </w:r>
      <w:r w:rsidRPr="00E07D0F">
        <w:rPr>
          <w:rFonts w:ascii="Times New Roman" w:hAnsi="Times New Roman" w:cs="Times New Roman"/>
          <w:sz w:val="24"/>
          <w:szCs w:val="24"/>
        </w:rPr>
        <w:t xml:space="preserve"> is the only intervention that specifically refers to creating competitions for prizes</w:t>
      </w:r>
      <w:r>
        <w:rPr>
          <w:rFonts w:ascii="Times New Roman" w:hAnsi="Times New Roman" w:cs="Times New Roman"/>
          <w:sz w:val="24"/>
          <w:szCs w:val="24"/>
        </w:rPr>
        <w:t xml:space="preserve">. </w:t>
      </w:r>
      <w:r w:rsidRPr="00E07D0F">
        <w:rPr>
          <w:rFonts w:ascii="Times New Roman" w:hAnsi="Times New Roman" w:cs="Times New Roman"/>
          <w:sz w:val="24"/>
          <w:szCs w:val="24"/>
        </w:rPr>
        <w:t xml:space="preserve">Therefore, </w:t>
      </w:r>
      <w:r>
        <w:rPr>
          <w:rFonts w:ascii="Times New Roman" w:hAnsi="Times New Roman" w:cs="Times New Roman"/>
          <w:sz w:val="24"/>
          <w:szCs w:val="24"/>
        </w:rPr>
        <w:t>our code ensures that</w:t>
      </w:r>
      <w:r w:rsidRPr="00E07D0F">
        <w:rPr>
          <w:rFonts w:ascii="Times New Roman" w:hAnsi="Times New Roman" w:cs="Times New Roman"/>
          <w:sz w:val="24"/>
          <w:szCs w:val="24"/>
        </w:rPr>
        <w:t xml:space="preserve"> every adolescent who was not previously competing in a competitive or tournament setting now is, </w:t>
      </w:r>
      <w:r>
        <w:rPr>
          <w:rFonts w:ascii="Times New Roman" w:hAnsi="Times New Roman" w:cs="Times New Roman"/>
          <w:sz w:val="24"/>
          <w:szCs w:val="24"/>
        </w:rPr>
        <w:t xml:space="preserve">e.g., by </w:t>
      </w:r>
      <w:r w:rsidRPr="00E07D0F">
        <w:rPr>
          <w:rFonts w:ascii="Times New Roman" w:hAnsi="Times New Roman" w:cs="Times New Roman"/>
          <w:sz w:val="24"/>
          <w:szCs w:val="24"/>
        </w:rPr>
        <w:t>increasing the number of current settings they participate in.</w:t>
      </w:r>
    </w:p>
    <w:p w14:paraId="7816EC01" w14:textId="77777777" w:rsidR="00FE3342" w:rsidRPr="00E07D0F" w:rsidRDefault="00FE3342" w:rsidP="00FE3342">
      <w:pPr>
        <w:spacing w:line="360" w:lineRule="auto"/>
        <w:rPr>
          <w:rFonts w:ascii="Times New Roman" w:hAnsi="Times New Roman" w:cs="Times New Roman"/>
          <w:b/>
          <w:bCs/>
          <w:i/>
          <w:iCs/>
          <w:sz w:val="24"/>
          <w:szCs w:val="24"/>
        </w:rPr>
      </w:pPr>
      <w:r w:rsidRPr="00E07D0F">
        <w:rPr>
          <w:rFonts w:ascii="Times New Roman" w:hAnsi="Times New Roman" w:cs="Times New Roman"/>
          <w:b/>
          <w:bCs/>
          <w:i/>
          <w:iCs/>
          <w:sz w:val="24"/>
          <w:szCs w:val="24"/>
        </w:rPr>
        <w:t>Method 2: Used for current physical literacy and current types of PA</w:t>
      </w:r>
    </w:p>
    <w:p w14:paraId="2268CB31" w14:textId="77777777" w:rsidR="00FE3342" w:rsidRPr="00E07D0F" w:rsidRDefault="00FE3342" w:rsidP="00FE3342">
      <w:pPr>
        <w:spacing w:line="360" w:lineRule="auto"/>
        <w:rPr>
          <w:rFonts w:ascii="Times New Roman" w:hAnsi="Times New Roman" w:cs="Times New Roman"/>
          <w:sz w:val="24"/>
          <w:szCs w:val="24"/>
        </w:rPr>
      </w:pPr>
      <w:r>
        <w:rPr>
          <w:rFonts w:ascii="Times New Roman" w:hAnsi="Times New Roman" w:cs="Times New Roman"/>
          <w:sz w:val="24"/>
          <w:szCs w:val="24"/>
        </w:rPr>
        <w:t>Adjusting these</w:t>
      </w:r>
      <w:r w:rsidRPr="00E07D0F">
        <w:rPr>
          <w:rFonts w:ascii="Times New Roman" w:hAnsi="Times New Roman" w:cs="Times New Roman"/>
          <w:sz w:val="24"/>
          <w:szCs w:val="24"/>
        </w:rPr>
        <w:t xml:space="preserve"> </w:t>
      </w:r>
      <w:r>
        <w:rPr>
          <w:rFonts w:ascii="Times New Roman" w:hAnsi="Times New Roman" w:cs="Times New Roman"/>
          <w:sz w:val="24"/>
          <w:szCs w:val="24"/>
        </w:rPr>
        <w:t xml:space="preserve">determinants required </w:t>
      </w:r>
      <w:r w:rsidRPr="00E07D0F">
        <w:rPr>
          <w:rFonts w:ascii="Times New Roman" w:hAnsi="Times New Roman" w:cs="Times New Roman"/>
          <w:sz w:val="24"/>
          <w:szCs w:val="24"/>
        </w:rPr>
        <w:t xml:space="preserve">a mix of qualitative literature </w:t>
      </w:r>
      <w:r>
        <w:rPr>
          <w:rFonts w:ascii="Times New Roman" w:hAnsi="Times New Roman" w:cs="Times New Roman"/>
          <w:sz w:val="24"/>
          <w:szCs w:val="24"/>
        </w:rPr>
        <w:t xml:space="preserve">knowledge </w:t>
      </w:r>
      <w:r w:rsidRPr="00E07D0F">
        <w:rPr>
          <w:rFonts w:ascii="Times New Roman" w:hAnsi="Times New Roman" w:cs="Times New Roman"/>
          <w:sz w:val="24"/>
          <w:szCs w:val="24"/>
        </w:rPr>
        <w:t>and comparisons between intervention</w:t>
      </w:r>
      <w:r>
        <w:rPr>
          <w:rFonts w:ascii="Times New Roman" w:hAnsi="Times New Roman" w:cs="Times New Roman"/>
          <w:sz w:val="24"/>
          <w:szCs w:val="24"/>
        </w:rPr>
        <w:t>s</w:t>
      </w:r>
      <w:r w:rsidRPr="00E07D0F">
        <w:rPr>
          <w:rFonts w:ascii="Times New Roman" w:hAnsi="Times New Roman" w:cs="Times New Roman"/>
          <w:sz w:val="24"/>
          <w:szCs w:val="24"/>
        </w:rPr>
        <w:t xml:space="preserve"> to </w:t>
      </w:r>
      <w:r>
        <w:rPr>
          <w:rFonts w:ascii="Times New Roman" w:hAnsi="Times New Roman" w:cs="Times New Roman"/>
          <w:sz w:val="24"/>
          <w:szCs w:val="24"/>
        </w:rPr>
        <w:t xml:space="preserve">quantify changes due to the complexity around the original creation of the variable score. </w:t>
      </w:r>
      <w:r w:rsidRPr="00E07D0F">
        <w:rPr>
          <w:rFonts w:ascii="Times New Roman" w:hAnsi="Times New Roman" w:cs="Times New Roman"/>
          <w:sz w:val="24"/>
          <w:szCs w:val="24"/>
        </w:rPr>
        <w:t xml:space="preserve">For example, the ‘current number of PA </w:t>
      </w:r>
      <w:proofErr w:type="gramStart"/>
      <w:r w:rsidRPr="00E07D0F">
        <w:rPr>
          <w:rFonts w:ascii="Times New Roman" w:hAnsi="Times New Roman" w:cs="Times New Roman"/>
          <w:sz w:val="24"/>
          <w:szCs w:val="24"/>
        </w:rPr>
        <w:t>types’</w:t>
      </w:r>
      <w:proofErr w:type="gramEnd"/>
      <w:r>
        <w:rPr>
          <w:rFonts w:ascii="Times New Roman" w:hAnsi="Times New Roman" w:cs="Times New Roman"/>
          <w:sz w:val="24"/>
          <w:szCs w:val="24"/>
        </w:rPr>
        <w:t xml:space="preserve"> </w:t>
      </w:r>
      <w:r w:rsidRPr="00E07D0F">
        <w:rPr>
          <w:rFonts w:ascii="Times New Roman" w:hAnsi="Times New Roman" w:cs="Times New Roman"/>
          <w:sz w:val="24"/>
          <w:szCs w:val="24"/>
        </w:rPr>
        <w:t xml:space="preserve">determinant </w:t>
      </w:r>
      <w:r>
        <w:rPr>
          <w:rFonts w:ascii="Times New Roman" w:hAnsi="Times New Roman" w:cs="Times New Roman"/>
          <w:sz w:val="24"/>
          <w:szCs w:val="24"/>
        </w:rPr>
        <w:t>comprises</w:t>
      </w:r>
      <w:r w:rsidRPr="00E07D0F">
        <w:rPr>
          <w:rFonts w:ascii="Times New Roman" w:hAnsi="Times New Roman" w:cs="Times New Roman"/>
          <w:sz w:val="24"/>
          <w:szCs w:val="24"/>
        </w:rPr>
        <w:t xml:space="preserve"> 77 questions</w:t>
      </w:r>
      <w:r>
        <w:rPr>
          <w:rFonts w:ascii="Times New Roman" w:hAnsi="Times New Roman" w:cs="Times New Roman"/>
          <w:sz w:val="24"/>
          <w:szCs w:val="24"/>
        </w:rPr>
        <w:t xml:space="preserve">, which was difficult to account for. </w:t>
      </w:r>
    </w:p>
    <w:p w14:paraId="2947CEC6" w14:textId="77777777" w:rsidR="00FE3342" w:rsidRPr="00E07D0F" w:rsidRDefault="00FE3342" w:rsidP="00FE3342">
      <w:pPr>
        <w:spacing w:line="360" w:lineRule="auto"/>
        <w:rPr>
          <w:rFonts w:ascii="Times New Roman" w:hAnsi="Times New Roman" w:cs="Times New Roman"/>
          <w:b/>
          <w:bCs/>
          <w:i/>
          <w:iCs/>
          <w:sz w:val="24"/>
          <w:szCs w:val="24"/>
        </w:rPr>
      </w:pPr>
      <w:r w:rsidRPr="00E07D0F">
        <w:rPr>
          <w:rFonts w:ascii="Times New Roman" w:hAnsi="Times New Roman" w:cs="Times New Roman"/>
          <w:b/>
          <w:bCs/>
          <w:i/>
          <w:iCs/>
          <w:sz w:val="24"/>
          <w:szCs w:val="24"/>
        </w:rPr>
        <w:t>Method 3: Used for current weekly PA duration</w:t>
      </w:r>
    </w:p>
    <w:p w14:paraId="42D44FB5" w14:textId="77777777" w:rsidR="00FE3342" w:rsidRDefault="00FE3342" w:rsidP="00FE3342">
      <w:pPr>
        <w:spacing w:line="360" w:lineRule="auto"/>
        <w:rPr>
          <w:rFonts w:ascii="Times New Roman" w:eastAsia="Times New Roman" w:hAnsi="Times New Roman" w:cs="Times New Roman"/>
          <w:color w:val="222222"/>
          <w:sz w:val="24"/>
          <w:szCs w:val="24"/>
          <w:lang w:eastAsia="en-NZ"/>
        </w:rPr>
      </w:pPr>
      <w:r>
        <w:rPr>
          <w:rFonts w:ascii="Times New Roman" w:hAnsi="Times New Roman" w:cs="Times New Roman"/>
          <w:sz w:val="24"/>
          <w:szCs w:val="24"/>
        </w:rPr>
        <w:t>S</w:t>
      </w:r>
      <w:r w:rsidRPr="00E07D0F">
        <w:rPr>
          <w:rFonts w:ascii="Times New Roman" w:hAnsi="Times New Roman" w:cs="Times New Roman"/>
          <w:sz w:val="24"/>
          <w:szCs w:val="24"/>
        </w:rPr>
        <w:t xml:space="preserve">imulated interventions each had a ‘base intervention’ that informed them. These all had information on PA level change and this effect size was transferred directly into </w:t>
      </w:r>
      <w:r>
        <w:rPr>
          <w:rFonts w:ascii="Times New Roman" w:hAnsi="Times New Roman" w:cs="Times New Roman"/>
          <w:sz w:val="24"/>
          <w:szCs w:val="24"/>
        </w:rPr>
        <w:t>the</w:t>
      </w:r>
      <w:r w:rsidRPr="00E07D0F">
        <w:rPr>
          <w:rFonts w:ascii="Times New Roman" w:hAnsi="Times New Roman" w:cs="Times New Roman"/>
          <w:sz w:val="24"/>
          <w:szCs w:val="24"/>
        </w:rPr>
        <w:t xml:space="preserve"> model. To adjust for the different data collection times and tracking of adolescents in each base intervention, every PA duration was t</w:t>
      </w:r>
      <w:r w:rsidRPr="00E07D0F">
        <w:rPr>
          <w:rFonts w:ascii="Times New Roman" w:eastAsia="Times New Roman" w:hAnsi="Times New Roman" w:cs="Times New Roman"/>
          <w:color w:val="222222"/>
          <w:sz w:val="24"/>
          <w:szCs w:val="24"/>
          <w:lang w:eastAsia="en-NZ"/>
        </w:rPr>
        <w:t xml:space="preserve">aken from </w:t>
      </w:r>
      <w:r>
        <w:rPr>
          <w:rFonts w:ascii="Times New Roman" w:eastAsia="Times New Roman" w:hAnsi="Times New Roman" w:cs="Times New Roman"/>
          <w:color w:val="222222"/>
          <w:sz w:val="24"/>
          <w:szCs w:val="24"/>
          <w:lang w:eastAsia="en-NZ"/>
        </w:rPr>
        <w:t>the 6-month point,</w:t>
      </w:r>
      <w:r w:rsidRPr="00E07D0F">
        <w:rPr>
          <w:rFonts w:ascii="Times New Roman" w:eastAsia="Times New Roman" w:hAnsi="Times New Roman" w:cs="Times New Roman"/>
          <w:color w:val="222222"/>
          <w:sz w:val="24"/>
          <w:szCs w:val="24"/>
          <w:lang w:eastAsia="en-NZ"/>
        </w:rPr>
        <w:t xml:space="preserve"> which was the average data follow-up across most interventions. Additionally, to align how PA duration was reported, we translated all final scores into weekly total PA, even though some were reported daily and in MVPA.</w:t>
      </w:r>
    </w:p>
    <w:p w14:paraId="48980B1F" w14:textId="77777777" w:rsidR="00FE3342" w:rsidRDefault="00FE3342" w:rsidP="00FE3342">
      <w:pPr>
        <w:spacing w:line="360" w:lineRule="auto"/>
        <w:rPr>
          <w:rFonts w:ascii="Times New Roman" w:eastAsia="Times New Roman" w:hAnsi="Times New Roman" w:cs="Times New Roman"/>
          <w:color w:val="222222"/>
          <w:sz w:val="24"/>
          <w:szCs w:val="24"/>
          <w:lang w:eastAsia="en-NZ"/>
        </w:rPr>
      </w:pPr>
    </w:p>
    <w:p w14:paraId="049B81E8" w14:textId="7BE8DA73" w:rsidR="003264BB" w:rsidRPr="005631EC" w:rsidRDefault="003264BB" w:rsidP="005631EC">
      <w:pPr>
        <w:spacing w:line="360" w:lineRule="auto"/>
        <w:rPr>
          <w:rFonts w:ascii="Times New Roman" w:hAnsi="Times New Roman" w:cs="Times New Roman"/>
          <w:sz w:val="24"/>
          <w:szCs w:val="24"/>
        </w:rPr>
      </w:pPr>
      <w:r w:rsidRPr="00E07D0F">
        <w:rPr>
          <w:rFonts w:ascii="Times New Roman" w:hAnsi="Times New Roman" w:cs="Times New Roman"/>
          <w:b/>
          <w:bCs/>
          <w:sz w:val="24"/>
          <w:szCs w:val="24"/>
        </w:rPr>
        <w:lastRenderedPageBreak/>
        <w:t>Supplementary Table ST</w:t>
      </w:r>
      <w:r w:rsidR="00501873">
        <w:rPr>
          <w:rFonts w:ascii="Times New Roman" w:hAnsi="Times New Roman" w:cs="Times New Roman"/>
          <w:b/>
          <w:bCs/>
          <w:sz w:val="24"/>
          <w:szCs w:val="24"/>
        </w:rPr>
        <w:t>4</w:t>
      </w:r>
      <w:r w:rsidRPr="00E07D0F">
        <w:rPr>
          <w:rFonts w:ascii="Times New Roman" w:hAnsi="Times New Roman" w:cs="Times New Roman"/>
          <w:b/>
          <w:bCs/>
          <w:sz w:val="24"/>
          <w:szCs w:val="24"/>
        </w:rPr>
        <w:t xml:space="preserve"> </w:t>
      </w:r>
      <w:r w:rsidRPr="00227599">
        <w:rPr>
          <w:rFonts w:ascii="Times New Roman" w:hAnsi="Times New Roman" w:cs="Times New Roman"/>
          <w:i/>
          <w:iCs/>
          <w:sz w:val="24"/>
          <w:szCs w:val="24"/>
        </w:rPr>
        <w:t>Summarised information regarding the assumptions, considerations and coding decisions around each determinant of future PA</w:t>
      </w:r>
    </w:p>
    <w:tbl>
      <w:tblPr>
        <w:tblStyle w:val="TableGrid"/>
        <w:tblW w:w="14124" w:type="dxa"/>
        <w:tblLook w:val="04A0" w:firstRow="1" w:lastRow="0" w:firstColumn="1" w:lastColumn="0" w:noHBand="0" w:noVBand="1"/>
      </w:tblPr>
      <w:tblGrid>
        <w:gridCol w:w="3648"/>
        <w:gridCol w:w="2848"/>
        <w:gridCol w:w="2453"/>
        <w:gridCol w:w="2254"/>
        <w:gridCol w:w="2921"/>
      </w:tblGrid>
      <w:tr w:rsidR="003264BB" w:rsidRPr="00E07D0F" w14:paraId="2A84E621" w14:textId="77777777" w:rsidTr="00757C86">
        <w:trPr>
          <w:trHeight w:val="144"/>
        </w:trPr>
        <w:tc>
          <w:tcPr>
            <w:tcW w:w="3648" w:type="dxa"/>
            <w:shd w:val="clear" w:color="auto" w:fill="DEEAF6" w:themeFill="accent5" w:themeFillTint="33"/>
          </w:tcPr>
          <w:p w14:paraId="5CD3507C"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Interventions</w:t>
            </w:r>
          </w:p>
        </w:tc>
        <w:tc>
          <w:tcPr>
            <w:tcW w:w="2848" w:type="dxa"/>
            <w:shd w:val="clear" w:color="auto" w:fill="DEEAF6" w:themeFill="accent5" w:themeFillTint="33"/>
          </w:tcPr>
          <w:p w14:paraId="31C38F85"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Tech enhancement</w:t>
            </w:r>
          </w:p>
          <w:p w14:paraId="3665BF6D" w14:textId="77777777" w:rsidR="003264BB" w:rsidRPr="00E07D0F" w:rsidRDefault="003264BB" w:rsidP="00757C86">
            <w:pPr>
              <w:rPr>
                <w:rFonts w:ascii="Times New Roman" w:hAnsi="Times New Roman" w:cs="Times New Roman"/>
                <w:b/>
                <w:bCs/>
                <w:sz w:val="24"/>
                <w:szCs w:val="24"/>
              </w:rPr>
            </w:pPr>
          </w:p>
        </w:tc>
        <w:tc>
          <w:tcPr>
            <w:tcW w:w="2453" w:type="dxa"/>
            <w:shd w:val="clear" w:color="auto" w:fill="DEEAF6" w:themeFill="accent5" w:themeFillTint="33"/>
          </w:tcPr>
          <w:p w14:paraId="786D97D4"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Peer Led</w:t>
            </w:r>
          </w:p>
        </w:tc>
        <w:tc>
          <w:tcPr>
            <w:tcW w:w="2254" w:type="dxa"/>
            <w:shd w:val="clear" w:color="auto" w:fill="DEEAF6" w:themeFill="accent5" w:themeFillTint="33"/>
          </w:tcPr>
          <w:p w14:paraId="1F669B0D"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Active Learning</w:t>
            </w:r>
          </w:p>
        </w:tc>
        <w:tc>
          <w:tcPr>
            <w:tcW w:w="2921" w:type="dxa"/>
            <w:shd w:val="clear" w:color="auto" w:fill="DEEAF6" w:themeFill="accent5" w:themeFillTint="33"/>
          </w:tcPr>
          <w:p w14:paraId="3E56FF17"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Natural Environment</w:t>
            </w:r>
          </w:p>
        </w:tc>
      </w:tr>
      <w:tr w:rsidR="003264BB" w:rsidRPr="00E07D0F" w14:paraId="67BC7EC3" w14:textId="77777777" w:rsidTr="00757C86">
        <w:trPr>
          <w:trHeight w:val="144"/>
        </w:trPr>
        <w:tc>
          <w:tcPr>
            <w:tcW w:w="3648" w:type="dxa"/>
            <w:shd w:val="clear" w:color="auto" w:fill="DEEAF6" w:themeFill="accent5" w:themeFillTint="33"/>
          </w:tcPr>
          <w:p w14:paraId="477D527C"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Assumptions across every intervention</w:t>
            </w:r>
          </w:p>
        </w:tc>
        <w:tc>
          <w:tcPr>
            <w:tcW w:w="10476" w:type="dxa"/>
            <w:gridSpan w:val="4"/>
            <w:shd w:val="clear" w:color="auto" w:fill="FFFFFF" w:themeFill="background1"/>
          </w:tcPr>
          <w:p w14:paraId="2DD2385D" w14:textId="6F5B1F03"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b/>
                <w:bCs/>
                <w:sz w:val="24"/>
                <w:szCs w:val="24"/>
              </w:rPr>
              <w:t>1</w:t>
            </w:r>
            <w:r w:rsidRPr="00E07D0F">
              <w:rPr>
                <w:rFonts w:ascii="Times New Roman" w:hAnsi="Times New Roman" w:cs="Times New Roman"/>
                <w:sz w:val="24"/>
                <w:szCs w:val="24"/>
              </w:rPr>
              <w:t xml:space="preserve">) </w:t>
            </w:r>
            <w:r>
              <w:rPr>
                <w:rFonts w:ascii="Times New Roman" w:hAnsi="Times New Roman" w:cs="Times New Roman"/>
                <w:sz w:val="24"/>
                <w:szCs w:val="24"/>
              </w:rPr>
              <w:t>The</w:t>
            </w:r>
            <w:r w:rsidRPr="00E07D0F">
              <w:rPr>
                <w:rFonts w:ascii="Times New Roman" w:hAnsi="Times New Roman" w:cs="Times New Roman"/>
                <w:sz w:val="24"/>
                <w:szCs w:val="24"/>
              </w:rPr>
              <w:t xml:space="preserve"> original sample contained some adolescents not enrolled in a school. Therefore, we removed students not enrolled in secondary schools </w:t>
            </w:r>
            <w:r w:rsidR="0079119A">
              <w:rPr>
                <w:rFonts w:ascii="Times New Roman" w:hAnsi="Times New Roman" w:cs="Times New Roman"/>
                <w:sz w:val="24"/>
                <w:szCs w:val="24"/>
              </w:rPr>
              <w:t>within</w:t>
            </w:r>
            <w:r>
              <w:rPr>
                <w:rFonts w:ascii="Times New Roman" w:hAnsi="Times New Roman" w:cs="Times New Roman"/>
                <w:sz w:val="24"/>
                <w:szCs w:val="24"/>
              </w:rPr>
              <w:t xml:space="preserve"> the</w:t>
            </w:r>
            <w:r w:rsidRPr="00E07D0F">
              <w:rPr>
                <w:rFonts w:ascii="Times New Roman" w:hAnsi="Times New Roman" w:cs="Times New Roman"/>
                <w:sz w:val="24"/>
                <w:szCs w:val="24"/>
              </w:rPr>
              <w:t xml:space="preserve"> coding. </w:t>
            </w:r>
          </w:p>
          <w:p w14:paraId="74C90F0A" w14:textId="77777777" w:rsidR="003264BB" w:rsidRPr="00E07D0F" w:rsidRDefault="003264BB" w:rsidP="00757C86">
            <w:pPr>
              <w:rPr>
                <w:rFonts w:ascii="Times New Roman" w:hAnsi="Times New Roman" w:cs="Times New Roman"/>
                <w:sz w:val="24"/>
                <w:szCs w:val="24"/>
              </w:rPr>
            </w:pPr>
          </w:p>
          <w:p w14:paraId="6052E8DE" w14:textId="3CAE09C9"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 xml:space="preserve">2) </w:t>
            </w:r>
            <w:r w:rsidRPr="00E07D0F">
              <w:rPr>
                <w:rFonts w:ascii="Times New Roman" w:hAnsi="Times New Roman" w:cs="Times New Roman"/>
                <w:sz w:val="24"/>
                <w:szCs w:val="24"/>
              </w:rPr>
              <w:t xml:space="preserve">Assumed that despite some interventions having younger age ranges than </w:t>
            </w:r>
            <w:r>
              <w:rPr>
                <w:rFonts w:ascii="Times New Roman" w:hAnsi="Times New Roman" w:cs="Times New Roman"/>
                <w:sz w:val="24"/>
                <w:szCs w:val="24"/>
              </w:rPr>
              <w:t>the current</w:t>
            </w:r>
            <w:r w:rsidRPr="00E07D0F">
              <w:rPr>
                <w:rFonts w:ascii="Times New Roman" w:hAnsi="Times New Roman" w:cs="Times New Roman"/>
                <w:sz w:val="24"/>
                <w:szCs w:val="24"/>
              </w:rPr>
              <w:t xml:space="preserve"> sample (</w:t>
            </w:r>
            <w:proofErr w:type="spellStart"/>
            <w:r w:rsidRPr="00E07D0F">
              <w:rPr>
                <w:rFonts w:ascii="Times New Roman" w:hAnsi="Times New Roman" w:cs="Times New Roman"/>
                <w:sz w:val="24"/>
                <w:szCs w:val="24"/>
              </w:rPr>
              <w:t>i.e</w:t>
            </w:r>
            <w:proofErr w:type="spellEnd"/>
            <w:r w:rsidRPr="00E07D0F">
              <w:rPr>
                <w:rFonts w:ascii="Times New Roman" w:hAnsi="Times New Roman" w:cs="Times New Roman"/>
                <w:sz w:val="24"/>
                <w:szCs w:val="24"/>
              </w:rPr>
              <w:t xml:space="preserve">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{"citationItems":[{"id":"ITEM-1","itemData":{"DOI":"10.1123/jpah.2015-0046","ISSN":"15435474","PMID":"26107532","abstract":"To evaluate the impact of a primary school-based physical activity (PA) integration program delivered by teachers on objectively measured PA and key educational outcomes. Methods: Ten classes from 8 Australian public schools were randomly allocated to treatment conditions. Teachers from the intervention group were taught to embed movement-based learning in their students' (n = 142) daily mathematics program in 3 lessons per week for 6 weeks. The control group (n = 98) continued its regular mathematics program. The primary outcome was accelerometer-determined PA across the school day. Linear mixed models were used to analyze treatment effects. Results: Significant intervention effects were found for PA across the school day (adjusted mean difference 103 counts per minute [CPM], 95% confidence interval [CI], 36.5-169.7, P =.008). Intervention effects were also found for PA (168 CPM, 95% CI, 90.1-247.4, P =.008) and moderate-to-vigorous PA (2.6%, 95% CI, 0.9-4.4, P =.009) in mathematics lessons, sedentary time across the school day (-3.5%, 95% CI,-7.0 to-0.13, P =.044) and during mathematics (-8.2%, CI,-13.0 to-2.0, P =.010) and on-task behavior (13.8%, 95% CI, 4.0-23.6, P =.011)-but not for mathematics performance or attitude. Conclusion: Integrating movement across the primary mathematics syllabus is feasible and efficacious.","author":[{"dropping-particle":"","family":"Riley","given":"Nicholas","non-dropping-particle":"","parse-names":false,"suffix":""},{"dropping-particle":"","family":"Lubans","given":"David R.","non-dropping-particle":"","parse-names":false,"suffix":""},{"dropping-particle":"","family":"Holmes","given":"Kathryn","non-dropping-particle":"","parse-names":false,"suffix":""},{"dropping-particle":"","family":"Morgan","given":"Philip J.","non-dropping-particle":"","parse-names":false,"suffix":""}],"container-title":"Journal of Physical Activity and Health","id":"ITEM-1","issue":"2","issued":{"date-parts":[["2016"]]},"note":"The INTERVENTION WE ARE USING","page":"198-206","title":"Findings from the EASY minds cluster randomized controlled trial: Evaluation of a physical activity integration program for mathematics in primary schools","type":"article-journal","volume":"13"},"uris":["http://www.mendeley.com/documents/?uuid=27bde5fa-3460-4964-aabb-62b975c70797"]}],"mendeley":{"formattedCitation":"[1]","plainTextFormattedCitation":"[1]","previouslyFormattedCitation":"(1)"},"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[1]</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 xml:space="preserve"> &amp;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{"citationItems":[{"id":"ITEM-1","itemData":{"DOI":"10.1016/j.amepre.2018.11.004","ISSN":"18732607","PMID":"30772148","abstract":"Introduction: Nature exposure is associated with many wellbeing benefits. However, the influence of green space on the physical activity and social behaviors of children is not completely understood. The purpose of the study was to complete a stepwise impact evaluation of a large-scale playground greening project at a Title 1 elementary school in Los Angeles, California. Methods: Physical activity and social interaction data were collected with direct observation and accelerometers pre-, immediately post-, and 4 months post-greening at control (students enrolled=393) and experimental (students enrolled=538) locations from 2016 to 2017. Effects of relevant variables on recess behavior were analyzed with linear mixed models in 2018. Results: Zone popularity and recess behaviors did not change for control students during the study (p&gt;0.05). Areas replaced by green space became the most popular for experimental students who transitioned from traditional playground games/sports to tag/chasing, gymnastics, climbing/jumping, and creative play. The percentage of students observed as sedentary decreased by 10.0% (95% CI=4.9%, 15.0%) at 4 months, p=0.003. Vigorous activity participation increased pre to post at the individual (48.5%, 95% CI=29.1%, 67.9%, p&lt;0.001) and population level (41.2%, 95% CI=27.3%, 55.1%, p=0.003) and remained higher than pre-greening at 4 months (p&lt;0.05) for girls in the experimental group only. The moderate to vigorous physical activity differential between green space and hardscape was greater for fifth graders than all other grades, p=0.002. Student physical and verbal conflict rates decreased below pre-greening rates after 4 months for the experimental group, p&lt;0.001. Conclusions: Results suggest that adding green space to asphalt-covered schoolyards helps expose children to nature, increases daily activity levels, and promotes social wellbeing in sex- and age-dependent ways.","author":[{"dropping-particle":"","family":"Raney","given":"Marcella A.","non-dropping-particle":"","parse-names":false,"suffix":""},{"dropping-particle":"","family":"Hendry","given":"Colette F.","non-dropping-particle":"","parse-names":false,"suffix":""},{"dropping-particle":"","family":"Yee","given":"Samantha A.","non-dropping-particle":"","parse-names":false,"suffix":""}],"container-title":"American Journal of Preventive Medicine","id":"ITEM-1","issue":"4","issued":{"date-parts":[["2019"]]},"note":"BASE intervention. Focuses on 7-11 year olds so will have to improvise.","page":"522-529","publisher":"Elsevier Inc.","title":"Physical Activity and Social Behaviors of Urban Children in Green Playgrounds","type":"article-journal","volume":"56"},"uris":["http://www.mendeley.com/documents/?uuid=51d13995-b8ba-43c6-b0c6-4d7b8645e6f5"]}],"mendeley":{"formattedCitation":"[2]","plainTextFormattedCitation":"[2]","previouslyFormattedCitation":"(2)"},"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[2]</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 xml:space="preserve">, the same effect would be applied across each participant unless otherwise specified. </w:t>
            </w:r>
          </w:p>
        </w:tc>
      </w:tr>
      <w:tr w:rsidR="003264BB" w:rsidRPr="00E07D0F" w14:paraId="31356845" w14:textId="77777777" w:rsidTr="00757C86">
        <w:trPr>
          <w:trHeight w:val="144"/>
        </w:trPr>
        <w:tc>
          <w:tcPr>
            <w:tcW w:w="3648" w:type="dxa"/>
            <w:shd w:val="clear" w:color="auto" w:fill="DEEAF6" w:themeFill="accent5" w:themeFillTint="33"/>
          </w:tcPr>
          <w:p w14:paraId="4557F12E"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Intervention-specific assumptions and considerations</w:t>
            </w:r>
          </w:p>
        </w:tc>
        <w:tc>
          <w:tcPr>
            <w:tcW w:w="2848" w:type="dxa"/>
            <w:shd w:val="clear" w:color="auto" w:fill="FFFFFF" w:themeFill="background1"/>
          </w:tcPr>
          <w:p w14:paraId="59CC5298" w14:textId="7774184F"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b/>
                <w:bCs/>
                <w:sz w:val="24"/>
                <w:szCs w:val="24"/>
              </w:rPr>
              <w:t>1)</w:t>
            </w:r>
            <w:r w:rsidRPr="00E07D0F">
              <w:rPr>
                <w:rFonts w:ascii="Times New Roman" w:hAnsi="Times New Roman" w:cs="Times New Roman"/>
                <w:sz w:val="24"/>
                <w:szCs w:val="24"/>
              </w:rPr>
              <w:t xml:space="preserve"> Coded to include only those participating in P.E class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{"citationItems":[{"id":"ITEM-1","itemData":{"URL":"https://www.educationcounts.govt.nz/statistics/subject-enrolment","author":[{"dropping-particle":"","family":"Education Counts","given":"","non-dropping-particle":"","parse-names":false,"suffix":""}],"id":"ITEM-1","issued":{"date-parts":[["2022"]]},"title":"School Subject Enrolment","type":"webpage"},"uris":["http://www.mendeley.com/documents/?uuid=21348610-12ef-4ed8-b691-fb3bd0975e02"]}],"mendeley":{"formattedCitation":"[3]","plainTextFormattedCitation":"[3]","previouslyFormattedCitation":"(3)"},"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[3]</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w:t>
            </w:r>
          </w:p>
          <w:p w14:paraId="0E8965BE" w14:textId="77777777" w:rsidR="003264BB" w:rsidRPr="00E07D0F" w:rsidRDefault="003264BB" w:rsidP="00757C86">
            <w:pPr>
              <w:rPr>
                <w:rFonts w:ascii="Times New Roman" w:hAnsi="Times New Roman" w:cs="Times New Roman"/>
                <w:sz w:val="24"/>
                <w:szCs w:val="24"/>
              </w:rPr>
            </w:pPr>
          </w:p>
          <w:p w14:paraId="4810D94E" w14:textId="6DB50671"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b/>
                <w:bCs/>
                <w:sz w:val="24"/>
                <w:szCs w:val="24"/>
              </w:rPr>
              <w:t xml:space="preserve">2) </w:t>
            </w:r>
            <w:r w:rsidRPr="00E07D0F">
              <w:rPr>
                <w:rFonts w:ascii="Times New Roman" w:hAnsi="Times New Roman" w:cs="Times New Roman"/>
                <w:sz w:val="24"/>
                <w:szCs w:val="24"/>
              </w:rPr>
              <w:t xml:space="preserve">Assumed no differences across sociodemographic groups. Considered differences in lower vs higher deprivation schools due to access to technology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{"citationItems":[{"id":"ITEM-1","itemData":{"DOI":"10.2196/jmir.9.4.e31","ISSN":"14388871","PMID":"17951215","abstract":"Background: Despite the increasing penetration of the Internet and amount of online health information, there are significant barriers that limit its widespread adoption as a source of health information. One is the \"digital divide,\" with people of higher socioeconomic position (SEP) demonstrating greater access and usage compared to those from lower SEP groups. However, as the access gap narrows over time and more people use the Internet, a shift in research needs to occur to explore how one might improve Internet use as well as website design for a range of audiences. This is particularly important in the case of novice users who may not have the technical skills, experience, or social connections that could help them search for health information using the Internet. The focus of our research is to investigate the challenges in the implementation of a project to improve health information seeking among low SEP groups. The goal of the project is not to promote health information seeking as much as to understand the barriers and facilitators to computer and Internet use, beyond access, among members of lower SEP groups in an urban setting.Objective: The purpose was to qualitatively describe participants' self-identified barriers and facilitators to computer and Internet use during a 1-year pilot study as well as the challenges encountered by the research team in the delivery of the intervention.Methods: Between August and November 2005, 12 low-SEP urban individuals with no or limited computer and Internet experience were recruited through a snowball sampling. Each participant received a free computer system, broadband Internet access, monthly computer training courses, and technical support for 1 year as the intervention condition. Upon completion of the study, participants were offered the opportunity to complete an in-depth semistructured interview. Interviews were approximately 1 hour in length and were conducted by the project director. The interviews were held in the participants' homes and were tape recorded for accuracy. Nine of the 12 study participants completed the semistructured interviews. Members of the research team conducted a qualitative analysis based on the transcripts from the nine interviews using the crystallization/immersion method.Results: Nine of the 12 participants completed the in-depth interview (75% overall response rate), with three men and six women agreeing to be interviewed. Major barriers to Internet use that were mentio…","author":[{"dropping-particle":"","family":"Kontos","given":"Emily Z.","non-dropping-particle":"","parse-names":false,"suffix":""},{"dropping-particle":"","family":"Bennett","given":"Gary G.","non-dropping-particle":"","parse-names":false,"suffix":""},{"dropping-particle":"","family":"Viswanath","given":"K.","non-dropping-particle":"","parse-names":false,"suffix":""}],"container-title":"Journal of Medical Internet Research","id":"ITEM-1","issue":"4","issued":{"date-parts":[["2007"]]},"page":"1-11","title":"Barriers and facilitators to home computer and internet use among urban novice computer users of low socioeconomic position","type":"article-journal","volume":"9"},"uris":["http://www.mendeley.com/documents/?uuid=739cb4bf-fbdb-421f-a212-1c0157a24220"]}],"mendeley":{"formattedCitation":"[4]","plainTextFormattedCitation":"[4]","previouslyFormattedCitation":"(4)"},"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[4]</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 xml:space="preserve">. However, no evidence of quantitative differential effect in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{"citationItems":[{"id":"ITEM-1","itemData":{"DOI":"10.1136/bjsports-2017-097904","ISSN":"14730480","PMID":"28993404","abstract":"Objective Quality physical education (PE) is the cornerstone of comprehensive school physical activity (PA) promotion programmes. We tested the efficacy of a teacher professional learning intervention, delivered partially via the internet, designed to maximise opportunities for students to be active during PE lessons and enhance adolescents' motivation towards PE and PA. Methods A two-arm cluster randomised controlled trial with teachers and Grade 8 students from secondary schools in low socioeconomic areas of Western Sydney, Australia. The Activity and Motivation in Physical Education (AMPED) intervention for secondary school PE teachers included workshops, online learning, implementation tasks and mentoring sessions. The primary outcome was the proportion of PE lesson time that students spent in moderate-to-vigorous physical activity (MVPA), measured by accelerometers at baseline, postintervention (7-8 months after baseline) and maintenance (14-15 months). Secondary outcomes included observed PE teachers' behaviour during lessons, students' leisure-time PA and students' motivation. Results Students (n=1421) from 14 schools completed baseline assessments and were included in linear mixed model analyses. The intervention had positive effects on students' MVPA during lessons. At postintervention, the adjusted mean difference in the proportion of lesson time spent in MVPA was 5.58% (p&lt;0.001, approximately 4 min/lesson). During the maintenance phase, this effect was 2.64% (p&lt;0.001, approximately 2 min/lesson). The intervention had positive effects on teachers' behaviour, but did not impact students' motivation. Conclusions AMPED produced modest improvements in MVPA and compares favourably with previous interventions delivered exclusively face-to-face. Online teacher training could help facilitate widespread dissemination of professional learning interventions. Trial registration number ACTRN12614000184673.","author":[{"dropping-particle":"","family":"Lonsdale","given":"Chris","non-dropping-particle":"","parse-names":false,"suffix":""},{"dropping-particle":"","family":"Lester","given":"Aidan","non-dropping-particle":"","parse-names":false,"suffix":""},{"dropping-particle":"","family":"Owen","given":"Katherine B.","non-dropping-particle":"","parse-names":false,"suffix":""},{"dropping-particle":"","family":"White","given":"Rhiannon L.","non-dropping-particle":"","parse-names":false,"suffix":""},{"dropping-particle":"","family":"Peralta","given":"Louisa","non-dropping-particle":"","parse-names":false,"suffix":""},{"dropping-particle":"","family":"Kirwan","given":"Morwenna","non-dropping-particle":"","parse-names":false,"suffix":""},{"dropping-particle":"","family":"Diallo","given":"Thierno M.O.","non-dropping-particle":"","parse-names":false,"suffix":""},{"dropping-particle":"","family":"Maeder","given":"Anthony J.","non-dropping-particle":"","parse-names":false,"suffix":""},{"dropping-particle":"","family":"Bennie","given":"Andrew","non-dropping-particle":"","parse-names":false,"suffix":""},{"dropping-particle":"","family":"Macmillan","given":"Freya","non-dropping-particle":"","parse-names":false,"suffix":""},{"dropping-particle":"","family":"Kolt","given":"Gregory S.","non-dropping-particle":"","parse-names":false,"suffix":""},{"dropping-particle":"","family":"Ntoumanis","given":"Nikos","non-dropping-particle":"","parse-names":false,"suffix":""},{"dropping-particle":"","family":"Gore","given":"Jennifer M.","non-dropping-particle":"","parse-names":false,"suffix":""},{"dropping-particle":"","family":"Cerin","given":"Ester","non-dropping-particle":"","parse-names":false,"suffix":""},{"dropping-particle":"","family":"Cliff","given":"Dylan P.","non-dropping-particle":"","parse-names":false,"suffix":""},{"dropping-particle":"","family":"Lubans","given":"David R.","non-dropping-particle":"","parse-names":false,"suffix":""}],"container-title":"British Journal of Sports Medicine","id":"ITEM-1","issue":"6","issued":{"date-parts":[["2017"]]},"note":"The gold standard for these interventions.\n- Geared more towards teachers but has a maintenance phase and modest improvements of MVPA over 14-15 months.\n- Also 13-14 year olds, so a good age to be at.","page":"341-347","title":"An internet-supported school physical activity intervention in low socioeconomic status communities: Results from the Activity and Motivation in Physical Education (AMPED) cluster randomised controlled trial","type":"article-journal","volume":"53"},"uris":["http://www.mendeley.com/documents/?uuid=0c87aff7-c13d-4f62-8753-49d44785b578"]}],"mendeley":{"formattedCitation":"[5]","plainTextFormattedCitation":"[5]","previouslyFormattedCitation":"(5)"},"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[5]</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w:t>
            </w:r>
          </w:p>
          <w:p w14:paraId="496D506A" w14:textId="77777777" w:rsidR="003264BB" w:rsidRPr="00E07D0F" w:rsidRDefault="003264BB" w:rsidP="00757C86">
            <w:pPr>
              <w:rPr>
                <w:rFonts w:ascii="Times New Roman" w:hAnsi="Times New Roman" w:cs="Times New Roman"/>
                <w:b/>
                <w:bCs/>
                <w:sz w:val="24"/>
                <w:szCs w:val="24"/>
              </w:rPr>
            </w:pPr>
          </w:p>
        </w:tc>
        <w:tc>
          <w:tcPr>
            <w:tcW w:w="2453" w:type="dxa"/>
            <w:shd w:val="clear" w:color="auto" w:fill="FFFFFF" w:themeFill="background1"/>
          </w:tcPr>
          <w:p w14:paraId="01B2CC80" w14:textId="124D9FEB"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b/>
                <w:bCs/>
                <w:sz w:val="24"/>
                <w:szCs w:val="24"/>
              </w:rPr>
              <w:t>1)</w:t>
            </w:r>
            <w:r w:rsidRPr="00E07D0F">
              <w:rPr>
                <w:rFonts w:ascii="Times New Roman" w:hAnsi="Times New Roman" w:cs="Times New Roman"/>
                <w:sz w:val="24"/>
                <w:szCs w:val="24"/>
              </w:rPr>
              <w:t xml:space="preserve"> Coded to only effect 13-14 year olds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{"citationItems":[{"id":"ITEM-1","itemData":{"DOI":"10.1371/journal.pmed.1003210","ISBN":"1111111111","ISSN":"15491676","PMID":"32701954","abstract":"Background Less than 20% of adolescents globally meet recommended levels of physical activity, and not meeting these recommended levels is associated with social disadvantage and rising disease risk. The determinants of physical activity in adolescents are multilevel and poorly understood, but the school’s social environment likely plays an important role. We conducted a cluster randomised controlled trial to assess the effectiveness of a school-based programme (GoActive) to increase moderate-to-vigorous physical activity (MVPA) among adolescents. Methods and findings Non-fee-paying, co-educational schools including Year 9 students in the UK counties of Cambridgeshire and Essex were eligible for inclusion. Within participating schools (n = 16), all Year 9 students were eligible and invited to participate. Participants were 2,862 13- to 14-year-olds (84% of eligible students). After baseline assessment, schools were computer-randomised, stratified by school-level pupil premium funding (below/above county-specific median) and county (control: 8 schools, 1,319 participants, mean [SD] participants per school n = 165 [62]; intervention: 8 schools, 1,543 participants, n = 193 [43]). Measurement staff were blinded to allocation. The iteratively developed, feasibility-tested 12-week intervention, aligned with self-determination theory, trained older adolescent mentors and in-class peer-leaders to encourage classes to conduct 2 new weekly activities. Students and classes gained points and rewards for engaging in any activity in or out of school. The primary outcome was average daily minutes of accelerometer-assessed MVPA at 10-month follow-up; a mixed-methods process evaluation evaluated implementation. Of 2,862 recruited participants (52.1% male), 2,167 (76%) attended 10-month follow-up measurements; we analysed the primary outcome for 1,874 participants (65.5%). At 10 months, there was a mean (SD) decrease in MVPA of 8.3 (19.3) minutes in the control group and 10.4 (22.7) minutes in the intervention group (baseline-adjusted difference [95% confidence interval] −1.91 minutes [−5.53 to 1.70], p = 0.316). The programme cost £13 per student compared with control; it was not cost-effective. Overall, 62.9% of students and 87.3% of mentors reported that GoActive was fun. Teachers and mentors commented that their roles in programme delivery were unclear. Implementation fidelity was low. The main methodological limitation of this study was the relatively affluent and e…","author":[{"dropping-particle":"","family":"Corder","given":"Kirsten","non-dropping-particle":"","parse-names":false,"suffix":""},{"dropping-particle":"","family":"Sharp","given":"Stephen J.","non-dropping-particle":"","parse-names":false,"suffix":""},{"dropping-particle":"","family":"Jong","given":"Stephanie T.","non-dropping-particle":"","parse-names":false,"suffix":""},{"dropping-particle":"","family":"Foubister","given":"Campbell","non-dropping-particle":"","parse-names":false,"suffix":""},{"dropping-particle":"","family":"Brown","given":"Helen Elizabeth","non-dropping-particle":"","parse-names":false,"suffix":""},{"dropping-particle":"","family":"Wells","given":"Emma K.","non-dropping-particle":"","parse-names":false,"suffix":""},{"dropping-particle":"","family":"Armitage","given":"Sofie M.","non-dropping-particle":"","parse-names":false,"suffix":""},{"dropping-particle":"","family":"Croxson","given":"Caroline H.D.","non-dropping-particle":"","parse-names":false,"suffix":""},{"dropping-particle":"","family":"Vignoles","given":"Anna","non-dropping-particle":"","parse-names":false,"suffix":""},{"dropping-particle":"","family":"Wilkinson","given":"Paul O.","non-dropping-particle":"","parse-names":false,"suffix":""},{"dropping-particle":"","family":"Wilson","given":"Edward C.F.","non-dropping-particle":"","parse-names":false,"suffix":""},{"dropping-particle":"","family":"Sluijs","given":"Esther M.F.","non-dropping-particle":"van","parse-names":false,"suffix":""}],"container-title":"PLoS Medicine","id":"ITEM-1","issue":"7","issued":{"date-parts":[["2020"]]},"note":"An updated use of the intervention, no significant results, but good pricing e.t.c","title":"Effectiveness and cost-effectiveness of the GoActive intervention to increase physical activity among UK adolescents: A cluster randomised controlled trial","type":"article-journal","volume":"17"},"uris":["http://www.mendeley.com/documents/?uuid=1c7e1530-e4ed-41b8-a957-863c3bf84912"]}],"mendeley":{"formattedCitation":"[6]","plainTextFormattedCitation":"[6]","previouslyFormattedCitation":"(6)"},"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[6]</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w:t>
            </w:r>
          </w:p>
          <w:p w14:paraId="435C03BF" w14:textId="77777777" w:rsidR="003264BB" w:rsidRPr="00E07D0F" w:rsidRDefault="003264BB" w:rsidP="00757C86">
            <w:pPr>
              <w:rPr>
                <w:rFonts w:ascii="Times New Roman" w:hAnsi="Times New Roman" w:cs="Times New Roman"/>
                <w:sz w:val="24"/>
                <w:szCs w:val="24"/>
              </w:rPr>
            </w:pPr>
          </w:p>
          <w:p w14:paraId="3C088789" w14:textId="21263B3F"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b/>
                <w:bCs/>
                <w:sz w:val="24"/>
                <w:szCs w:val="24"/>
              </w:rPr>
              <w:t xml:space="preserve">2) </w:t>
            </w:r>
            <w:r w:rsidRPr="00E07D0F">
              <w:rPr>
                <w:rFonts w:ascii="Times New Roman" w:hAnsi="Times New Roman" w:cs="Times New Roman"/>
                <w:sz w:val="24"/>
                <w:szCs w:val="24"/>
              </w:rPr>
              <w:t xml:space="preserve">Assumed no differences across other sociodemographic groups. No evidence of quantitative differential effect in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{"citationItems":[{"id":"ITEM-1","itemData":{"DOI":"10.1371/journal.pmed.1003210","ISBN":"1111111111","ISSN":"15491676","PMID":"32701954","abstract":"Background Less than 20% of adolescents globally meet recommended levels of physical activity, and not meeting these recommended levels is associated with social disadvantage and rising disease risk. The determinants of physical activity in adolescents are multilevel and poorly understood, but the school’s social environment likely plays an important role. We conducted a cluster randomised controlled trial to assess the effectiveness of a school-based programme (GoActive) to increase moderate-to-vigorous physical activity (MVPA) among adolescents. Methods and findings Non-fee-paying, co-educational schools including Year 9 students in the UK counties of Cambridgeshire and Essex were eligible for inclusion. Within participating schools (n = 16), all Year 9 students were eligible and invited to participate. Participants were 2,862 13- to 14-year-olds (84% of eligible students). After baseline assessment, schools were computer-randomised, stratified by school-level pupil premium funding (below/above county-specific median) and county (control: 8 schools, 1,319 participants, mean [SD] participants per school n = 165 [62]; intervention: 8 schools, 1,543 participants, n = 193 [43]). Measurement staff were blinded to allocation. The iteratively developed, feasibility-tested 12-week intervention, aligned with self-determination theory, trained older adolescent mentors and in-class peer-leaders to encourage classes to conduct 2 new weekly activities. Students and classes gained points and rewards for engaging in any activity in or out of school. The primary outcome was average daily minutes of accelerometer-assessed MVPA at 10-month follow-up; a mixed-methods process evaluation evaluated implementation. Of 2,862 recruited participants (52.1% male), 2,167 (76%) attended 10-month follow-up measurements; we analysed the primary outcome for 1,874 participants (65.5%). At 10 months, there was a mean (SD) decrease in MVPA of 8.3 (19.3) minutes in the control group and 10.4 (22.7) minutes in the intervention group (baseline-adjusted difference [95% confidence interval] −1.91 minutes [−5.53 to 1.70], p = 0.316). The programme cost £13 per student compared with control; it was not cost-effective. Overall, 62.9% of students and 87.3% of mentors reported that GoActive was fun. Teachers and mentors commented that their roles in programme delivery were unclear. Implementation fidelity was low. The main methodological limitation of this study was the relatively affluent and e…","author":[{"dropping-particle":"","family":"Corder","given":"Kirsten","non-dropping-particle":"","parse-names":false,"suffix":""},{"dropping-particle":"","family":"Sharp","given":"Stephen J.","non-dropping-particle":"","parse-names":false,"suffix":""},{"dropping-particle":"","family":"Jong","given":"Stephanie T.","non-dropping-particle":"","parse-names":false,"suffix":""},{"dropping-particle":"","family":"Foubister","given":"Campbell","non-dropping-particle":"","parse-names":false,"suffix":""},{"dropping-particle":"","family":"Brown","given":"Helen Elizabeth","non-dropping-particle":"","parse-names":false,"suffix":""},{"dropping-particle":"","family":"Wells","given":"Emma K.","non-dropping-particle":"","parse-names":false,"suffix":""},{"dropping-particle":"","family":"Armitage","given":"Sofie M.","non-dropping-particle":"","parse-names":false,"suffix":""},{"dropping-particle":"","family":"Croxson","given":"Caroline H.D.","non-dropping-particle":"","parse-names":false,"suffix":""},{"dropping-particle":"","family":"Vignoles","given":"Anna","non-dropping-particle":"","parse-names":false,"suffix":""},{"dropping-particle":"","family":"Wilkinson","given":"Paul O.","non-dropping-particle":"","parse-names":false,"suffix":""},{"dropping-particle":"","family":"Wilson","given":"Edward C.F.","non-dropping-particle":"","parse-names":false,"suffix":""},{"dropping-particle":"","family":"Sluijs","given":"Esther M.F.","non-dropping-particle":"van","parse-names":false,"suffix":""}],"container-title":"PLoS Medicine","id":"ITEM-1","issue":"7","issued":{"date-parts":[["2020"]]},"note":"An updated use of the intervention, no significant results, but good pricing e.t.c","title":"Effectiveness and cost-effectiveness of the GoActive intervention to increase physical activity among UK adolescents: A cluster randomised controlled trial","type":"article-journal","volume":"17"},"uris":["http://www.mendeley.com/documents/?uuid=1c7e1530-e4ed-41b8-a957-863c3bf84912"]}],"mendeley":{"formattedCitation":"[6]","plainTextFormattedCitation":"[6]","previouslyFormattedCitation":"(6)"},"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[6]</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 xml:space="preserve">. </w:t>
            </w:r>
          </w:p>
        </w:tc>
        <w:tc>
          <w:tcPr>
            <w:tcW w:w="2254" w:type="dxa"/>
            <w:shd w:val="clear" w:color="auto" w:fill="FFFFFF" w:themeFill="background1"/>
          </w:tcPr>
          <w:p w14:paraId="2E4478C0" w14:textId="4A2F52F2"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 </w:t>
            </w:r>
            <w:r w:rsidRPr="00E07D0F">
              <w:rPr>
                <w:rFonts w:ascii="Times New Roman" w:hAnsi="Times New Roman" w:cs="Times New Roman"/>
                <w:b/>
                <w:bCs/>
                <w:sz w:val="24"/>
                <w:szCs w:val="24"/>
              </w:rPr>
              <w:t xml:space="preserve">1) </w:t>
            </w:r>
            <w:r w:rsidRPr="00E07D0F">
              <w:rPr>
                <w:rFonts w:ascii="Times New Roman" w:hAnsi="Times New Roman" w:cs="Times New Roman"/>
                <w:sz w:val="24"/>
                <w:szCs w:val="24"/>
              </w:rPr>
              <w:t xml:space="preserve">Assumed no differences across sociodemographic groups. Considered the relative effectiveness of PAL across different ages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{"citationItems":[{"id":"ITEM-1","itemData":{"DOI":"10.1371/journal.pone.0218633","ISBN":"1111111111","ISSN":"19326203","PMID":"31237913","abstract":"Objectives Despite the relationship between physical activity (PA) and learning outcomes, the school system has not been able to support the inclusion of PA throughout the day. A solution to this problem integrates PA into the academic classroom. The objective of this review is to determine the impact of active classrooms compared to traditional sedentary classrooms on educational outcomes of school-aged children. Design We searched ERIC, PubMed, PsychINFO, and Web of Science, reference lists of included studies for randomised controlled studies. Independent reviewers screened the texts of potentially eligible studies and assessed the risk of bias. Data were pooled using random-effects models on standardized mean differences. Results This review identified 25 studies examining educational outcomes, including approximately 6,181 students. Risk of bias was assessed as either some or high risk of bias for most of the studies and outcomes. Pooled data from 20 studies and 842 participants measuring academic performance shows a small positive effect of active classrooms compared with traditional, sedentary classrooms (SMD = 0.28, 95% CI: 0.09 to 0.47). Conclusions Physically active classrooms may slightly improve academic achievement compared to the traditional sedentary lessons. Future research is needed to ensure that studies are adequately powered, employ appropriate methods of randomization, and measure a wide range of important student outcomes across the full spectrum of the school-age.","author":[{"dropping-particle":"","family":"Bedard","given":"Chloe","non-dropping-particle":"","parse-names":false,"suffix":""},{"dropping-particle":"","family":"St John","given":"Laura","non-dropping-particle":"","parse-names":false,"suffix":""},{"dropping-particle":"","family":"Bremer","given":"Emily","non-dropping-particle":"","parse-names":false,"suffix":""},{"dropping-particle":"","family":"Graham","given":"Jeffrey D.","non-dropping-particle":"","parse-names":false,"suffix":""},{"dropping-particle":"","family":"Cairney","given":"John","non-dropping-particle":"","parse-names":false,"suffix":""}],"container-title":"PLoS ONE","id":"ITEM-1","issue":"6","issued":{"date-parts":[["2018"]]},"page":"1-19","title":"A systematic review and meta-analysis on the effects of physically active classrooms on educational and enjoyment outcomes in school age children","type":"article-journal","volume":"14"},"uris":["http://www.mendeley.com/documents/?uuid=5d1745a6-23b7-486d-804c-3a85edb849c7"]}],"mendeley":{"formattedCitation":"[7]","plainTextFormattedCitation":"[7]","previouslyFormattedCitation":"(7)"},"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[7]</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 xml:space="preserve">. However no substantial evidence of quantitative differential effect in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{"citationItems":[{"id":"ITEM-1","itemData":{"DOI":"10.1123/jpah.2015-0046","ISSN":"15435474","PMID":"26107532","abstract":"To evaluate the impact of a primary school-based physical activity (PA) integration program delivered by teachers on objectively measured PA and key educational outcomes. Methods: Ten classes from 8 Australian public schools were randomly allocated to treatment conditions. Teachers from the intervention group were taught to embed movement-based learning in their students' (n = 142) daily mathematics program in 3 lessons per week for 6 weeks. The control group (n = 98) continued its regular mathematics program. The primary outcome was accelerometer-determined PA across the school day. Linear mixed models were used to analyze treatment effects. Results: Significant intervention effects were found for PA across the school day (adjusted mean difference 103 counts per minute [CPM], 95% confidence interval [CI], 36.5-169.7, P =.008). Intervention effects were also found for PA (168 CPM, 95% CI, 90.1-247.4, P =.008) and moderate-to-vigorous PA (2.6%, 95% CI, 0.9-4.4, P =.009) in mathematics lessons, sedentary time across the school day (-3.5%, 95% CI,-7.0 to-0.13, P =.044) and during mathematics (-8.2%, CI,-13.0 to-2.0, P =.010) and on-task behavior (13.8%, 95% CI, 4.0-23.6, P =.011)-but not for mathematics performance or attitude. Conclusion: Integrating movement across the primary mathematics syllabus is feasible and efficacious.","author":[{"dropping-particle":"","family":"Riley","given":"Nicholas","non-dropping-particle":"","parse-names":false,"suffix":""},{"dropping-particle":"","family":"Lubans","given":"David R.","non-dropping-particle":"","parse-names":false,"suffix":""},{"dropping-particle":"","family":"Holmes","given":"Kathryn","non-dropping-particle":"","parse-names":false,"suffix":""},{"dropping-particle":"","family":"Morgan","given":"Philip J.","non-dropping-particle":"","parse-names":false,"suffix":""}],"container-title":"Journal of Physical Activity and Health","id":"ITEM-1","issue":"2","issued":{"date-parts":[["2016"]]},"note":"The INTERVENTION WE ARE USING","page":"198-206","title":"Findings from the EASY minds cluster randomized controlled trial: Evaluation of a physical activity integration program for mathematics in primary schools","type":"article-journal","volume":"13"},"uris":["http://www.mendeley.com/documents/?uuid=27bde5fa-3460-4964-aabb-62b975c70797"]}],"mendeley":{"formattedCitation":"[1]","plainTextFormattedCitation":"[1]","previouslyFormattedCitation":"(1)"},"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[1]</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w:t>
            </w:r>
          </w:p>
          <w:p w14:paraId="13D91965" w14:textId="77777777" w:rsidR="003264BB" w:rsidRPr="00E07D0F" w:rsidRDefault="003264BB" w:rsidP="00757C86">
            <w:pPr>
              <w:rPr>
                <w:rFonts w:ascii="Times New Roman" w:hAnsi="Times New Roman" w:cs="Times New Roman"/>
                <w:sz w:val="24"/>
                <w:szCs w:val="24"/>
              </w:rPr>
            </w:pPr>
          </w:p>
          <w:p w14:paraId="0AB001A6" w14:textId="77777777" w:rsidR="003264BB" w:rsidRPr="00E07D0F" w:rsidRDefault="003264BB" w:rsidP="00757C86">
            <w:pPr>
              <w:rPr>
                <w:rFonts w:ascii="Times New Roman" w:hAnsi="Times New Roman" w:cs="Times New Roman"/>
                <w:b/>
                <w:bCs/>
                <w:sz w:val="24"/>
                <w:szCs w:val="24"/>
              </w:rPr>
            </w:pPr>
          </w:p>
        </w:tc>
        <w:tc>
          <w:tcPr>
            <w:tcW w:w="2921" w:type="dxa"/>
            <w:shd w:val="clear" w:color="auto" w:fill="FFFFFF" w:themeFill="background1"/>
          </w:tcPr>
          <w:p w14:paraId="1D3BFB7F" w14:textId="3F470293"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b/>
                <w:bCs/>
                <w:sz w:val="24"/>
                <w:szCs w:val="24"/>
              </w:rPr>
              <w:t xml:space="preserve">1) </w:t>
            </w:r>
            <w:r w:rsidRPr="00E07D0F">
              <w:rPr>
                <w:rFonts w:ascii="Times New Roman" w:hAnsi="Times New Roman" w:cs="Times New Roman"/>
                <w:sz w:val="24"/>
                <w:szCs w:val="24"/>
              </w:rPr>
              <w:t xml:space="preserve">Assumed no differences across sociodemographic groups. No substantial evidence of quantitative, differential effect in </w:t>
            </w:r>
            <w:r w:rsidRPr="00E07D0F">
              <w:rPr>
                <w:rFonts w:ascii="Times New Roman" w:hAnsi="Times New Roman" w:cs="Times New Roman"/>
                <w:sz w:val="24"/>
                <w:szCs w:val="24"/>
              </w:rPr>
              <w:fldChar w:fldCharType="begin" w:fldLock="1"/>
            </w:r>
            <w:r w:rsidR="00665D4E">
              <w:rPr>
                <w:rFonts w:ascii="Times New Roman" w:hAnsi="Times New Roman" w:cs="Times New Roman"/>
                <w:sz w:val="24"/>
                <w:szCs w:val="24"/>
              </w:rPr>
              <w:instrText>ADDIN CSL_CITATION {"citationItems":[{"id":"ITEM-1","itemData":{"DOI":"10.1016/j.amepre.2018.11.004","ISSN":"18732607","PMID":"30772148","abstract":"Introduction: Nature exposure is associated with many wellbeing benefits. However, the influence of green space on the physical activity and social behaviors of children is not completely understood. The purpose of the study was to complete a stepwise impact evaluation of a large-scale playground greening project at a Title 1 elementary school in Los Angeles, California. Methods: Physical activity and social interaction data were collected with direct observation and accelerometers pre-, immediately post-, and 4 months post-greening at control (students enrolled=393) and experimental (students enrolled=538) locations from 2016 to 2017. Effects of relevant variables on recess behavior were analyzed with linear mixed models in 2018. Results: Zone popularity and recess behaviors did not change for control students during the study (p&gt;0.05). Areas replaced by green space became the most popular for experimental students who transitioned from traditional playground games/sports to tag/chasing, gymnastics, climbing/jumping, and creative play. The percentage of students observed as sedentary decreased by 10.0% (95% CI=4.9%, 15.0%) at 4 months, p=0.003. Vigorous activity participation increased pre to post at the individual (48.5%, 95% CI=29.1%, 67.9%, p&lt;0.001) and population level (41.2%, 95% CI=27.3%, 55.1%, p=0.003) and remained higher than pre-greening at 4 months (p&lt;0.05) for girls in the experimental group only. The moderate to vigorous physical activity differential between green space and hardscape was greater for fifth graders than all other grades, p=0.002. Student physical and verbal conflict rates decreased below pre-greening rates after 4 months for the experimental group, p&lt;0.001. Conclusions: Results suggest that adding green space to asphalt-covered schoolyards helps expose children to nature, increases daily activity levels, and promotes social wellbeing in sex- and age-dependent ways.","author":[{"dropping-particle":"","family":"Raney","given":"Marcella A.","non-dropping-particle":"","parse-names":false,"suffix":""},{"dropping-particle":"","family":"Hendry","given":"Colette F.","non-dropping-particle":"","parse-names":false,"suffix":""},{"dropping-particle":"","family":"Yee","given":"Samantha A.","non-dropping-particle":"","parse-names":false,"suffix":""}],"container-title":"American Journal of Preventive Medicine","id":"ITEM-1","issue":"4","issued":{"date-parts":[["2019"]]},"note":"BASE intervention. Focuses on 7-11 year olds so will have to improvise.","page":"522-529","publisher":"Elsevier Inc.","title":"Physical Activity and Social Behaviors of Urban Children in Green Playgrounds","type":"article-journal","volume":"56"},"uris":["http://www.mendeley.com/documents/?uuid=51d13995-b8ba-43c6-b0c6-4d7b8645e6f5"]}],"mendeley":{"formattedCitation":"[2]","plainTextFormattedCitation":"[2]","previouslyFormattedCitation":"(2)"},"properties":{"noteIndex":0},"schema":"https://github.com/citation-style-language/schema/raw/master/csl-citation.json"}</w:instrText>
            </w:r>
            <w:r w:rsidRPr="00E07D0F">
              <w:rPr>
                <w:rFonts w:ascii="Times New Roman" w:hAnsi="Times New Roman" w:cs="Times New Roman"/>
                <w:sz w:val="24"/>
                <w:szCs w:val="24"/>
              </w:rPr>
              <w:fldChar w:fldCharType="separate"/>
            </w:r>
            <w:r w:rsidR="00665D4E" w:rsidRPr="00665D4E">
              <w:rPr>
                <w:rFonts w:ascii="Times New Roman" w:hAnsi="Times New Roman" w:cs="Times New Roman"/>
                <w:noProof/>
                <w:sz w:val="24"/>
                <w:szCs w:val="24"/>
              </w:rPr>
              <w:t>[2]</w:t>
            </w:r>
            <w:r w:rsidRPr="00E07D0F">
              <w:rPr>
                <w:rFonts w:ascii="Times New Roman" w:hAnsi="Times New Roman" w:cs="Times New Roman"/>
                <w:sz w:val="24"/>
                <w:szCs w:val="24"/>
              </w:rPr>
              <w:fldChar w:fldCharType="end"/>
            </w:r>
            <w:r w:rsidRPr="00E07D0F">
              <w:rPr>
                <w:rFonts w:ascii="Times New Roman" w:hAnsi="Times New Roman" w:cs="Times New Roman"/>
                <w:sz w:val="24"/>
                <w:szCs w:val="24"/>
              </w:rPr>
              <w:t>.</w:t>
            </w:r>
          </w:p>
          <w:p w14:paraId="212C07D6" w14:textId="77777777" w:rsidR="003264BB" w:rsidRPr="00E07D0F" w:rsidRDefault="003264BB" w:rsidP="00757C86">
            <w:pPr>
              <w:rPr>
                <w:rFonts w:ascii="Times New Roman" w:hAnsi="Times New Roman" w:cs="Times New Roman"/>
                <w:sz w:val="24"/>
                <w:szCs w:val="24"/>
              </w:rPr>
            </w:pPr>
          </w:p>
        </w:tc>
      </w:tr>
      <w:tr w:rsidR="003264BB" w:rsidRPr="00E07D0F" w14:paraId="53BC1DC8" w14:textId="77777777" w:rsidTr="00757C86">
        <w:trPr>
          <w:trHeight w:val="144"/>
        </w:trPr>
        <w:tc>
          <w:tcPr>
            <w:tcW w:w="3648" w:type="dxa"/>
            <w:shd w:val="clear" w:color="auto" w:fill="DEEAF6" w:themeFill="accent5" w:themeFillTint="33"/>
          </w:tcPr>
          <w:p w14:paraId="68EDFC80"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Determinant: Current amount of PA settings</w:t>
            </w:r>
          </w:p>
        </w:tc>
        <w:tc>
          <w:tcPr>
            <w:tcW w:w="10476" w:type="dxa"/>
            <w:gridSpan w:val="4"/>
            <w:shd w:val="clear" w:color="auto" w:fill="DEEAF6" w:themeFill="accent5" w:themeFillTint="33"/>
          </w:tcPr>
          <w:p w14:paraId="0CFCA7C0"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Method 1: Adjusted based on intervention influence on each survey component.</w:t>
            </w:r>
          </w:p>
        </w:tc>
      </w:tr>
      <w:tr w:rsidR="003264BB" w:rsidRPr="00E07D0F" w14:paraId="6B1D3491" w14:textId="77777777" w:rsidTr="00757C86">
        <w:trPr>
          <w:trHeight w:val="144"/>
        </w:trPr>
        <w:tc>
          <w:tcPr>
            <w:tcW w:w="3648" w:type="dxa"/>
            <w:shd w:val="clear" w:color="auto" w:fill="DEEAF6" w:themeFill="accent5" w:themeFillTint="33"/>
          </w:tcPr>
          <w:p w14:paraId="72CF61DD"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sz w:val="24"/>
                <w:szCs w:val="24"/>
              </w:rPr>
              <w:t>In PE class or school (organised) (ban706)</w:t>
            </w:r>
          </w:p>
        </w:tc>
        <w:tc>
          <w:tcPr>
            <w:tcW w:w="2848" w:type="dxa"/>
          </w:tcPr>
          <w:p w14:paraId="18EA3DD2"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453" w:type="dxa"/>
          </w:tcPr>
          <w:p w14:paraId="6D524F5E"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09BBBE31"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027C06C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r>
      <w:tr w:rsidR="003264BB" w:rsidRPr="00E07D0F" w14:paraId="40423647" w14:textId="77777777" w:rsidTr="00757C86">
        <w:trPr>
          <w:trHeight w:val="144"/>
        </w:trPr>
        <w:tc>
          <w:tcPr>
            <w:tcW w:w="3648" w:type="dxa"/>
            <w:shd w:val="clear" w:color="auto" w:fill="DEEAF6" w:themeFill="accent5" w:themeFillTint="33"/>
          </w:tcPr>
          <w:p w14:paraId="5A769FEE"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sz w:val="24"/>
                <w:szCs w:val="24"/>
              </w:rPr>
              <w:t>In a competition of tournament (organised) (ban707)</w:t>
            </w:r>
          </w:p>
        </w:tc>
        <w:tc>
          <w:tcPr>
            <w:tcW w:w="2848" w:type="dxa"/>
          </w:tcPr>
          <w:p w14:paraId="13E2449B"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453" w:type="dxa"/>
          </w:tcPr>
          <w:p w14:paraId="6A6EAB4C"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32AE7D45"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921" w:type="dxa"/>
          </w:tcPr>
          <w:p w14:paraId="6B0880CD"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74065F1A" w14:textId="77777777" w:rsidTr="00757C86">
        <w:trPr>
          <w:trHeight w:val="144"/>
        </w:trPr>
        <w:tc>
          <w:tcPr>
            <w:tcW w:w="3648" w:type="dxa"/>
            <w:shd w:val="clear" w:color="auto" w:fill="DEEAF6" w:themeFill="accent5" w:themeFillTint="33"/>
          </w:tcPr>
          <w:p w14:paraId="47291ABC"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sz w:val="24"/>
                <w:szCs w:val="24"/>
              </w:rPr>
              <w:lastRenderedPageBreak/>
              <w:t>Training or practising with a coach / instructor (organised) (ban708)</w:t>
            </w:r>
          </w:p>
        </w:tc>
        <w:tc>
          <w:tcPr>
            <w:tcW w:w="2848" w:type="dxa"/>
          </w:tcPr>
          <w:p w14:paraId="0EF36914"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453" w:type="dxa"/>
          </w:tcPr>
          <w:p w14:paraId="2B12E262"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0E839356"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68B7F387"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32A39F33" w14:textId="77777777" w:rsidTr="00757C86">
        <w:trPr>
          <w:trHeight w:val="144"/>
        </w:trPr>
        <w:tc>
          <w:tcPr>
            <w:tcW w:w="3648" w:type="dxa"/>
            <w:shd w:val="clear" w:color="auto" w:fill="DEEAF6" w:themeFill="accent5" w:themeFillTint="33"/>
          </w:tcPr>
          <w:p w14:paraId="337B5937"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sz w:val="24"/>
                <w:szCs w:val="24"/>
              </w:rPr>
              <w:t>Playing or hanging out with family or friends (informal) (ban709)</w:t>
            </w:r>
          </w:p>
        </w:tc>
        <w:tc>
          <w:tcPr>
            <w:tcW w:w="2848" w:type="dxa"/>
          </w:tcPr>
          <w:p w14:paraId="1E1A54B2"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453" w:type="dxa"/>
          </w:tcPr>
          <w:p w14:paraId="732FEF9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1107D6F7"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74CE8A7C"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r>
      <w:tr w:rsidR="003264BB" w:rsidRPr="00E07D0F" w14:paraId="12BB81BB" w14:textId="77777777" w:rsidTr="00757C86">
        <w:trPr>
          <w:trHeight w:val="144"/>
        </w:trPr>
        <w:tc>
          <w:tcPr>
            <w:tcW w:w="3648" w:type="dxa"/>
            <w:shd w:val="clear" w:color="auto" w:fill="DEEAF6" w:themeFill="accent5" w:themeFillTint="33"/>
          </w:tcPr>
          <w:p w14:paraId="4A1F2D96"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sz w:val="24"/>
                <w:szCs w:val="24"/>
              </w:rPr>
              <w:t>Playing on your own (informal) (ban710)</w:t>
            </w:r>
          </w:p>
        </w:tc>
        <w:tc>
          <w:tcPr>
            <w:tcW w:w="2848" w:type="dxa"/>
          </w:tcPr>
          <w:p w14:paraId="2924A6F7"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453" w:type="dxa"/>
          </w:tcPr>
          <w:p w14:paraId="7E26128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254" w:type="dxa"/>
          </w:tcPr>
          <w:p w14:paraId="15A23CE9"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921" w:type="dxa"/>
          </w:tcPr>
          <w:p w14:paraId="0C076507"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r>
      <w:tr w:rsidR="003264BB" w:rsidRPr="00E07D0F" w14:paraId="36A1842E" w14:textId="77777777" w:rsidTr="00757C86">
        <w:trPr>
          <w:trHeight w:val="144"/>
        </w:trPr>
        <w:tc>
          <w:tcPr>
            <w:tcW w:w="3648" w:type="dxa"/>
            <w:shd w:val="clear" w:color="auto" w:fill="DEEAF6" w:themeFill="accent5" w:themeFillTint="33"/>
          </w:tcPr>
          <w:p w14:paraId="3E6CA1A6"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sz w:val="24"/>
                <w:szCs w:val="24"/>
              </w:rPr>
              <w:t>For extra fitness, training or practice without a coach / instructor (informal) (ban711)</w:t>
            </w:r>
          </w:p>
        </w:tc>
        <w:tc>
          <w:tcPr>
            <w:tcW w:w="2848" w:type="dxa"/>
          </w:tcPr>
          <w:p w14:paraId="6882386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453" w:type="dxa"/>
          </w:tcPr>
          <w:p w14:paraId="66BB35E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254" w:type="dxa"/>
          </w:tcPr>
          <w:p w14:paraId="37103211"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921" w:type="dxa"/>
          </w:tcPr>
          <w:p w14:paraId="035D8AC6"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r>
      <w:tr w:rsidR="003264BB" w:rsidRPr="00E07D0F" w14:paraId="172D9A49" w14:textId="77777777" w:rsidTr="00757C86">
        <w:trPr>
          <w:trHeight w:val="144"/>
        </w:trPr>
        <w:tc>
          <w:tcPr>
            <w:tcW w:w="3648" w:type="dxa"/>
            <w:shd w:val="clear" w:color="auto" w:fill="DEEAF6" w:themeFill="accent5" w:themeFillTint="33"/>
          </w:tcPr>
          <w:p w14:paraId="6D589FAA"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Determinant: Current social support for PA</w:t>
            </w:r>
          </w:p>
        </w:tc>
        <w:tc>
          <w:tcPr>
            <w:tcW w:w="10476" w:type="dxa"/>
            <w:gridSpan w:val="4"/>
            <w:shd w:val="clear" w:color="auto" w:fill="DEEAF6" w:themeFill="accent5" w:themeFillTint="33"/>
          </w:tcPr>
          <w:p w14:paraId="7BF23D7B"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Method 1: Adjusted based on intervention influence on each survey component.</w:t>
            </w:r>
          </w:p>
        </w:tc>
      </w:tr>
      <w:tr w:rsidR="003264BB" w:rsidRPr="00E07D0F" w14:paraId="7C19ED97" w14:textId="77777777" w:rsidTr="00757C86">
        <w:trPr>
          <w:trHeight w:val="144"/>
        </w:trPr>
        <w:tc>
          <w:tcPr>
            <w:tcW w:w="3648" w:type="dxa"/>
            <w:shd w:val="clear" w:color="auto" w:fill="DEEAF6" w:themeFill="accent5" w:themeFillTint="33"/>
          </w:tcPr>
          <w:p w14:paraId="4B84AD13"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b/>
                <w:bCs/>
                <w:sz w:val="24"/>
                <w:szCs w:val="24"/>
              </w:rPr>
              <w:t>Family and Peer Barriers:</w:t>
            </w:r>
          </w:p>
          <w:p w14:paraId="3BF0817A" w14:textId="77777777" w:rsidR="003264BB" w:rsidRPr="00E07D0F" w:rsidRDefault="003264BB" w:rsidP="00757C86">
            <w:pPr>
              <w:rPr>
                <w:rFonts w:ascii="Times New Roman" w:hAnsi="Times New Roman" w:cs="Times New Roman"/>
                <w:b/>
                <w:bCs/>
                <w:sz w:val="24"/>
                <w:szCs w:val="24"/>
              </w:rPr>
            </w:pPr>
            <w:r w:rsidRPr="00E07D0F">
              <w:rPr>
                <w:rFonts w:ascii="Times New Roman" w:hAnsi="Times New Roman" w:cs="Times New Roman"/>
                <w:sz w:val="24"/>
                <w:szCs w:val="24"/>
              </w:rPr>
              <w:t>My family can’t afford it (q23c04)</w:t>
            </w:r>
          </w:p>
        </w:tc>
        <w:tc>
          <w:tcPr>
            <w:tcW w:w="2848" w:type="dxa"/>
          </w:tcPr>
          <w:p w14:paraId="14A3FB6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453" w:type="dxa"/>
          </w:tcPr>
          <w:p w14:paraId="71F0E008"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254" w:type="dxa"/>
          </w:tcPr>
          <w:p w14:paraId="40CF7A88"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921" w:type="dxa"/>
          </w:tcPr>
          <w:p w14:paraId="729C9556"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08E88574" w14:textId="77777777" w:rsidTr="00757C86">
        <w:trPr>
          <w:trHeight w:val="144"/>
        </w:trPr>
        <w:tc>
          <w:tcPr>
            <w:tcW w:w="3648" w:type="dxa"/>
            <w:shd w:val="clear" w:color="auto" w:fill="DEEAF6" w:themeFill="accent5" w:themeFillTint="33"/>
          </w:tcPr>
          <w:p w14:paraId="09BCA2AF"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My parents want me to focus on my schoolwork/other activities. (q23c21)</w:t>
            </w:r>
          </w:p>
        </w:tc>
        <w:tc>
          <w:tcPr>
            <w:tcW w:w="2848" w:type="dxa"/>
          </w:tcPr>
          <w:p w14:paraId="24B9CB8C"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453" w:type="dxa"/>
          </w:tcPr>
          <w:p w14:paraId="06C287A4"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254" w:type="dxa"/>
          </w:tcPr>
          <w:p w14:paraId="6FDA4085"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921" w:type="dxa"/>
          </w:tcPr>
          <w:p w14:paraId="22EA1306"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6F882289" w14:textId="77777777" w:rsidTr="00757C86">
        <w:trPr>
          <w:trHeight w:val="144"/>
        </w:trPr>
        <w:tc>
          <w:tcPr>
            <w:tcW w:w="3648" w:type="dxa"/>
            <w:shd w:val="clear" w:color="auto" w:fill="DEEAF6" w:themeFill="accent5" w:themeFillTint="33"/>
          </w:tcPr>
          <w:p w14:paraId="5B54766D"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My friends aren’t physically active. (q23c22)</w:t>
            </w:r>
          </w:p>
        </w:tc>
        <w:tc>
          <w:tcPr>
            <w:tcW w:w="2848" w:type="dxa"/>
          </w:tcPr>
          <w:p w14:paraId="525011C8"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453" w:type="dxa"/>
          </w:tcPr>
          <w:p w14:paraId="64C70BDB"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431EC778"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0ED72A8D"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r>
      <w:tr w:rsidR="003264BB" w:rsidRPr="00E07D0F" w14:paraId="085F2814" w14:textId="77777777" w:rsidTr="00757C86">
        <w:trPr>
          <w:trHeight w:val="144"/>
        </w:trPr>
        <w:tc>
          <w:tcPr>
            <w:tcW w:w="3648" w:type="dxa"/>
            <w:shd w:val="clear" w:color="auto" w:fill="DEEAF6" w:themeFill="accent5" w:themeFillTint="33"/>
          </w:tcPr>
          <w:p w14:paraId="54A1CE44"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Can’t fit it in with other family member’s activities. (q23c33)</w:t>
            </w:r>
          </w:p>
        </w:tc>
        <w:tc>
          <w:tcPr>
            <w:tcW w:w="2848" w:type="dxa"/>
          </w:tcPr>
          <w:p w14:paraId="5E72E124"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453" w:type="dxa"/>
          </w:tcPr>
          <w:p w14:paraId="78340521"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7EB5C822"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1ECBB804"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r>
      <w:tr w:rsidR="003264BB" w:rsidRPr="00E07D0F" w14:paraId="40950FFF" w14:textId="77777777" w:rsidTr="00757C86">
        <w:trPr>
          <w:trHeight w:val="144"/>
        </w:trPr>
        <w:tc>
          <w:tcPr>
            <w:tcW w:w="3648" w:type="dxa"/>
            <w:shd w:val="clear" w:color="auto" w:fill="DEEAF6" w:themeFill="accent5" w:themeFillTint="33"/>
          </w:tcPr>
          <w:p w14:paraId="45914AB3"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b/>
                <w:bCs/>
                <w:color w:val="222222"/>
                <w:sz w:val="24"/>
                <w:szCs w:val="24"/>
                <w:lang w:eastAsia="en-NZ"/>
              </w:rPr>
              <w:t>General Peer Barriers score:</w:t>
            </w:r>
          </w:p>
          <w:p w14:paraId="71EBA125"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Other people discourage me from being physically active. (q23c23)</w:t>
            </w:r>
          </w:p>
        </w:tc>
        <w:tc>
          <w:tcPr>
            <w:tcW w:w="2848" w:type="dxa"/>
          </w:tcPr>
          <w:p w14:paraId="77920CC3"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453" w:type="dxa"/>
          </w:tcPr>
          <w:p w14:paraId="39008CA7"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6520A73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921" w:type="dxa"/>
          </w:tcPr>
          <w:p w14:paraId="30BC3DA1"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6A448BE5" w14:textId="77777777" w:rsidTr="00757C86">
        <w:trPr>
          <w:trHeight w:val="144"/>
        </w:trPr>
        <w:tc>
          <w:tcPr>
            <w:tcW w:w="3648" w:type="dxa"/>
            <w:shd w:val="clear" w:color="auto" w:fill="DEEAF6" w:themeFill="accent5" w:themeFillTint="33"/>
          </w:tcPr>
          <w:p w14:paraId="3193808E"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I have no one to do it with. (q23c24)</w:t>
            </w:r>
          </w:p>
        </w:tc>
        <w:tc>
          <w:tcPr>
            <w:tcW w:w="2848" w:type="dxa"/>
          </w:tcPr>
          <w:p w14:paraId="02B7960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453" w:type="dxa"/>
          </w:tcPr>
          <w:p w14:paraId="5803B7ED"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21B3E514"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0D6802E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49367E01" w14:textId="77777777" w:rsidTr="00757C86">
        <w:trPr>
          <w:trHeight w:val="144"/>
        </w:trPr>
        <w:tc>
          <w:tcPr>
            <w:tcW w:w="3648" w:type="dxa"/>
            <w:shd w:val="clear" w:color="auto" w:fill="DEEAF6" w:themeFill="accent5" w:themeFillTint="33"/>
          </w:tcPr>
          <w:p w14:paraId="62B7B591"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I don’t feel welcome. (q23c25)</w:t>
            </w:r>
          </w:p>
        </w:tc>
        <w:tc>
          <w:tcPr>
            <w:tcW w:w="2848" w:type="dxa"/>
          </w:tcPr>
          <w:p w14:paraId="3CBD72AA"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453" w:type="dxa"/>
          </w:tcPr>
          <w:p w14:paraId="4AE4A851"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411A0CFC"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1F70E60F"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31DDE95E" w14:textId="77777777" w:rsidTr="00757C86">
        <w:trPr>
          <w:trHeight w:val="144"/>
        </w:trPr>
        <w:tc>
          <w:tcPr>
            <w:tcW w:w="3648" w:type="dxa"/>
            <w:shd w:val="clear" w:color="auto" w:fill="DEEAF6" w:themeFill="accent5" w:themeFillTint="33"/>
          </w:tcPr>
          <w:p w14:paraId="4A8CBAD0"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I don’t like other people seeing me being physically active. (q23c26)</w:t>
            </w:r>
          </w:p>
        </w:tc>
        <w:tc>
          <w:tcPr>
            <w:tcW w:w="2848" w:type="dxa"/>
          </w:tcPr>
          <w:p w14:paraId="13E79E39"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453" w:type="dxa"/>
          </w:tcPr>
          <w:p w14:paraId="37ADB052"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254" w:type="dxa"/>
          </w:tcPr>
          <w:p w14:paraId="1D521BCC"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72012B10"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51836A63" w14:textId="77777777" w:rsidTr="00757C86">
        <w:trPr>
          <w:trHeight w:val="144"/>
        </w:trPr>
        <w:tc>
          <w:tcPr>
            <w:tcW w:w="3648" w:type="dxa"/>
            <w:shd w:val="clear" w:color="auto" w:fill="DEEAF6" w:themeFill="accent5" w:themeFillTint="33"/>
          </w:tcPr>
          <w:p w14:paraId="294E8BFF"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b/>
                <w:bCs/>
                <w:color w:val="222222"/>
                <w:sz w:val="24"/>
                <w:szCs w:val="24"/>
                <w:lang w:eastAsia="en-NZ"/>
              </w:rPr>
              <w:t>Social encouragement score:</w:t>
            </w:r>
          </w:p>
          <w:p w14:paraId="455D8F1A"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People in my life encourage me to take part in physical activities (q39a_2)</w:t>
            </w:r>
          </w:p>
        </w:tc>
        <w:tc>
          <w:tcPr>
            <w:tcW w:w="2848" w:type="dxa"/>
          </w:tcPr>
          <w:p w14:paraId="3147ADA4"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p w14:paraId="25DD3436" w14:textId="77777777" w:rsidR="003264BB" w:rsidRPr="00E07D0F" w:rsidRDefault="003264BB" w:rsidP="00757C86">
            <w:pPr>
              <w:jc w:val="center"/>
              <w:rPr>
                <w:rFonts w:ascii="Times New Roman" w:hAnsi="Times New Roman" w:cs="Times New Roman"/>
                <w:b/>
                <w:bCs/>
                <w:sz w:val="24"/>
                <w:szCs w:val="24"/>
              </w:rPr>
            </w:pPr>
          </w:p>
        </w:tc>
        <w:tc>
          <w:tcPr>
            <w:tcW w:w="2453" w:type="dxa"/>
          </w:tcPr>
          <w:p w14:paraId="3228C7F8"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618C5274"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5F44126B"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025E51B9" w14:textId="77777777" w:rsidTr="00757C86">
        <w:trPr>
          <w:trHeight w:val="144"/>
        </w:trPr>
        <w:tc>
          <w:tcPr>
            <w:tcW w:w="3648" w:type="dxa"/>
            <w:shd w:val="clear" w:color="auto" w:fill="DEEAF6" w:themeFill="accent5" w:themeFillTint="33"/>
          </w:tcPr>
          <w:p w14:paraId="399537CD"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b/>
                <w:bCs/>
                <w:color w:val="222222"/>
                <w:sz w:val="24"/>
                <w:szCs w:val="24"/>
                <w:lang w:eastAsia="en-NZ"/>
              </w:rPr>
              <w:lastRenderedPageBreak/>
              <w:t>Social cohesion score:</w:t>
            </w:r>
          </w:p>
          <w:p w14:paraId="2C8A732A"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I like to do the physical activities that my friends do (q39a_3)</w:t>
            </w:r>
          </w:p>
        </w:tc>
        <w:tc>
          <w:tcPr>
            <w:tcW w:w="2848" w:type="dxa"/>
          </w:tcPr>
          <w:p w14:paraId="5670D4DE"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453" w:type="dxa"/>
          </w:tcPr>
          <w:p w14:paraId="41A334D8"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254" w:type="dxa"/>
          </w:tcPr>
          <w:p w14:paraId="2D2F2766"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sym w:font="Wingdings" w:char="F0FC"/>
            </w:r>
          </w:p>
        </w:tc>
        <w:tc>
          <w:tcPr>
            <w:tcW w:w="2921" w:type="dxa"/>
          </w:tcPr>
          <w:p w14:paraId="0507413C"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6E878BE4" w14:textId="77777777" w:rsidTr="00757C86">
        <w:trPr>
          <w:trHeight w:val="144"/>
        </w:trPr>
        <w:tc>
          <w:tcPr>
            <w:tcW w:w="3648" w:type="dxa"/>
            <w:shd w:val="clear" w:color="auto" w:fill="DEEAF6" w:themeFill="accent5" w:themeFillTint="33"/>
          </w:tcPr>
          <w:p w14:paraId="7771DF26"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b/>
                <w:bCs/>
                <w:color w:val="222222"/>
                <w:sz w:val="24"/>
                <w:szCs w:val="24"/>
                <w:lang w:eastAsia="en-NZ"/>
              </w:rPr>
              <w:t>Family enjoyment score:</w:t>
            </w:r>
          </w:p>
          <w:p w14:paraId="668AB6CE"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I like my parents/family to be involved in my sport and physical activities (q39a_8)</w:t>
            </w:r>
          </w:p>
        </w:tc>
        <w:tc>
          <w:tcPr>
            <w:tcW w:w="2848" w:type="dxa"/>
          </w:tcPr>
          <w:p w14:paraId="7293F34B"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453" w:type="dxa"/>
          </w:tcPr>
          <w:p w14:paraId="30E98B1E"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254" w:type="dxa"/>
          </w:tcPr>
          <w:p w14:paraId="0A8AD5F1"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c>
          <w:tcPr>
            <w:tcW w:w="2921" w:type="dxa"/>
          </w:tcPr>
          <w:p w14:paraId="0B3E4270" w14:textId="77777777" w:rsidR="003264BB" w:rsidRPr="00E07D0F" w:rsidRDefault="003264BB" w:rsidP="00757C86">
            <w:pPr>
              <w:jc w:val="center"/>
              <w:rPr>
                <w:rFonts w:ascii="Times New Roman" w:hAnsi="Times New Roman" w:cs="Times New Roman"/>
                <w:b/>
                <w:bCs/>
                <w:sz w:val="24"/>
                <w:szCs w:val="24"/>
              </w:rPr>
            </w:pPr>
            <w:r w:rsidRPr="00E07D0F">
              <w:rPr>
                <w:rFonts w:ascii="Times New Roman" w:hAnsi="Times New Roman" w:cs="Times New Roman"/>
                <w:b/>
                <w:bCs/>
                <w:sz w:val="24"/>
                <w:szCs w:val="24"/>
              </w:rPr>
              <w:t>X</w:t>
            </w:r>
          </w:p>
        </w:tc>
      </w:tr>
      <w:tr w:rsidR="003264BB" w:rsidRPr="00E07D0F" w14:paraId="29EAA5FF" w14:textId="77777777" w:rsidTr="00757C86">
        <w:trPr>
          <w:trHeight w:val="264"/>
        </w:trPr>
        <w:tc>
          <w:tcPr>
            <w:tcW w:w="3648" w:type="dxa"/>
            <w:shd w:val="clear" w:color="auto" w:fill="DEEAF6" w:themeFill="accent5" w:themeFillTint="33"/>
          </w:tcPr>
          <w:p w14:paraId="610E956C"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b/>
                <w:bCs/>
                <w:color w:val="222222"/>
                <w:sz w:val="24"/>
                <w:szCs w:val="24"/>
                <w:lang w:eastAsia="en-NZ"/>
              </w:rPr>
              <w:t xml:space="preserve">Determinant: Current physical literacy score (Min 4, Max 20). </w:t>
            </w:r>
          </w:p>
          <w:p w14:paraId="07874A25" w14:textId="77777777" w:rsidR="003264BB" w:rsidRPr="00E07D0F" w:rsidRDefault="003264BB" w:rsidP="00757C86">
            <w:pPr>
              <w:jc w:val="center"/>
              <w:rPr>
                <w:rFonts w:ascii="Times New Roman" w:hAnsi="Times New Roman" w:cs="Times New Roman"/>
                <w:b/>
                <w:bCs/>
                <w:sz w:val="24"/>
                <w:szCs w:val="24"/>
              </w:rPr>
            </w:pPr>
          </w:p>
        </w:tc>
        <w:tc>
          <w:tcPr>
            <w:tcW w:w="10476" w:type="dxa"/>
            <w:gridSpan w:val="4"/>
            <w:shd w:val="clear" w:color="auto" w:fill="DEEAF6" w:themeFill="accent5" w:themeFillTint="33"/>
          </w:tcPr>
          <w:p w14:paraId="6C343538" w14:textId="77777777" w:rsidR="003264BB" w:rsidRPr="00E07D0F" w:rsidRDefault="003264BB" w:rsidP="00757C86">
            <w:pPr>
              <w:rPr>
                <w:rFonts w:ascii="Times New Roman" w:hAnsi="Times New Roman" w:cs="Times New Roman"/>
                <w:b/>
                <w:bCs/>
                <w:sz w:val="24"/>
                <w:szCs w:val="24"/>
              </w:rPr>
            </w:pPr>
            <w:r w:rsidRPr="00E07D0F">
              <w:rPr>
                <w:rFonts w:ascii="Times New Roman" w:eastAsia="Times New Roman" w:hAnsi="Times New Roman" w:cs="Times New Roman"/>
                <w:color w:val="222222"/>
                <w:sz w:val="24"/>
                <w:szCs w:val="24"/>
                <w:lang w:eastAsia="en-NZ"/>
              </w:rPr>
              <w:t>Method 2: Adjusted based on best estimate from discussion and literature search related to interventions relevance to determinant.</w:t>
            </w:r>
          </w:p>
        </w:tc>
      </w:tr>
      <w:tr w:rsidR="003264BB" w:rsidRPr="00E07D0F" w14:paraId="1ED0406B" w14:textId="77777777" w:rsidTr="00757C86">
        <w:trPr>
          <w:trHeight w:val="144"/>
        </w:trPr>
        <w:tc>
          <w:tcPr>
            <w:tcW w:w="3648" w:type="dxa"/>
            <w:shd w:val="clear" w:color="auto" w:fill="DEEAF6" w:themeFill="accent5" w:themeFillTint="33"/>
          </w:tcPr>
          <w:p w14:paraId="29EEFCD5"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color w:val="222222"/>
                <w:sz w:val="24"/>
                <w:szCs w:val="24"/>
                <w:lang w:eastAsia="en-NZ"/>
              </w:rPr>
              <w:t>Physical Literacy Score (</w:t>
            </w:r>
            <w:proofErr w:type="spellStart"/>
            <w:r w:rsidRPr="00E07D0F">
              <w:rPr>
                <w:rFonts w:ascii="Times New Roman" w:eastAsia="Times New Roman" w:hAnsi="Times New Roman" w:cs="Times New Roman"/>
                <w:color w:val="222222"/>
                <w:sz w:val="24"/>
                <w:szCs w:val="24"/>
                <w:lang w:eastAsia="en-NZ"/>
              </w:rPr>
              <w:t>physlit</w:t>
            </w:r>
            <w:proofErr w:type="spellEnd"/>
            <w:r w:rsidRPr="00E07D0F">
              <w:rPr>
                <w:rFonts w:ascii="Times New Roman" w:eastAsia="Times New Roman" w:hAnsi="Times New Roman" w:cs="Times New Roman"/>
                <w:color w:val="222222"/>
                <w:sz w:val="24"/>
                <w:szCs w:val="24"/>
                <w:lang w:eastAsia="en-NZ"/>
              </w:rPr>
              <w:t>)</w:t>
            </w:r>
          </w:p>
        </w:tc>
        <w:tc>
          <w:tcPr>
            <w:tcW w:w="2848" w:type="dxa"/>
          </w:tcPr>
          <w:p w14:paraId="50663F02"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 +2 on </w:t>
            </w:r>
            <w:proofErr w:type="spellStart"/>
            <w:r w:rsidRPr="00E07D0F">
              <w:rPr>
                <w:rFonts w:ascii="Times New Roman" w:hAnsi="Times New Roman" w:cs="Times New Roman"/>
                <w:sz w:val="24"/>
                <w:szCs w:val="24"/>
              </w:rPr>
              <w:t>physlit</w:t>
            </w:r>
            <w:proofErr w:type="spellEnd"/>
            <w:r w:rsidRPr="00E07D0F">
              <w:rPr>
                <w:rFonts w:ascii="Times New Roman" w:hAnsi="Times New Roman" w:cs="Times New Roman"/>
                <w:sz w:val="24"/>
                <w:szCs w:val="24"/>
              </w:rPr>
              <w:t xml:space="preserve"> &lt; 12</w:t>
            </w:r>
          </w:p>
          <w:p w14:paraId="7D8C2270"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2) All increases up to a max of 12</w:t>
            </w:r>
          </w:p>
          <w:p w14:paraId="0412266A" w14:textId="77777777" w:rsidR="003264BB" w:rsidRPr="00E07D0F" w:rsidRDefault="003264BB" w:rsidP="00757C86">
            <w:pPr>
              <w:rPr>
                <w:rFonts w:ascii="Times New Roman" w:hAnsi="Times New Roman" w:cs="Times New Roman"/>
                <w:b/>
                <w:bCs/>
                <w:sz w:val="24"/>
                <w:szCs w:val="24"/>
              </w:rPr>
            </w:pPr>
          </w:p>
          <w:p w14:paraId="47587092" w14:textId="77777777" w:rsidR="003264BB" w:rsidRPr="00E07D0F" w:rsidRDefault="003264BB" w:rsidP="00757C86">
            <w:pPr>
              <w:jc w:val="center"/>
              <w:rPr>
                <w:rFonts w:ascii="Times New Roman" w:hAnsi="Times New Roman" w:cs="Times New Roman"/>
                <w:b/>
                <w:bCs/>
                <w:sz w:val="24"/>
                <w:szCs w:val="24"/>
              </w:rPr>
            </w:pPr>
          </w:p>
        </w:tc>
        <w:tc>
          <w:tcPr>
            <w:tcW w:w="2453" w:type="dxa"/>
          </w:tcPr>
          <w:p w14:paraId="26E3767E"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 +4 on </w:t>
            </w:r>
            <w:proofErr w:type="spellStart"/>
            <w:r w:rsidRPr="00E07D0F">
              <w:rPr>
                <w:rFonts w:ascii="Times New Roman" w:hAnsi="Times New Roman" w:cs="Times New Roman"/>
                <w:sz w:val="24"/>
                <w:szCs w:val="24"/>
              </w:rPr>
              <w:t>physlit</w:t>
            </w:r>
            <w:proofErr w:type="spellEnd"/>
            <w:r w:rsidRPr="00E07D0F">
              <w:rPr>
                <w:rFonts w:ascii="Times New Roman" w:hAnsi="Times New Roman" w:cs="Times New Roman"/>
                <w:sz w:val="24"/>
                <w:szCs w:val="24"/>
              </w:rPr>
              <w:t xml:space="preserve"> &lt; 18</w:t>
            </w:r>
          </w:p>
          <w:p w14:paraId="7F45975C"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2) All increases up to a max of 12</w:t>
            </w:r>
          </w:p>
          <w:p w14:paraId="2BCCB197" w14:textId="77777777" w:rsidR="003264BB" w:rsidRPr="00E07D0F" w:rsidRDefault="003264BB" w:rsidP="00757C86">
            <w:pPr>
              <w:rPr>
                <w:rFonts w:ascii="Times New Roman" w:hAnsi="Times New Roman" w:cs="Times New Roman"/>
                <w:sz w:val="24"/>
                <w:szCs w:val="24"/>
              </w:rPr>
            </w:pPr>
          </w:p>
          <w:p w14:paraId="66C5A96C" w14:textId="77777777" w:rsidR="003264BB" w:rsidRPr="00E07D0F" w:rsidRDefault="003264BB" w:rsidP="00757C86">
            <w:pPr>
              <w:jc w:val="center"/>
              <w:rPr>
                <w:rFonts w:ascii="Times New Roman" w:hAnsi="Times New Roman" w:cs="Times New Roman"/>
                <w:b/>
                <w:bCs/>
                <w:sz w:val="24"/>
                <w:szCs w:val="24"/>
              </w:rPr>
            </w:pPr>
          </w:p>
        </w:tc>
        <w:tc>
          <w:tcPr>
            <w:tcW w:w="2254" w:type="dxa"/>
          </w:tcPr>
          <w:p w14:paraId="48017D95"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 +3 on </w:t>
            </w:r>
            <w:proofErr w:type="spellStart"/>
            <w:r w:rsidRPr="00E07D0F">
              <w:rPr>
                <w:rFonts w:ascii="Times New Roman" w:hAnsi="Times New Roman" w:cs="Times New Roman"/>
                <w:sz w:val="24"/>
                <w:szCs w:val="24"/>
              </w:rPr>
              <w:t>physlit</w:t>
            </w:r>
            <w:proofErr w:type="spellEnd"/>
            <w:r w:rsidRPr="00E07D0F">
              <w:rPr>
                <w:rFonts w:ascii="Times New Roman" w:hAnsi="Times New Roman" w:cs="Times New Roman"/>
                <w:sz w:val="24"/>
                <w:szCs w:val="24"/>
              </w:rPr>
              <w:t xml:space="preserve"> &lt; 15</w:t>
            </w:r>
          </w:p>
          <w:p w14:paraId="7C3BA5CD"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2) All increases up to a max of 15.</w:t>
            </w:r>
          </w:p>
          <w:p w14:paraId="1754A029" w14:textId="77777777" w:rsidR="003264BB" w:rsidRPr="00E07D0F" w:rsidRDefault="003264BB" w:rsidP="00757C86">
            <w:pPr>
              <w:rPr>
                <w:rFonts w:ascii="Times New Roman" w:hAnsi="Times New Roman" w:cs="Times New Roman"/>
                <w:sz w:val="24"/>
                <w:szCs w:val="24"/>
              </w:rPr>
            </w:pPr>
          </w:p>
          <w:p w14:paraId="249113F2" w14:textId="77777777" w:rsidR="003264BB" w:rsidRPr="00E07D0F" w:rsidRDefault="003264BB" w:rsidP="00757C86">
            <w:pPr>
              <w:jc w:val="center"/>
              <w:rPr>
                <w:rFonts w:ascii="Times New Roman" w:hAnsi="Times New Roman" w:cs="Times New Roman"/>
                <w:b/>
                <w:bCs/>
                <w:sz w:val="24"/>
                <w:szCs w:val="24"/>
              </w:rPr>
            </w:pPr>
          </w:p>
        </w:tc>
        <w:tc>
          <w:tcPr>
            <w:tcW w:w="2921" w:type="dxa"/>
          </w:tcPr>
          <w:p w14:paraId="6CB6F697"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 +1 on </w:t>
            </w:r>
            <w:proofErr w:type="spellStart"/>
            <w:r w:rsidRPr="00E07D0F">
              <w:rPr>
                <w:rFonts w:ascii="Times New Roman" w:hAnsi="Times New Roman" w:cs="Times New Roman"/>
                <w:sz w:val="24"/>
                <w:szCs w:val="24"/>
              </w:rPr>
              <w:t>physlit</w:t>
            </w:r>
            <w:proofErr w:type="spellEnd"/>
            <w:r w:rsidRPr="00E07D0F">
              <w:rPr>
                <w:rFonts w:ascii="Times New Roman" w:hAnsi="Times New Roman" w:cs="Times New Roman"/>
                <w:sz w:val="24"/>
                <w:szCs w:val="24"/>
              </w:rPr>
              <w:t xml:space="preserve"> &lt; 9</w:t>
            </w:r>
          </w:p>
          <w:p w14:paraId="421EEA3A"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2) All increases up to a max of 9.</w:t>
            </w:r>
          </w:p>
          <w:p w14:paraId="370C9826" w14:textId="77777777" w:rsidR="003264BB" w:rsidRPr="00E07D0F" w:rsidRDefault="003264BB" w:rsidP="00757C86">
            <w:pPr>
              <w:rPr>
                <w:rFonts w:ascii="Times New Roman" w:hAnsi="Times New Roman" w:cs="Times New Roman"/>
                <w:sz w:val="24"/>
                <w:szCs w:val="24"/>
              </w:rPr>
            </w:pPr>
          </w:p>
          <w:p w14:paraId="7935C4EA" w14:textId="77777777" w:rsidR="003264BB" w:rsidRPr="00E07D0F" w:rsidRDefault="003264BB" w:rsidP="00757C86">
            <w:pPr>
              <w:jc w:val="center"/>
              <w:rPr>
                <w:rFonts w:ascii="Times New Roman" w:hAnsi="Times New Roman" w:cs="Times New Roman"/>
                <w:b/>
                <w:bCs/>
                <w:sz w:val="24"/>
                <w:szCs w:val="24"/>
              </w:rPr>
            </w:pPr>
          </w:p>
        </w:tc>
      </w:tr>
      <w:tr w:rsidR="003264BB" w:rsidRPr="00E07D0F" w14:paraId="55052291" w14:textId="77777777" w:rsidTr="00757C86">
        <w:trPr>
          <w:trHeight w:val="144"/>
        </w:trPr>
        <w:tc>
          <w:tcPr>
            <w:tcW w:w="3648" w:type="dxa"/>
            <w:shd w:val="clear" w:color="auto" w:fill="DEEAF6" w:themeFill="accent5" w:themeFillTint="33"/>
          </w:tcPr>
          <w:p w14:paraId="364402A4"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b/>
                <w:bCs/>
                <w:color w:val="222222"/>
                <w:sz w:val="24"/>
                <w:szCs w:val="24"/>
                <w:lang w:eastAsia="en-NZ"/>
              </w:rPr>
              <w:t>Determinant: Current amount of PA types</w:t>
            </w:r>
          </w:p>
        </w:tc>
        <w:tc>
          <w:tcPr>
            <w:tcW w:w="10476" w:type="dxa"/>
            <w:gridSpan w:val="4"/>
            <w:shd w:val="clear" w:color="auto" w:fill="DEEAF6" w:themeFill="accent5" w:themeFillTint="33"/>
          </w:tcPr>
          <w:p w14:paraId="6A262923" w14:textId="77777777" w:rsidR="003264BB" w:rsidRPr="00E07D0F" w:rsidRDefault="003264BB" w:rsidP="00757C86">
            <w:pPr>
              <w:rPr>
                <w:rFonts w:ascii="Times New Roman" w:hAnsi="Times New Roman" w:cs="Times New Roman"/>
                <w:sz w:val="24"/>
                <w:szCs w:val="24"/>
              </w:rPr>
            </w:pPr>
            <w:r w:rsidRPr="00E07D0F">
              <w:rPr>
                <w:rFonts w:ascii="Times New Roman" w:eastAsia="Times New Roman" w:hAnsi="Times New Roman" w:cs="Times New Roman"/>
                <w:color w:val="222222"/>
                <w:sz w:val="24"/>
                <w:szCs w:val="24"/>
                <w:lang w:eastAsia="en-NZ"/>
              </w:rPr>
              <w:t>Method 2: Adjusted based on best estimate from discussion and literature search related to interventions relevance to determinant.</w:t>
            </w:r>
          </w:p>
        </w:tc>
      </w:tr>
      <w:tr w:rsidR="003264BB" w:rsidRPr="00E07D0F" w14:paraId="4A0A6131" w14:textId="77777777" w:rsidTr="00757C86">
        <w:trPr>
          <w:trHeight w:val="144"/>
        </w:trPr>
        <w:tc>
          <w:tcPr>
            <w:tcW w:w="3648" w:type="dxa"/>
            <w:shd w:val="clear" w:color="auto" w:fill="DEEAF6" w:themeFill="accent5" w:themeFillTint="33"/>
          </w:tcPr>
          <w:p w14:paraId="410C025F"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color w:val="222222"/>
                <w:sz w:val="24"/>
                <w:szCs w:val="24"/>
                <w:lang w:eastAsia="en-NZ"/>
              </w:rPr>
              <w:t xml:space="preserve">PA </w:t>
            </w:r>
            <w:proofErr w:type="gramStart"/>
            <w:r w:rsidRPr="00E07D0F">
              <w:rPr>
                <w:rFonts w:ascii="Times New Roman" w:eastAsia="Times New Roman" w:hAnsi="Times New Roman" w:cs="Times New Roman"/>
                <w:color w:val="222222"/>
                <w:sz w:val="24"/>
                <w:szCs w:val="24"/>
                <w:lang w:eastAsia="en-NZ"/>
              </w:rPr>
              <w:t>types</w:t>
            </w:r>
            <w:proofErr w:type="gramEnd"/>
            <w:r w:rsidRPr="00E07D0F">
              <w:rPr>
                <w:rFonts w:ascii="Times New Roman" w:eastAsia="Times New Roman" w:hAnsi="Times New Roman" w:cs="Times New Roman"/>
                <w:color w:val="222222"/>
                <w:sz w:val="24"/>
                <w:szCs w:val="24"/>
                <w:lang w:eastAsia="en-NZ"/>
              </w:rPr>
              <w:t xml:space="preserve"> score (</w:t>
            </w:r>
            <w:proofErr w:type="spellStart"/>
            <w:r w:rsidRPr="00E07D0F">
              <w:rPr>
                <w:rFonts w:ascii="Times New Roman" w:eastAsia="Times New Roman" w:hAnsi="Times New Roman" w:cs="Times New Roman"/>
                <w:color w:val="222222"/>
                <w:sz w:val="24"/>
                <w:szCs w:val="24"/>
                <w:lang w:eastAsia="en-NZ"/>
              </w:rPr>
              <w:t>npartic</w:t>
            </w:r>
            <w:proofErr w:type="spellEnd"/>
            <w:r w:rsidRPr="00E07D0F">
              <w:rPr>
                <w:rFonts w:ascii="Times New Roman" w:eastAsia="Times New Roman" w:hAnsi="Times New Roman" w:cs="Times New Roman"/>
                <w:color w:val="222222"/>
                <w:sz w:val="24"/>
                <w:szCs w:val="24"/>
                <w:lang w:eastAsia="en-NZ"/>
              </w:rPr>
              <w:t>)</w:t>
            </w:r>
          </w:p>
        </w:tc>
        <w:tc>
          <w:tcPr>
            <w:tcW w:w="2848" w:type="dxa"/>
          </w:tcPr>
          <w:p w14:paraId="04C3CD5C"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 +2 on </w:t>
            </w:r>
            <w:proofErr w:type="spellStart"/>
            <w:r w:rsidRPr="00E07D0F">
              <w:rPr>
                <w:rFonts w:ascii="Times New Roman" w:hAnsi="Times New Roman" w:cs="Times New Roman"/>
                <w:sz w:val="24"/>
                <w:szCs w:val="24"/>
              </w:rPr>
              <w:t>npartic</w:t>
            </w:r>
            <w:proofErr w:type="spellEnd"/>
            <w:r w:rsidRPr="00E07D0F">
              <w:rPr>
                <w:rFonts w:ascii="Times New Roman" w:hAnsi="Times New Roman" w:cs="Times New Roman"/>
                <w:sz w:val="24"/>
                <w:szCs w:val="24"/>
              </w:rPr>
              <w:t xml:space="preserve"> &lt; 4</w:t>
            </w:r>
          </w:p>
          <w:p w14:paraId="66A9E38A"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2) All increases up to a max of 4</w:t>
            </w:r>
          </w:p>
          <w:p w14:paraId="1E8B09EA" w14:textId="77777777" w:rsidR="003264BB" w:rsidRPr="00E07D0F" w:rsidRDefault="003264BB" w:rsidP="00757C86">
            <w:pPr>
              <w:rPr>
                <w:rFonts w:ascii="Times New Roman" w:hAnsi="Times New Roman" w:cs="Times New Roman"/>
                <w:sz w:val="24"/>
                <w:szCs w:val="24"/>
              </w:rPr>
            </w:pPr>
          </w:p>
        </w:tc>
        <w:tc>
          <w:tcPr>
            <w:tcW w:w="2453" w:type="dxa"/>
          </w:tcPr>
          <w:p w14:paraId="5708153F"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 +4 on </w:t>
            </w:r>
            <w:proofErr w:type="spellStart"/>
            <w:r w:rsidRPr="00E07D0F">
              <w:rPr>
                <w:rFonts w:ascii="Times New Roman" w:hAnsi="Times New Roman" w:cs="Times New Roman"/>
                <w:sz w:val="24"/>
                <w:szCs w:val="24"/>
              </w:rPr>
              <w:t>npartic</w:t>
            </w:r>
            <w:proofErr w:type="spellEnd"/>
            <w:r w:rsidRPr="00E07D0F">
              <w:rPr>
                <w:rFonts w:ascii="Times New Roman" w:hAnsi="Times New Roman" w:cs="Times New Roman"/>
                <w:sz w:val="24"/>
                <w:szCs w:val="24"/>
              </w:rPr>
              <w:t xml:space="preserve"> &lt; 8</w:t>
            </w:r>
          </w:p>
          <w:p w14:paraId="6C23F76A"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2) All increases up to a max of 8</w:t>
            </w:r>
          </w:p>
          <w:p w14:paraId="3AD77C11" w14:textId="77777777" w:rsidR="003264BB" w:rsidRPr="00E07D0F" w:rsidRDefault="003264BB" w:rsidP="00757C86">
            <w:pPr>
              <w:rPr>
                <w:rFonts w:ascii="Times New Roman" w:hAnsi="Times New Roman" w:cs="Times New Roman"/>
                <w:sz w:val="24"/>
                <w:szCs w:val="24"/>
              </w:rPr>
            </w:pPr>
          </w:p>
          <w:p w14:paraId="77BF7B01" w14:textId="77777777" w:rsidR="003264BB" w:rsidRPr="00E07D0F" w:rsidRDefault="003264BB" w:rsidP="00757C86">
            <w:pPr>
              <w:rPr>
                <w:rFonts w:ascii="Times New Roman" w:hAnsi="Times New Roman" w:cs="Times New Roman"/>
                <w:sz w:val="24"/>
                <w:szCs w:val="24"/>
              </w:rPr>
            </w:pPr>
          </w:p>
        </w:tc>
        <w:tc>
          <w:tcPr>
            <w:tcW w:w="2254" w:type="dxa"/>
          </w:tcPr>
          <w:p w14:paraId="07DEC59C"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 +1 on </w:t>
            </w:r>
            <w:proofErr w:type="spellStart"/>
            <w:r w:rsidRPr="00E07D0F">
              <w:rPr>
                <w:rFonts w:ascii="Times New Roman" w:hAnsi="Times New Roman" w:cs="Times New Roman"/>
                <w:sz w:val="24"/>
                <w:szCs w:val="24"/>
              </w:rPr>
              <w:t>npartic</w:t>
            </w:r>
            <w:proofErr w:type="spellEnd"/>
            <w:r w:rsidRPr="00E07D0F">
              <w:rPr>
                <w:rFonts w:ascii="Times New Roman" w:hAnsi="Times New Roman" w:cs="Times New Roman"/>
                <w:sz w:val="24"/>
                <w:szCs w:val="24"/>
              </w:rPr>
              <w:t xml:space="preserve"> &lt; 2</w:t>
            </w:r>
          </w:p>
          <w:p w14:paraId="084FA90C"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2) All increases up to a max of 2</w:t>
            </w:r>
          </w:p>
          <w:p w14:paraId="7314EDC0" w14:textId="77777777" w:rsidR="003264BB" w:rsidRPr="00E07D0F" w:rsidRDefault="003264BB" w:rsidP="00757C86">
            <w:pPr>
              <w:rPr>
                <w:rFonts w:ascii="Times New Roman" w:hAnsi="Times New Roman" w:cs="Times New Roman"/>
                <w:sz w:val="24"/>
                <w:szCs w:val="24"/>
              </w:rPr>
            </w:pPr>
          </w:p>
          <w:p w14:paraId="04F1C807" w14:textId="77777777" w:rsidR="003264BB" w:rsidRPr="00E07D0F" w:rsidRDefault="003264BB" w:rsidP="00757C86">
            <w:pPr>
              <w:rPr>
                <w:rFonts w:ascii="Times New Roman" w:hAnsi="Times New Roman" w:cs="Times New Roman"/>
                <w:sz w:val="24"/>
                <w:szCs w:val="24"/>
              </w:rPr>
            </w:pPr>
          </w:p>
        </w:tc>
        <w:tc>
          <w:tcPr>
            <w:tcW w:w="2921" w:type="dxa"/>
          </w:tcPr>
          <w:p w14:paraId="4A936FF6"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 +3 on </w:t>
            </w:r>
            <w:proofErr w:type="spellStart"/>
            <w:r w:rsidRPr="00E07D0F">
              <w:rPr>
                <w:rFonts w:ascii="Times New Roman" w:hAnsi="Times New Roman" w:cs="Times New Roman"/>
                <w:sz w:val="24"/>
                <w:szCs w:val="24"/>
              </w:rPr>
              <w:t>npartic</w:t>
            </w:r>
            <w:proofErr w:type="spellEnd"/>
            <w:r w:rsidRPr="00E07D0F">
              <w:rPr>
                <w:rFonts w:ascii="Times New Roman" w:hAnsi="Times New Roman" w:cs="Times New Roman"/>
                <w:sz w:val="24"/>
                <w:szCs w:val="24"/>
              </w:rPr>
              <w:t xml:space="preserve"> &lt; 6</w:t>
            </w:r>
          </w:p>
          <w:p w14:paraId="153B0BC8"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2) All increases up to a max of 6</w:t>
            </w:r>
          </w:p>
          <w:p w14:paraId="153FC236" w14:textId="77777777" w:rsidR="003264BB" w:rsidRPr="00E07D0F" w:rsidRDefault="003264BB" w:rsidP="00757C86">
            <w:pPr>
              <w:rPr>
                <w:rFonts w:ascii="Times New Roman" w:hAnsi="Times New Roman" w:cs="Times New Roman"/>
                <w:sz w:val="24"/>
                <w:szCs w:val="24"/>
              </w:rPr>
            </w:pPr>
          </w:p>
        </w:tc>
      </w:tr>
      <w:tr w:rsidR="003264BB" w:rsidRPr="00E07D0F" w14:paraId="35ECD11B" w14:textId="77777777" w:rsidTr="00757C86">
        <w:trPr>
          <w:trHeight w:val="830"/>
        </w:trPr>
        <w:tc>
          <w:tcPr>
            <w:tcW w:w="3648" w:type="dxa"/>
            <w:shd w:val="clear" w:color="auto" w:fill="DEEAF6" w:themeFill="accent5" w:themeFillTint="33"/>
          </w:tcPr>
          <w:p w14:paraId="0B3F6AE6" w14:textId="77777777" w:rsidR="003264BB" w:rsidRPr="00E07D0F" w:rsidRDefault="003264BB" w:rsidP="00757C86">
            <w:pPr>
              <w:rPr>
                <w:rFonts w:ascii="Times New Roman" w:eastAsia="Times New Roman" w:hAnsi="Times New Roman" w:cs="Times New Roman"/>
                <w:b/>
                <w:bCs/>
                <w:color w:val="222222"/>
                <w:sz w:val="24"/>
                <w:szCs w:val="24"/>
                <w:lang w:eastAsia="en-NZ"/>
              </w:rPr>
            </w:pPr>
            <w:r w:rsidRPr="00E07D0F">
              <w:rPr>
                <w:rFonts w:ascii="Times New Roman" w:eastAsia="Times New Roman" w:hAnsi="Times New Roman" w:cs="Times New Roman"/>
                <w:b/>
                <w:bCs/>
                <w:color w:val="222222"/>
                <w:sz w:val="24"/>
                <w:szCs w:val="24"/>
                <w:lang w:eastAsia="en-NZ"/>
              </w:rPr>
              <w:t>Determinant: Current weekly PA duration</w:t>
            </w:r>
          </w:p>
        </w:tc>
        <w:tc>
          <w:tcPr>
            <w:tcW w:w="10476" w:type="dxa"/>
            <w:gridSpan w:val="4"/>
            <w:shd w:val="clear" w:color="auto" w:fill="DEEAF6" w:themeFill="accent5" w:themeFillTint="33"/>
          </w:tcPr>
          <w:p w14:paraId="1AF4A1B8" w14:textId="77777777" w:rsidR="003264BB" w:rsidRPr="00E07D0F" w:rsidRDefault="003264BB" w:rsidP="00757C86">
            <w:pPr>
              <w:rPr>
                <w:rFonts w:ascii="Times New Roman" w:hAnsi="Times New Roman" w:cs="Times New Roman"/>
                <w:sz w:val="24"/>
                <w:szCs w:val="24"/>
              </w:rPr>
            </w:pPr>
            <w:r w:rsidRPr="00E07D0F">
              <w:rPr>
                <w:rFonts w:ascii="Times New Roman" w:eastAsia="Times New Roman" w:hAnsi="Times New Roman" w:cs="Times New Roman"/>
                <w:color w:val="222222"/>
                <w:sz w:val="24"/>
                <w:szCs w:val="24"/>
                <w:lang w:eastAsia="en-NZ"/>
              </w:rPr>
              <w:t>Method 3:</w:t>
            </w:r>
            <w:r w:rsidRPr="00E07D0F">
              <w:rPr>
                <w:rFonts w:ascii="Times New Roman" w:eastAsia="Times New Roman" w:hAnsi="Times New Roman" w:cs="Times New Roman"/>
                <w:b/>
                <w:bCs/>
                <w:color w:val="222222"/>
                <w:sz w:val="24"/>
                <w:szCs w:val="24"/>
                <w:lang w:eastAsia="en-NZ"/>
              </w:rPr>
              <w:t xml:space="preserve"> </w:t>
            </w:r>
            <w:r w:rsidRPr="00E07D0F">
              <w:rPr>
                <w:rFonts w:ascii="Times New Roman" w:eastAsia="Times New Roman" w:hAnsi="Times New Roman" w:cs="Times New Roman"/>
                <w:color w:val="222222"/>
                <w:sz w:val="24"/>
                <w:szCs w:val="24"/>
                <w:lang w:eastAsia="en-NZ"/>
              </w:rPr>
              <w:t>Adjusted based on information from base intervention.</w:t>
            </w:r>
          </w:p>
        </w:tc>
      </w:tr>
      <w:tr w:rsidR="003264BB" w:rsidRPr="00E07D0F" w14:paraId="111569E5" w14:textId="77777777" w:rsidTr="00757C86">
        <w:trPr>
          <w:trHeight w:val="2840"/>
        </w:trPr>
        <w:tc>
          <w:tcPr>
            <w:tcW w:w="3648" w:type="dxa"/>
            <w:shd w:val="clear" w:color="auto" w:fill="DEEAF6" w:themeFill="accent5" w:themeFillTint="33"/>
          </w:tcPr>
          <w:p w14:paraId="591EDAAA" w14:textId="77777777" w:rsidR="003264BB" w:rsidRPr="00E07D0F" w:rsidRDefault="003264BB" w:rsidP="00757C86">
            <w:pPr>
              <w:rPr>
                <w:rFonts w:ascii="Times New Roman" w:eastAsia="Times New Roman" w:hAnsi="Times New Roman" w:cs="Times New Roman"/>
                <w:color w:val="222222"/>
                <w:sz w:val="24"/>
                <w:szCs w:val="24"/>
                <w:lang w:eastAsia="en-NZ"/>
              </w:rPr>
            </w:pPr>
            <w:r w:rsidRPr="00E07D0F">
              <w:rPr>
                <w:rFonts w:ascii="Times New Roman" w:eastAsia="Times New Roman" w:hAnsi="Times New Roman" w:cs="Times New Roman"/>
                <w:color w:val="222222"/>
                <w:sz w:val="24"/>
                <w:szCs w:val="24"/>
                <w:lang w:eastAsia="en-NZ"/>
              </w:rPr>
              <w:lastRenderedPageBreak/>
              <w:t>Total weekly PA duration (q16bm)</w:t>
            </w:r>
          </w:p>
          <w:p w14:paraId="0FB78E24" w14:textId="77777777" w:rsidR="003264BB" w:rsidRPr="00E07D0F" w:rsidRDefault="003264BB" w:rsidP="00757C86">
            <w:pPr>
              <w:rPr>
                <w:rFonts w:ascii="Times New Roman" w:eastAsia="Times New Roman" w:hAnsi="Times New Roman" w:cs="Times New Roman"/>
                <w:b/>
                <w:bCs/>
                <w:color w:val="222222"/>
                <w:sz w:val="24"/>
                <w:szCs w:val="24"/>
                <w:lang w:eastAsia="en-NZ"/>
              </w:rPr>
            </w:pPr>
          </w:p>
        </w:tc>
        <w:tc>
          <w:tcPr>
            <w:tcW w:w="2848" w:type="dxa"/>
          </w:tcPr>
          <w:p w14:paraId="0FD4C184"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Based in Australia. Assumed two sessions of P.E a week. </w:t>
            </w:r>
          </w:p>
          <w:p w14:paraId="70108E89" w14:textId="77777777" w:rsidR="003264BB" w:rsidRPr="00E07D0F" w:rsidRDefault="003264BB" w:rsidP="00757C86">
            <w:pPr>
              <w:rPr>
                <w:rFonts w:ascii="Times New Roman" w:hAnsi="Times New Roman" w:cs="Times New Roman"/>
                <w:sz w:val="24"/>
                <w:szCs w:val="24"/>
              </w:rPr>
            </w:pPr>
          </w:p>
          <w:p w14:paraId="463916B4" w14:textId="7910D54E" w:rsidR="003264BB" w:rsidRPr="00E07D0F" w:rsidRDefault="003264BB" w:rsidP="00757C86">
            <w:pPr>
              <w:rPr>
                <w:rFonts w:ascii="Times New Roman" w:hAnsi="Times New Roman" w:cs="Times New Roman"/>
                <w:i/>
                <w:iCs/>
                <w:sz w:val="24"/>
                <w:szCs w:val="24"/>
                <w:u w:val="single"/>
              </w:rPr>
            </w:pPr>
            <w:r w:rsidRPr="00E07D0F">
              <w:rPr>
                <w:rFonts w:ascii="Times New Roman" w:hAnsi="Times New Roman" w:cs="Times New Roman"/>
                <w:sz w:val="24"/>
                <w:szCs w:val="24"/>
              </w:rPr>
              <w:t>(4 min/ lesson x2) = +8 min/</w:t>
            </w:r>
            <w:proofErr w:type="spellStart"/>
            <w:r w:rsidRPr="00E07D0F">
              <w:rPr>
                <w:rFonts w:ascii="Times New Roman" w:hAnsi="Times New Roman" w:cs="Times New Roman"/>
                <w:sz w:val="24"/>
                <w:szCs w:val="24"/>
              </w:rPr>
              <w:t>wk</w:t>
            </w:r>
            <w:proofErr w:type="spellEnd"/>
          </w:p>
          <w:p w14:paraId="1728D7D3" w14:textId="77777777" w:rsidR="003264BB" w:rsidRPr="00E07D0F" w:rsidRDefault="003264BB" w:rsidP="00757C86">
            <w:pPr>
              <w:rPr>
                <w:rFonts w:ascii="Times New Roman" w:hAnsi="Times New Roman" w:cs="Times New Roman"/>
                <w:i/>
                <w:iCs/>
                <w:sz w:val="24"/>
                <w:szCs w:val="24"/>
                <w:u w:val="single"/>
              </w:rPr>
            </w:pPr>
          </w:p>
          <w:p w14:paraId="14EC8ABA" w14:textId="77777777" w:rsidR="003264BB" w:rsidRPr="00E07D0F" w:rsidRDefault="003264BB" w:rsidP="00757C86">
            <w:pPr>
              <w:rPr>
                <w:rFonts w:ascii="Times New Roman" w:hAnsi="Times New Roman" w:cs="Times New Roman"/>
                <w:i/>
                <w:iCs/>
                <w:sz w:val="24"/>
                <w:szCs w:val="24"/>
                <w:u w:val="single"/>
              </w:rPr>
            </w:pPr>
            <w:r w:rsidRPr="00E07D0F">
              <w:rPr>
                <w:rFonts w:ascii="Times New Roman" w:hAnsi="Times New Roman" w:cs="Times New Roman"/>
                <w:i/>
                <w:iCs/>
                <w:sz w:val="24"/>
                <w:szCs w:val="24"/>
                <w:u w:val="single"/>
              </w:rPr>
              <w:t>0.13 hr/week</w:t>
            </w:r>
          </w:p>
          <w:p w14:paraId="5192C993" w14:textId="77777777" w:rsidR="003264BB" w:rsidRPr="00E07D0F" w:rsidRDefault="003264BB" w:rsidP="00757C86">
            <w:pPr>
              <w:rPr>
                <w:rFonts w:ascii="Times New Roman" w:hAnsi="Times New Roman" w:cs="Times New Roman"/>
                <w:sz w:val="24"/>
                <w:szCs w:val="24"/>
              </w:rPr>
            </w:pPr>
          </w:p>
        </w:tc>
        <w:tc>
          <w:tcPr>
            <w:tcW w:w="2453" w:type="dxa"/>
          </w:tcPr>
          <w:p w14:paraId="074BFB9A"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PA amount taken from two points.</w:t>
            </w:r>
          </w:p>
          <w:p w14:paraId="08FFE557" w14:textId="77777777" w:rsidR="003264BB" w:rsidRPr="00E07D0F" w:rsidRDefault="003264BB" w:rsidP="00757C86">
            <w:pPr>
              <w:rPr>
                <w:rFonts w:ascii="Times New Roman" w:hAnsi="Times New Roman" w:cs="Times New Roman"/>
                <w:sz w:val="24"/>
                <w:szCs w:val="24"/>
              </w:rPr>
            </w:pPr>
          </w:p>
          <w:p w14:paraId="5C0DFC64"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-1.91 min/</w:t>
            </w:r>
            <w:proofErr w:type="spellStart"/>
            <w:r w:rsidRPr="00E07D0F">
              <w:rPr>
                <w:rFonts w:ascii="Times New Roman" w:hAnsi="Times New Roman" w:cs="Times New Roman"/>
                <w:sz w:val="24"/>
                <w:szCs w:val="24"/>
              </w:rPr>
              <w:t>wk</w:t>
            </w:r>
            <w:proofErr w:type="spellEnd"/>
            <w:r w:rsidRPr="00E07D0F">
              <w:rPr>
                <w:rFonts w:ascii="Times New Roman" w:hAnsi="Times New Roman" w:cs="Times New Roman"/>
                <w:sz w:val="24"/>
                <w:szCs w:val="24"/>
              </w:rPr>
              <w:t xml:space="preserve"> day at 10 months =</w:t>
            </w:r>
          </w:p>
          <w:p w14:paraId="1F98749A"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-13.37 min/</w:t>
            </w:r>
            <w:proofErr w:type="spellStart"/>
            <w:r w:rsidRPr="00E07D0F">
              <w:rPr>
                <w:rFonts w:ascii="Times New Roman" w:hAnsi="Times New Roman" w:cs="Times New Roman"/>
                <w:sz w:val="24"/>
                <w:szCs w:val="24"/>
              </w:rPr>
              <w:t>wk</w:t>
            </w:r>
            <w:proofErr w:type="spellEnd"/>
          </w:p>
          <w:p w14:paraId="36BDFD7B" w14:textId="77777777" w:rsidR="003264BB" w:rsidRPr="00E07D0F" w:rsidRDefault="003264BB" w:rsidP="00757C86">
            <w:pPr>
              <w:rPr>
                <w:rFonts w:ascii="Times New Roman" w:hAnsi="Times New Roman" w:cs="Times New Roman"/>
                <w:i/>
                <w:iCs/>
                <w:sz w:val="24"/>
                <w:szCs w:val="24"/>
                <w:u w:val="single"/>
              </w:rPr>
            </w:pPr>
          </w:p>
          <w:p w14:paraId="31B220BD"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AND</w:t>
            </w:r>
          </w:p>
          <w:p w14:paraId="199ED053" w14:textId="77777777" w:rsidR="003264BB" w:rsidRPr="00E07D0F" w:rsidRDefault="003264BB" w:rsidP="00757C86">
            <w:pPr>
              <w:rPr>
                <w:rFonts w:ascii="Times New Roman" w:hAnsi="Times New Roman" w:cs="Times New Roman"/>
                <w:sz w:val="24"/>
                <w:szCs w:val="24"/>
              </w:rPr>
            </w:pPr>
          </w:p>
          <w:p w14:paraId="7CAAB593" w14:textId="77777777" w:rsidR="003264BB" w:rsidRPr="00E07D0F" w:rsidRDefault="003264BB" w:rsidP="00757C86">
            <w:pPr>
              <w:rPr>
                <w:rFonts w:ascii="Times New Roman" w:eastAsia="Times New Roman" w:hAnsi="Times New Roman" w:cs="Times New Roman"/>
                <w:sz w:val="24"/>
                <w:szCs w:val="24"/>
                <w:lang w:eastAsia="en-GB"/>
              </w:rPr>
            </w:pPr>
            <w:r w:rsidRPr="00E07D0F">
              <w:rPr>
                <w:rFonts w:ascii="Times New Roman" w:eastAsia="Times New Roman" w:hAnsi="Times New Roman" w:cs="Times New Roman"/>
                <w:sz w:val="24"/>
                <w:szCs w:val="24"/>
                <w:lang w:eastAsia="en-GB"/>
              </w:rPr>
              <w:t>-0.81 min/</w:t>
            </w:r>
            <w:proofErr w:type="spellStart"/>
            <w:r w:rsidRPr="00E07D0F">
              <w:rPr>
                <w:rFonts w:ascii="Times New Roman" w:eastAsia="Times New Roman" w:hAnsi="Times New Roman" w:cs="Times New Roman"/>
                <w:sz w:val="24"/>
                <w:szCs w:val="24"/>
                <w:lang w:eastAsia="en-GB"/>
              </w:rPr>
              <w:t>wk</w:t>
            </w:r>
            <w:proofErr w:type="spellEnd"/>
            <w:r w:rsidRPr="00E07D0F">
              <w:rPr>
                <w:rFonts w:ascii="Times New Roman" w:eastAsia="Times New Roman" w:hAnsi="Times New Roman" w:cs="Times New Roman"/>
                <w:sz w:val="24"/>
                <w:szCs w:val="24"/>
                <w:lang w:eastAsia="en-GB"/>
              </w:rPr>
              <w:t xml:space="preserve"> at 12 weeks = </w:t>
            </w:r>
          </w:p>
          <w:p w14:paraId="3C04B5CC" w14:textId="77777777" w:rsidR="003264BB" w:rsidRPr="00E07D0F" w:rsidRDefault="003264BB" w:rsidP="00757C86">
            <w:pPr>
              <w:rPr>
                <w:rFonts w:ascii="Times New Roman" w:hAnsi="Times New Roman" w:cs="Times New Roman"/>
                <w:sz w:val="24"/>
                <w:szCs w:val="24"/>
              </w:rPr>
            </w:pPr>
            <w:r w:rsidRPr="00E07D0F">
              <w:rPr>
                <w:rFonts w:ascii="Times New Roman" w:eastAsia="Times New Roman" w:hAnsi="Times New Roman" w:cs="Times New Roman"/>
                <w:sz w:val="24"/>
                <w:szCs w:val="24"/>
                <w:lang w:eastAsia="en-GB"/>
              </w:rPr>
              <w:t>-5.67 min/</w:t>
            </w:r>
            <w:proofErr w:type="spellStart"/>
            <w:r w:rsidRPr="00E07D0F">
              <w:rPr>
                <w:rFonts w:ascii="Times New Roman" w:eastAsia="Times New Roman" w:hAnsi="Times New Roman" w:cs="Times New Roman"/>
                <w:sz w:val="24"/>
                <w:szCs w:val="24"/>
                <w:lang w:eastAsia="en-GB"/>
              </w:rPr>
              <w:t>wk</w:t>
            </w:r>
            <w:proofErr w:type="spellEnd"/>
          </w:p>
          <w:p w14:paraId="1BBF3472"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 </w:t>
            </w:r>
          </w:p>
          <w:p w14:paraId="114BAB05" w14:textId="77777777" w:rsidR="003264BB" w:rsidRPr="00E07D0F" w:rsidRDefault="003264BB" w:rsidP="00757C86">
            <w:pPr>
              <w:rPr>
                <w:rFonts w:ascii="Times New Roman" w:hAnsi="Times New Roman" w:cs="Times New Roman"/>
                <w:i/>
                <w:iCs/>
                <w:sz w:val="24"/>
                <w:szCs w:val="24"/>
                <w:u w:val="single"/>
              </w:rPr>
            </w:pPr>
            <w:proofErr w:type="gramStart"/>
            <w:r w:rsidRPr="00E07D0F">
              <w:rPr>
                <w:rFonts w:ascii="Times New Roman" w:hAnsi="Times New Roman" w:cs="Times New Roman"/>
                <w:sz w:val="24"/>
                <w:szCs w:val="24"/>
              </w:rPr>
              <w:t>6 month</w:t>
            </w:r>
            <w:proofErr w:type="gramEnd"/>
            <w:r w:rsidRPr="00E07D0F">
              <w:rPr>
                <w:rFonts w:ascii="Times New Roman" w:hAnsi="Times New Roman" w:cs="Times New Roman"/>
                <w:sz w:val="24"/>
                <w:szCs w:val="24"/>
              </w:rPr>
              <w:t xml:space="preserve"> trajectory =     -7.7 min/</w:t>
            </w:r>
            <w:proofErr w:type="spellStart"/>
            <w:r w:rsidRPr="00E07D0F">
              <w:rPr>
                <w:rFonts w:ascii="Times New Roman" w:hAnsi="Times New Roman" w:cs="Times New Roman"/>
                <w:sz w:val="24"/>
                <w:szCs w:val="24"/>
              </w:rPr>
              <w:t>wk</w:t>
            </w:r>
            <w:proofErr w:type="spellEnd"/>
          </w:p>
          <w:p w14:paraId="1EEC9BBC" w14:textId="77777777" w:rsidR="003264BB" w:rsidRPr="00E07D0F" w:rsidRDefault="003264BB" w:rsidP="00757C86">
            <w:pPr>
              <w:rPr>
                <w:rFonts w:ascii="Times New Roman" w:hAnsi="Times New Roman" w:cs="Times New Roman"/>
                <w:sz w:val="24"/>
                <w:szCs w:val="24"/>
              </w:rPr>
            </w:pPr>
          </w:p>
          <w:p w14:paraId="761F489F"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i/>
                <w:iCs/>
                <w:sz w:val="24"/>
                <w:szCs w:val="24"/>
                <w:u w:val="single"/>
              </w:rPr>
              <w:t>-0.13 hrs/</w:t>
            </w:r>
            <w:proofErr w:type="spellStart"/>
            <w:r w:rsidRPr="00E07D0F">
              <w:rPr>
                <w:rFonts w:ascii="Times New Roman" w:hAnsi="Times New Roman" w:cs="Times New Roman"/>
                <w:i/>
                <w:iCs/>
                <w:sz w:val="24"/>
                <w:szCs w:val="24"/>
                <w:u w:val="single"/>
              </w:rPr>
              <w:t>wk</w:t>
            </w:r>
            <w:proofErr w:type="spellEnd"/>
          </w:p>
        </w:tc>
        <w:tc>
          <w:tcPr>
            <w:tcW w:w="2254" w:type="dxa"/>
          </w:tcPr>
          <w:p w14:paraId="2931E6FC"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We are assuming at least one lesson a day in the week.</w:t>
            </w:r>
          </w:p>
          <w:p w14:paraId="7A7728AF" w14:textId="77777777" w:rsidR="003264BB" w:rsidRPr="00E07D0F" w:rsidRDefault="003264BB" w:rsidP="00757C86">
            <w:pPr>
              <w:rPr>
                <w:rFonts w:ascii="Times New Roman" w:hAnsi="Times New Roman" w:cs="Times New Roman"/>
                <w:sz w:val="24"/>
                <w:szCs w:val="24"/>
              </w:rPr>
            </w:pPr>
          </w:p>
          <w:p w14:paraId="4860CB4B"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0.6 min over school day. </w:t>
            </w:r>
          </w:p>
          <w:p w14:paraId="4463D0B1" w14:textId="77777777" w:rsidR="003264BB" w:rsidRPr="00E07D0F" w:rsidRDefault="003264BB" w:rsidP="00757C86">
            <w:pPr>
              <w:rPr>
                <w:rFonts w:ascii="Times New Roman" w:hAnsi="Times New Roman" w:cs="Times New Roman"/>
                <w:i/>
                <w:iCs/>
                <w:sz w:val="24"/>
                <w:szCs w:val="24"/>
                <w:u w:val="single"/>
              </w:rPr>
            </w:pPr>
            <w:r w:rsidRPr="00E07D0F">
              <w:rPr>
                <w:rFonts w:ascii="Times New Roman" w:hAnsi="Times New Roman" w:cs="Times New Roman"/>
                <w:sz w:val="24"/>
                <w:szCs w:val="24"/>
              </w:rPr>
              <w:t>= +3 min/</w:t>
            </w:r>
            <w:proofErr w:type="spellStart"/>
            <w:r w:rsidRPr="00E07D0F">
              <w:rPr>
                <w:rFonts w:ascii="Times New Roman" w:hAnsi="Times New Roman" w:cs="Times New Roman"/>
                <w:sz w:val="24"/>
                <w:szCs w:val="24"/>
              </w:rPr>
              <w:t>wk</w:t>
            </w:r>
            <w:proofErr w:type="spellEnd"/>
          </w:p>
          <w:p w14:paraId="4449E4FA" w14:textId="77777777" w:rsidR="003264BB" w:rsidRPr="00E07D0F" w:rsidRDefault="003264BB" w:rsidP="00757C86">
            <w:pPr>
              <w:rPr>
                <w:rFonts w:ascii="Times New Roman" w:hAnsi="Times New Roman" w:cs="Times New Roman"/>
                <w:i/>
                <w:iCs/>
                <w:sz w:val="24"/>
                <w:szCs w:val="24"/>
                <w:u w:val="single"/>
              </w:rPr>
            </w:pPr>
          </w:p>
          <w:p w14:paraId="61E21A05" w14:textId="77777777" w:rsidR="003264BB" w:rsidRPr="00E07D0F" w:rsidRDefault="003264BB" w:rsidP="00757C86">
            <w:pPr>
              <w:rPr>
                <w:rFonts w:ascii="Times New Roman" w:hAnsi="Times New Roman" w:cs="Times New Roman"/>
                <w:i/>
                <w:iCs/>
                <w:sz w:val="24"/>
                <w:szCs w:val="24"/>
                <w:u w:val="single"/>
              </w:rPr>
            </w:pPr>
            <w:r w:rsidRPr="00E07D0F">
              <w:rPr>
                <w:rFonts w:ascii="Times New Roman" w:hAnsi="Times New Roman" w:cs="Times New Roman"/>
                <w:i/>
                <w:iCs/>
                <w:sz w:val="24"/>
                <w:szCs w:val="24"/>
                <w:u w:val="single"/>
              </w:rPr>
              <w:t>+0.05 hrs/week</w:t>
            </w:r>
          </w:p>
          <w:p w14:paraId="3A0D0B6E" w14:textId="77777777" w:rsidR="003264BB" w:rsidRPr="00E07D0F" w:rsidRDefault="003264BB" w:rsidP="00757C86">
            <w:pPr>
              <w:rPr>
                <w:rFonts w:ascii="Times New Roman" w:hAnsi="Times New Roman" w:cs="Times New Roman"/>
                <w:sz w:val="24"/>
                <w:szCs w:val="24"/>
              </w:rPr>
            </w:pPr>
          </w:p>
          <w:p w14:paraId="217C5E18" w14:textId="77777777" w:rsidR="003264BB" w:rsidRPr="00E07D0F" w:rsidRDefault="003264BB" w:rsidP="00757C86">
            <w:pPr>
              <w:rPr>
                <w:rFonts w:ascii="Times New Roman" w:hAnsi="Times New Roman" w:cs="Times New Roman"/>
                <w:sz w:val="24"/>
                <w:szCs w:val="24"/>
              </w:rPr>
            </w:pPr>
          </w:p>
        </w:tc>
        <w:tc>
          <w:tcPr>
            <w:tcW w:w="2921" w:type="dxa"/>
          </w:tcPr>
          <w:p w14:paraId="3B327E1C"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Assume a recess/lunch or morning tea period every day for a week.</w:t>
            </w:r>
          </w:p>
          <w:p w14:paraId="1B1CC547" w14:textId="77777777" w:rsidR="003264BB" w:rsidRPr="00E07D0F" w:rsidRDefault="003264BB" w:rsidP="00757C86">
            <w:pPr>
              <w:rPr>
                <w:rFonts w:ascii="Times New Roman" w:hAnsi="Times New Roman" w:cs="Times New Roman"/>
                <w:sz w:val="24"/>
                <w:szCs w:val="24"/>
              </w:rPr>
            </w:pPr>
          </w:p>
          <w:p w14:paraId="39C8E4BF"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12.1% of a 20 min recess = </w:t>
            </w:r>
          </w:p>
          <w:p w14:paraId="6AFC56D0"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2min 25secs </w:t>
            </w:r>
          </w:p>
          <w:p w14:paraId="6D9B6B30"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xml:space="preserve">x 5 </w:t>
            </w:r>
          </w:p>
          <w:p w14:paraId="7E6BF390"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sz w:val="24"/>
                <w:szCs w:val="24"/>
              </w:rPr>
              <w:t>= +12.12 min/</w:t>
            </w:r>
            <w:proofErr w:type="spellStart"/>
            <w:r w:rsidRPr="00E07D0F">
              <w:rPr>
                <w:rFonts w:ascii="Times New Roman" w:hAnsi="Times New Roman" w:cs="Times New Roman"/>
                <w:sz w:val="24"/>
                <w:szCs w:val="24"/>
              </w:rPr>
              <w:t>wk</w:t>
            </w:r>
            <w:proofErr w:type="spellEnd"/>
          </w:p>
          <w:p w14:paraId="0E6BE782" w14:textId="77777777" w:rsidR="003264BB" w:rsidRPr="00E07D0F" w:rsidRDefault="003264BB" w:rsidP="00757C86">
            <w:pPr>
              <w:rPr>
                <w:rFonts w:ascii="Times New Roman" w:hAnsi="Times New Roman" w:cs="Times New Roman"/>
                <w:sz w:val="24"/>
                <w:szCs w:val="24"/>
              </w:rPr>
            </w:pPr>
          </w:p>
          <w:p w14:paraId="5C9D1402" w14:textId="77777777" w:rsidR="003264BB" w:rsidRPr="00E07D0F" w:rsidRDefault="003264BB" w:rsidP="00757C86">
            <w:pPr>
              <w:rPr>
                <w:rFonts w:ascii="Times New Roman" w:hAnsi="Times New Roman" w:cs="Times New Roman"/>
                <w:sz w:val="24"/>
                <w:szCs w:val="24"/>
              </w:rPr>
            </w:pPr>
            <w:r w:rsidRPr="00E07D0F">
              <w:rPr>
                <w:rFonts w:ascii="Times New Roman" w:hAnsi="Times New Roman" w:cs="Times New Roman"/>
                <w:i/>
                <w:iCs/>
                <w:sz w:val="24"/>
                <w:szCs w:val="24"/>
                <w:u w:val="single"/>
              </w:rPr>
              <w:t>+0.20 hrs/week</w:t>
            </w:r>
          </w:p>
        </w:tc>
      </w:tr>
    </w:tbl>
    <w:p w14:paraId="7D8C2F82" w14:textId="77777777" w:rsidR="003264BB" w:rsidRPr="00E07D0F" w:rsidRDefault="003264BB" w:rsidP="005631EC">
      <w:pPr>
        <w:spacing w:line="240" w:lineRule="auto"/>
        <w:rPr>
          <w:rFonts w:ascii="Times New Roman" w:hAnsi="Times New Roman" w:cs="Times New Roman"/>
          <w:b/>
          <w:bCs/>
          <w:sz w:val="24"/>
          <w:szCs w:val="24"/>
        </w:rPr>
      </w:pPr>
      <w:r w:rsidRPr="00E07D0F">
        <w:rPr>
          <w:rFonts w:ascii="Times New Roman" w:hAnsi="Times New Roman" w:cs="Times New Roman"/>
          <w:b/>
          <w:bCs/>
          <w:sz w:val="24"/>
          <w:szCs w:val="24"/>
        </w:rPr>
        <w:t>Key:</w:t>
      </w:r>
    </w:p>
    <w:p w14:paraId="06078CB6" w14:textId="77777777" w:rsidR="003264BB" w:rsidRPr="00E07D0F" w:rsidRDefault="003264BB" w:rsidP="005631EC">
      <w:pPr>
        <w:spacing w:line="240" w:lineRule="auto"/>
        <w:rPr>
          <w:rFonts w:ascii="Times New Roman" w:hAnsi="Times New Roman" w:cs="Times New Roman"/>
          <w:sz w:val="24"/>
          <w:szCs w:val="24"/>
        </w:rPr>
      </w:pPr>
      <w:r w:rsidRPr="00E07D0F">
        <w:rPr>
          <w:rFonts w:ascii="Times New Roman" w:hAnsi="Times New Roman" w:cs="Times New Roman"/>
          <w:sz w:val="24"/>
          <w:szCs w:val="24"/>
        </w:rPr>
        <w:sym w:font="Wingdings" w:char="F0FC"/>
      </w:r>
      <w:r w:rsidRPr="00E07D0F">
        <w:rPr>
          <w:rFonts w:ascii="Times New Roman" w:hAnsi="Times New Roman" w:cs="Times New Roman"/>
          <w:sz w:val="24"/>
          <w:szCs w:val="24"/>
        </w:rPr>
        <w:t xml:space="preserve"> = When possible, creates a positive change in the coding of this variable.</w:t>
      </w:r>
    </w:p>
    <w:p w14:paraId="6AADC69B" w14:textId="77777777" w:rsidR="003264BB" w:rsidRPr="00E07D0F" w:rsidRDefault="003264BB" w:rsidP="005631EC">
      <w:pPr>
        <w:spacing w:line="240" w:lineRule="auto"/>
        <w:rPr>
          <w:rFonts w:ascii="Times New Roman" w:hAnsi="Times New Roman" w:cs="Times New Roman"/>
          <w:sz w:val="24"/>
          <w:szCs w:val="24"/>
        </w:rPr>
      </w:pPr>
      <w:r w:rsidRPr="00E07D0F">
        <w:rPr>
          <w:rFonts w:ascii="Times New Roman" w:hAnsi="Times New Roman" w:cs="Times New Roman"/>
          <w:sz w:val="24"/>
          <w:szCs w:val="24"/>
        </w:rPr>
        <w:t>X = No change to the coding of this variable.</w:t>
      </w:r>
    </w:p>
    <w:p w14:paraId="1C868DBB" w14:textId="77777777" w:rsidR="00BC653D" w:rsidRDefault="00BC653D"/>
    <w:p w14:paraId="2CB24A47" w14:textId="53EA7931" w:rsidR="00A408FC" w:rsidRDefault="00A408FC">
      <w:pPr>
        <w:rPr>
          <w:rFonts w:ascii="Times New Roman" w:hAnsi="Times New Roman" w:cs="Times New Roman"/>
          <w:b/>
          <w:bCs/>
          <w:sz w:val="28"/>
          <w:szCs w:val="28"/>
        </w:rPr>
      </w:pPr>
      <w:r w:rsidRPr="00A408FC">
        <w:rPr>
          <w:rFonts w:ascii="Times New Roman" w:hAnsi="Times New Roman" w:cs="Times New Roman"/>
          <w:b/>
          <w:bCs/>
          <w:sz w:val="28"/>
          <w:szCs w:val="28"/>
        </w:rPr>
        <w:t>References</w:t>
      </w:r>
    </w:p>
    <w:p w14:paraId="1167D02F" w14:textId="4F6A11AC" w:rsidR="00665D4E" w:rsidRPr="00665D4E" w:rsidRDefault="002652B5" w:rsidP="00665D4E">
      <w:pPr>
        <w:widowControl w:val="0"/>
        <w:autoSpaceDE w:val="0"/>
        <w:autoSpaceDN w:val="0"/>
        <w:adjustRightInd w:val="0"/>
        <w:spacing w:line="240" w:lineRule="auto"/>
        <w:rPr>
          <w:rFonts w:ascii="Times New Roman" w:hAnsi="Times New Roman" w:cs="Times New Roman"/>
          <w:noProof/>
          <w:sz w:val="24"/>
        </w:rPr>
      </w:pPr>
      <w:r w:rsidRPr="002652B5">
        <w:rPr>
          <w:rFonts w:ascii="Times New Roman" w:hAnsi="Times New Roman" w:cs="Times New Roman"/>
          <w:b/>
          <w:bCs/>
          <w:sz w:val="24"/>
          <w:szCs w:val="24"/>
        </w:rPr>
        <w:fldChar w:fldCharType="begin" w:fldLock="1"/>
      </w:r>
      <w:r w:rsidRPr="002652B5">
        <w:rPr>
          <w:rFonts w:ascii="Times New Roman" w:hAnsi="Times New Roman" w:cs="Times New Roman"/>
          <w:b/>
          <w:bCs/>
          <w:sz w:val="24"/>
          <w:szCs w:val="24"/>
        </w:rPr>
        <w:instrText xml:space="preserve">ADDIN Mendeley Bibliography CSL_BIBLIOGRAPHY </w:instrText>
      </w:r>
      <w:r w:rsidRPr="002652B5">
        <w:rPr>
          <w:rFonts w:ascii="Times New Roman" w:hAnsi="Times New Roman" w:cs="Times New Roman"/>
          <w:b/>
          <w:bCs/>
          <w:sz w:val="24"/>
          <w:szCs w:val="24"/>
        </w:rPr>
        <w:fldChar w:fldCharType="separate"/>
      </w:r>
      <w:r w:rsidR="00665D4E" w:rsidRPr="00665D4E">
        <w:rPr>
          <w:rFonts w:ascii="Times New Roman" w:hAnsi="Times New Roman" w:cs="Times New Roman"/>
          <w:noProof/>
          <w:sz w:val="24"/>
        </w:rPr>
        <w:t xml:space="preserve">1. Riley N, Lubans DR, Holmes K, Morgan PJ. Findings from the EASY minds cluster randomized controlled trial: Evaluation of a physical activity integration program for mathematics in primary schools. J Phys Act Heal. 2016;13:198–206. </w:t>
      </w:r>
    </w:p>
    <w:p w14:paraId="56AA61A8" w14:textId="77777777" w:rsidR="00665D4E" w:rsidRPr="00665D4E" w:rsidRDefault="00665D4E" w:rsidP="00665D4E">
      <w:pPr>
        <w:widowControl w:val="0"/>
        <w:autoSpaceDE w:val="0"/>
        <w:autoSpaceDN w:val="0"/>
        <w:adjustRightInd w:val="0"/>
        <w:spacing w:line="240" w:lineRule="auto"/>
        <w:rPr>
          <w:rFonts w:ascii="Times New Roman" w:hAnsi="Times New Roman" w:cs="Times New Roman"/>
          <w:noProof/>
          <w:sz w:val="24"/>
        </w:rPr>
      </w:pPr>
      <w:r w:rsidRPr="00665D4E">
        <w:rPr>
          <w:rFonts w:ascii="Times New Roman" w:hAnsi="Times New Roman" w:cs="Times New Roman"/>
          <w:noProof/>
          <w:sz w:val="24"/>
        </w:rPr>
        <w:t>2. Raney MA, Hendry CF, Yee SA. Physical Activity and Social Behaviors of Urban Children in Green Playgrounds. Am J Prev Med [Internet]. 2019;56:522–9. Available from: https://doi.org/10.1016/j.amepre.2018.11.004</w:t>
      </w:r>
    </w:p>
    <w:p w14:paraId="61715EEB" w14:textId="77777777" w:rsidR="00665D4E" w:rsidRPr="00665D4E" w:rsidRDefault="00665D4E" w:rsidP="00665D4E">
      <w:pPr>
        <w:widowControl w:val="0"/>
        <w:autoSpaceDE w:val="0"/>
        <w:autoSpaceDN w:val="0"/>
        <w:adjustRightInd w:val="0"/>
        <w:spacing w:line="240" w:lineRule="auto"/>
        <w:rPr>
          <w:rFonts w:ascii="Times New Roman" w:hAnsi="Times New Roman" w:cs="Times New Roman"/>
          <w:noProof/>
          <w:sz w:val="24"/>
        </w:rPr>
      </w:pPr>
      <w:r w:rsidRPr="00665D4E">
        <w:rPr>
          <w:rFonts w:ascii="Times New Roman" w:hAnsi="Times New Roman" w:cs="Times New Roman"/>
          <w:noProof/>
          <w:sz w:val="24"/>
        </w:rPr>
        <w:t>3. Education Counts. School Subject Enrolment [Internet]. 2022. Available from: https://www.educationcounts.govt.nz/statistics/subject-enrolment</w:t>
      </w:r>
    </w:p>
    <w:p w14:paraId="555344FF" w14:textId="77777777" w:rsidR="00665D4E" w:rsidRPr="00665D4E" w:rsidRDefault="00665D4E" w:rsidP="00665D4E">
      <w:pPr>
        <w:widowControl w:val="0"/>
        <w:autoSpaceDE w:val="0"/>
        <w:autoSpaceDN w:val="0"/>
        <w:adjustRightInd w:val="0"/>
        <w:spacing w:line="240" w:lineRule="auto"/>
        <w:rPr>
          <w:rFonts w:ascii="Times New Roman" w:hAnsi="Times New Roman" w:cs="Times New Roman"/>
          <w:noProof/>
          <w:sz w:val="24"/>
        </w:rPr>
      </w:pPr>
      <w:r w:rsidRPr="00665D4E">
        <w:rPr>
          <w:rFonts w:ascii="Times New Roman" w:hAnsi="Times New Roman" w:cs="Times New Roman"/>
          <w:noProof/>
          <w:sz w:val="24"/>
        </w:rPr>
        <w:lastRenderedPageBreak/>
        <w:t xml:space="preserve">4. Kontos EZ, Bennett GG, Viswanath K. Barriers and facilitators to home computer and internet use among urban novice computer users of low socioeconomic position. J Med Internet Res. 2007;9:1–11. </w:t>
      </w:r>
    </w:p>
    <w:p w14:paraId="768ACC7D" w14:textId="77777777" w:rsidR="00665D4E" w:rsidRPr="00665D4E" w:rsidRDefault="00665D4E" w:rsidP="00665D4E">
      <w:pPr>
        <w:widowControl w:val="0"/>
        <w:autoSpaceDE w:val="0"/>
        <w:autoSpaceDN w:val="0"/>
        <w:adjustRightInd w:val="0"/>
        <w:spacing w:line="240" w:lineRule="auto"/>
        <w:rPr>
          <w:rFonts w:ascii="Times New Roman" w:hAnsi="Times New Roman" w:cs="Times New Roman"/>
          <w:noProof/>
          <w:sz w:val="24"/>
        </w:rPr>
      </w:pPr>
      <w:r w:rsidRPr="00665D4E">
        <w:rPr>
          <w:rFonts w:ascii="Times New Roman" w:hAnsi="Times New Roman" w:cs="Times New Roman"/>
          <w:noProof/>
          <w:sz w:val="24"/>
        </w:rPr>
        <w:t xml:space="preserve">5. Lonsdale C, Lester A, Owen KB, White RL, Peralta L, Kirwan M, et al. An internet-supported school physical activity intervention in low socioeconomic status communities: Results from the Activity and Motivation in Physical Education (AMPED) cluster randomised controlled trial. Br J Sports Med. 2017;53:341–7. </w:t>
      </w:r>
    </w:p>
    <w:p w14:paraId="45D3E027" w14:textId="77777777" w:rsidR="00665D4E" w:rsidRPr="00665D4E" w:rsidRDefault="00665D4E" w:rsidP="00665D4E">
      <w:pPr>
        <w:widowControl w:val="0"/>
        <w:autoSpaceDE w:val="0"/>
        <w:autoSpaceDN w:val="0"/>
        <w:adjustRightInd w:val="0"/>
        <w:spacing w:line="240" w:lineRule="auto"/>
        <w:rPr>
          <w:rFonts w:ascii="Times New Roman" w:hAnsi="Times New Roman" w:cs="Times New Roman"/>
          <w:noProof/>
          <w:sz w:val="24"/>
        </w:rPr>
      </w:pPr>
      <w:r w:rsidRPr="00665D4E">
        <w:rPr>
          <w:rFonts w:ascii="Times New Roman" w:hAnsi="Times New Roman" w:cs="Times New Roman"/>
          <w:noProof/>
          <w:sz w:val="24"/>
        </w:rPr>
        <w:t>6. Corder K, Sharp SJ, Jong ST, Foubister C, Brown HE, Wells EK, et al. Effectiveness and cost-effectiveness of the GoActive intervention to increase physical activity among UK adolescents: A cluster randomised controlled trial. PLoS Med [Internet]. 2020;17. Available from: http://dx.doi.org/10.1371/journal.pmed.1003210</w:t>
      </w:r>
    </w:p>
    <w:p w14:paraId="6C4B2509" w14:textId="77777777" w:rsidR="00665D4E" w:rsidRPr="00665D4E" w:rsidRDefault="00665D4E" w:rsidP="00665D4E">
      <w:pPr>
        <w:widowControl w:val="0"/>
        <w:autoSpaceDE w:val="0"/>
        <w:autoSpaceDN w:val="0"/>
        <w:adjustRightInd w:val="0"/>
        <w:spacing w:line="240" w:lineRule="auto"/>
        <w:rPr>
          <w:rFonts w:ascii="Times New Roman" w:hAnsi="Times New Roman" w:cs="Times New Roman"/>
          <w:noProof/>
          <w:sz w:val="24"/>
        </w:rPr>
      </w:pPr>
      <w:r w:rsidRPr="00665D4E">
        <w:rPr>
          <w:rFonts w:ascii="Times New Roman" w:hAnsi="Times New Roman" w:cs="Times New Roman"/>
          <w:noProof/>
          <w:sz w:val="24"/>
        </w:rPr>
        <w:t xml:space="preserve">7. Bedard C, St John L, Bremer E, Graham JD, Cairney J. A systematic review and meta-analysis on the effects of physically active classrooms on educational and enjoyment outcomes in school age children. PLoS One. 2018;14:1–19. </w:t>
      </w:r>
    </w:p>
    <w:p w14:paraId="2072286D" w14:textId="2D05A777" w:rsidR="002652B5" w:rsidRPr="00A408FC" w:rsidRDefault="002652B5">
      <w:pPr>
        <w:rPr>
          <w:rFonts w:ascii="Times New Roman" w:hAnsi="Times New Roman" w:cs="Times New Roman"/>
          <w:b/>
          <w:bCs/>
          <w:sz w:val="28"/>
          <w:szCs w:val="28"/>
        </w:rPr>
      </w:pPr>
      <w:r w:rsidRPr="002652B5">
        <w:rPr>
          <w:rFonts w:ascii="Times New Roman" w:hAnsi="Times New Roman" w:cs="Times New Roman"/>
          <w:b/>
          <w:bCs/>
          <w:sz w:val="24"/>
          <w:szCs w:val="24"/>
        </w:rPr>
        <w:fldChar w:fldCharType="end"/>
      </w:r>
    </w:p>
    <w:sectPr w:rsidR="002652B5" w:rsidRPr="00A408FC" w:rsidSect="00DD73D5">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4BB"/>
    <w:rsid w:val="000F5BB5"/>
    <w:rsid w:val="00227599"/>
    <w:rsid w:val="002652B5"/>
    <w:rsid w:val="002E5F18"/>
    <w:rsid w:val="002F7648"/>
    <w:rsid w:val="003264BB"/>
    <w:rsid w:val="003E6D2D"/>
    <w:rsid w:val="00501873"/>
    <w:rsid w:val="005557A6"/>
    <w:rsid w:val="005631EC"/>
    <w:rsid w:val="00665D4E"/>
    <w:rsid w:val="006849A3"/>
    <w:rsid w:val="0079119A"/>
    <w:rsid w:val="00832735"/>
    <w:rsid w:val="00880FF2"/>
    <w:rsid w:val="008E0E8A"/>
    <w:rsid w:val="00A33031"/>
    <w:rsid w:val="00A408FC"/>
    <w:rsid w:val="00BC653D"/>
    <w:rsid w:val="00BD1CBB"/>
    <w:rsid w:val="00C35275"/>
    <w:rsid w:val="00CA39FA"/>
    <w:rsid w:val="00DD73D5"/>
    <w:rsid w:val="00E54544"/>
    <w:rsid w:val="00EB434F"/>
    <w:rsid w:val="00EC5A6E"/>
    <w:rsid w:val="00EE03A6"/>
    <w:rsid w:val="00F83D42"/>
    <w:rsid w:val="00FE334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054F0"/>
  <w15:chartTrackingRefBased/>
  <w15:docId w15:val="{FB87A709-1296-4557-9E09-BE105FB7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BB"/>
    <w:rPr>
      <w:kern w:val="0"/>
      <w14:ligatures w14:val="none"/>
    </w:rPr>
  </w:style>
  <w:style w:type="paragraph" w:styleId="Heading1">
    <w:name w:val="heading 1"/>
    <w:basedOn w:val="Normal"/>
    <w:next w:val="Normal"/>
    <w:link w:val="Heading1Char"/>
    <w:uiPriority w:val="9"/>
    <w:qFormat/>
    <w:rsid w:val="00880FF2"/>
    <w:pPr>
      <w:keepNext/>
      <w:keepLines/>
      <w:spacing w:before="240" w:after="0"/>
      <w:outlineLvl w:val="0"/>
    </w:pPr>
    <w:rPr>
      <w:rFonts w:ascii="Times New Roman" w:eastAsiaTheme="majorEastAsia" w:hAnsi="Times New Roman" w:cstheme="majorBidi"/>
      <w:b/>
      <w:kern w:val="2"/>
      <w:sz w:val="28"/>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FF2"/>
    <w:rPr>
      <w:rFonts w:ascii="Times New Roman" w:eastAsiaTheme="majorEastAsia" w:hAnsi="Times New Roman" w:cstheme="majorBidi"/>
      <w:b/>
      <w:sz w:val="28"/>
      <w:szCs w:val="32"/>
    </w:rPr>
  </w:style>
  <w:style w:type="paragraph" w:customStyle="1" w:styleId="Thesisnormalv2">
    <w:name w:val="Thesis normal v2"/>
    <w:basedOn w:val="Normal"/>
    <w:link w:val="Thesisnormalv2Char"/>
    <w:qFormat/>
    <w:rsid w:val="003264BB"/>
    <w:pPr>
      <w:spacing w:after="200" w:line="360" w:lineRule="auto"/>
      <w:jc w:val="both"/>
    </w:pPr>
    <w:rPr>
      <w:rFonts w:ascii="Times New Roman" w:hAnsi="Times New Roman"/>
      <w:b/>
      <w:i/>
      <w:sz w:val="24"/>
    </w:rPr>
  </w:style>
  <w:style w:type="character" w:customStyle="1" w:styleId="Thesisnormalv2Char">
    <w:name w:val="Thesis normal v2 Char"/>
    <w:basedOn w:val="DefaultParagraphFont"/>
    <w:link w:val="Thesisnormalv2"/>
    <w:rsid w:val="003264BB"/>
    <w:rPr>
      <w:rFonts w:ascii="Times New Roman" w:hAnsi="Times New Roman"/>
      <w:b/>
      <w:i/>
      <w:kern w:val="0"/>
      <w:sz w:val="24"/>
      <w14:ligatures w14:val="none"/>
    </w:rPr>
  </w:style>
  <w:style w:type="character" w:styleId="CommentReference">
    <w:name w:val="annotation reference"/>
    <w:basedOn w:val="DefaultParagraphFont"/>
    <w:uiPriority w:val="99"/>
    <w:semiHidden/>
    <w:unhideWhenUsed/>
    <w:rsid w:val="003264BB"/>
    <w:rPr>
      <w:sz w:val="16"/>
      <w:szCs w:val="16"/>
    </w:rPr>
  </w:style>
  <w:style w:type="paragraph" w:styleId="CommentText">
    <w:name w:val="annotation text"/>
    <w:basedOn w:val="Normal"/>
    <w:link w:val="CommentTextChar"/>
    <w:uiPriority w:val="99"/>
    <w:unhideWhenUsed/>
    <w:rsid w:val="003264BB"/>
    <w:pPr>
      <w:spacing w:line="240" w:lineRule="auto"/>
    </w:pPr>
    <w:rPr>
      <w:sz w:val="20"/>
      <w:szCs w:val="20"/>
    </w:rPr>
  </w:style>
  <w:style w:type="character" w:customStyle="1" w:styleId="CommentTextChar">
    <w:name w:val="Comment Text Char"/>
    <w:basedOn w:val="DefaultParagraphFont"/>
    <w:link w:val="CommentText"/>
    <w:uiPriority w:val="99"/>
    <w:rsid w:val="003264BB"/>
    <w:rPr>
      <w:kern w:val="0"/>
      <w:sz w:val="20"/>
      <w:szCs w:val="20"/>
      <w14:ligatures w14:val="none"/>
    </w:rPr>
  </w:style>
  <w:style w:type="table" w:styleId="TableGrid">
    <w:name w:val="Table Grid"/>
    <w:basedOn w:val="TableNormal"/>
    <w:uiPriority w:val="39"/>
    <w:rsid w:val="003264B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019E7-DD96-41B6-9E93-208650D1E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1295</Words>
  <Characters>6701</Characters>
  <Application>Microsoft Office Word</Application>
  <DocSecurity>0</DocSecurity>
  <Lines>318</Lines>
  <Paragraphs>175</Paragraphs>
  <ScaleCrop>false</ScaleCrop>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Bergen</dc:creator>
  <cp:keywords/>
  <dc:description/>
  <cp:lastModifiedBy>Tom Bergen</cp:lastModifiedBy>
  <cp:revision>17</cp:revision>
  <dcterms:created xsi:type="dcterms:W3CDTF">2024-03-28T00:56:00Z</dcterms:created>
  <dcterms:modified xsi:type="dcterms:W3CDTF">2024-07-27T09:27:00Z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http://www.zotero.org/styles/international-journal-of-behavioral-nutrition-and-physical-activity</vt:lpwstr>
  </property>
  <property fmtid="{D5CDD505-2E9C-101B-9397-08002B2CF9AE}" pid="3" name="Mendeley Document_1">
    <vt:lpwstr>True</vt:lpwstr>
  </property>
  <property fmtid="{D5CDD505-2E9C-101B-9397-08002B2CF9AE}" pid="4" name="Mendeley Unique User Id_1">
    <vt:lpwstr>6a825aa1-8f08-3850-ab72-d587b1e37701</vt:lpwstr>
  </property>
  <property fmtid="{D5CDD505-2E9C-101B-9397-08002B2CF9AE}" pid="5" name="GrammarlyDocumentId">
    <vt:lpwstr>65b3ede98e20e69c38b5668b34944d1e247e1d8f6f603e49a2a3ad6844d96251</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http://www.zotero.org/styles/chicago-author-date</vt:lpwstr>
  </property>
  <property fmtid="{D5CDD505-2E9C-101B-9397-08002B2CF9AE}" pid="11" name="Mendeley Recent Style Name 2_1">
    <vt:lpwstr>Chicago Manual of Style 17th edition (author-date)</vt:lpwstr>
  </property>
  <property fmtid="{D5CDD505-2E9C-101B-9397-08002B2CF9AE}" pid="12" name="Mendeley Recent Style Id 3_1">
    <vt:lpwstr>http://www.zotero.org/styles/harvard-cite-them-right</vt:lpwstr>
  </property>
  <property fmtid="{D5CDD505-2E9C-101B-9397-08002B2CF9AE}" pid="13" name="Mendeley Recent Style Name 3_1">
    <vt:lpwstr>Cite Them Right 12th edition - Harvard</vt:lpwstr>
  </property>
  <property fmtid="{D5CDD505-2E9C-101B-9397-08002B2CF9AE}" pid="14" name="Mendeley Recent Style Id 4_1">
    <vt:lpwstr>http://www.zotero.org/styles/ieee</vt:lpwstr>
  </property>
  <property fmtid="{D5CDD505-2E9C-101B-9397-08002B2CF9AE}" pid="15" name="Mendeley Recent Style Name 4_1">
    <vt:lpwstr>IEEE</vt:lpwstr>
  </property>
  <property fmtid="{D5CDD505-2E9C-101B-9397-08002B2CF9AE}" pid="16" name="Mendeley Recent Style Id 5_1">
    <vt:lpwstr>http://www.zotero.org/styles/international-journal-of-behavioral-nutrition-and-physical-activity</vt:lpwstr>
  </property>
  <property fmtid="{D5CDD505-2E9C-101B-9397-08002B2CF9AE}" pid="17" name="Mendeley Recent Style Name 5_1">
    <vt:lpwstr>International Journal of Behavioral Nutrition and Physical Activity</vt:lpwstr>
  </property>
  <property fmtid="{D5CDD505-2E9C-101B-9397-08002B2CF9AE}" pid="18" name="Mendeley Recent Style Id 6_1">
    <vt:lpwstr>http://www.zotero.org/styles/international-journal-of-environmental-research-and-public-health</vt:lpwstr>
  </property>
  <property fmtid="{D5CDD505-2E9C-101B-9397-08002B2CF9AE}" pid="19" name="Mendeley Recent Style Name 6_1">
    <vt:lpwstr>International Journal of Environmental Research and Public Health</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