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ABDCE" w14:textId="1C7C2133" w:rsidR="00BD2ACB" w:rsidRPr="0086397B" w:rsidRDefault="00C1781B" w:rsidP="0086397B">
      <w:pPr>
        <w:spacing w:after="0" w:line="480" w:lineRule="auto"/>
        <w:jc w:val="center"/>
        <w:rPr>
          <w:rFonts w:ascii="Times New Roman" w:hAnsi="Times New Roman" w:cs="Times New Roman"/>
          <w:b/>
          <w:bCs/>
        </w:rPr>
      </w:pPr>
      <w:r w:rsidRPr="0086397B">
        <w:rPr>
          <w:rFonts w:ascii="Times New Roman" w:hAnsi="Times New Roman" w:cs="Times New Roman"/>
          <w:b/>
          <w:bCs/>
        </w:rPr>
        <w:t>Supplementary Analysis</w:t>
      </w:r>
      <w:r w:rsidR="00BD2ACB" w:rsidRPr="0086397B">
        <w:rPr>
          <w:rFonts w:ascii="Times New Roman" w:hAnsi="Times New Roman" w:cs="Times New Roman"/>
          <w:b/>
          <w:bCs/>
        </w:rPr>
        <w:t xml:space="preserve"> of the Comparison of Group Means between Month 3 and 6</w:t>
      </w:r>
    </w:p>
    <w:p w14:paraId="71ECFE99" w14:textId="42A86FD1" w:rsidR="00604966" w:rsidRPr="009B758A" w:rsidRDefault="00604966" w:rsidP="00604966">
      <w:pPr>
        <w:spacing w:after="0" w:line="480" w:lineRule="auto"/>
        <w:rPr>
          <w:rFonts w:ascii="Times New Roman" w:hAnsi="Times New Roman" w:cs="Times New Roman"/>
          <w:i/>
          <w:iCs/>
        </w:rPr>
      </w:pPr>
      <w:r w:rsidRPr="009B758A">
        <w:rPr>
          <w:rFonts w:ascii="Times New Roman" w:hAnsi="Times New Roman" w:cs="Times New Roman"/>
          <w:i/>
          <w:iCs/>
        </w:rPr>
        <w:t>Results</w:t>
      </w:r>
    </w:p>
    <w:p w14:paraId="4A9CD196" w14:textId="26F07609" w:rsidR="00432F8A" w:rsidRDefault="00484002" w:rsidP="00484002">
      <w:pPr>
        <w:spacing w:after="0" w:line="480" w:lineRule="auto"/>
        <w:ind w:firstLine="720"/>
        <w:rPr>
          <w:rFonts w:ascii="Times New Roman" w:hAnsi="Times New Roman" w:cs="Times New Roman"/>
        </w:rPr>
      </w:pPr>
      <w:r>
        <w:rPr>
          <w:rFonts w:ascii="Times New Roman" w:hAnsi="Times New Roman" w:cs="Times New Roman"/>
        </w:rPr>
        <w:t xml:space="preserve">In terms of the primary outcome variable, </w:t>
      </w:r>
      <w:r w:rsidRPr="00484002">
        <w:rPr>
          <w:rFonts w:ascii="Times New Roman" w:hAnsi="Times New Roman" w:cs="Times New Roman"/>
        </w:rPr>
        <w:t>daily moderate-to-vigorous PA (MVPA)</w:t>
      </w:r>
      <w:r>
        <w:rPr>
          <w:rFonts w:ascii="Times New Roman" w:hAnsi="Times New Roman" w:cs="Times New Roman"/>
        </w:rPr>
        <w:t>,</w:t>
      </w:r>
      <w:r w:rsidRPr="00484002">
        <w:rPr>
          <w:rFonts w:ascii="Times New Roman" w:hAnsi="Times New Roman" w:cs="Times New Roman"/>
        </w:rPr>
        <w:t xml:space="preserve"> </w:t>
      </w:r>
      <w:r>
        <w:rPr>
          <w:rFonts w:ascii="Times New Roman" w:hAnsi="Times New Roman" w:cs="Times New Roman"/>
        </w:rPr>
        <w:t>o</w:t>
      </w:r>
      <w:r w:rsidR="00702B76" w:rsidRPr="00702B76">
        <w:rPr>
          <w:rFonts w:ascii="Times New Roman" w:hAnsi="Times New Roman" w:cs="Times New Roman"/>
        </w:rPr>
        <w:t>ur post-hoc exploratory analysis indicated that</w:t>
      </w:r>
      <w:r w:rsidR="00432F8A">
        <w:rPr>
          <w:rFonts w:ascii="Times New Roman" w:hAnsi="Times New Roman" w:cs="Times New Roman"/>
        </w:rPr>
        <w:t xml:space="preserve"> from </w:t>
      </w:r>
      <w:r w:rsidR="00432F8A" w:rsidRPr="00432F8A">
        <w:rPr>
          <w:rFonts w:ascii="Times New Roman" w:hAnsi="Times New Roman" w:cs="Times New Roman"/>
        </w:rPr>
        <w:t>Month 3 to Month 6, the [AVG Only] group had more daily MVPA than [</w:t>
      </w:r>
      <w:proofErr w:type="spellStart"/>
      <w:r w:rsidR="00432F8A" w:rsidRPr="00432F8A">
        <w:rPr>
          <w:rFonts w:ascii="Times New Roman" w:hAnsi="Times New Roman" w:cs="Times New Roman"/>
        </w:rPr>
        <w:t>Narrative+AVG</w:t>
      </w:r>
      <w:proofErr w:type="spellEnd"/>
      <w:r w:rsidR="00432F8A" w:rsidRPr="00432F8A">
        <w:rPr>
          <w:rFonts w:ascii="Times New Roman" w:hAnsi="Times New Roman" w:cs="Times New Roman"/>
        </w:rPr>
        <w:t xml:space="preserve">] (net difference, 3.3 [4.5; 95% CI, 1.7-10.7], minute/day, </w:t>
      </w:r>
      <w:r w:rsidR="00432F8A" w:rsidRPr="00432F8A">
        <w:rPr>
          <w:rFonts w:ascii="Times New Roman" w:hAnsi="Times New Roman" w:cs="Times New Roman"/>
          <w:i/>
          <w:iCs/>
        </w:rPr>
        <w:t>p</w:t>
      </w:r>
      <w:r w:rsidR="00432F8A" w:rsidRPr="00432F8A">
        <w:rPr>
          <w:rFonts w:ascii="Times New Roman" w:hAnsi="Times New Roman" w:cs="Times New Roman"/>
        </w:rPr>
        <w:t>=0.03).</w:t>
      </w:r>
    </w:p>
    <w:p w14:paraId="2374FED1" w14:textId="091EB0AC" w:rsidR="00702B76" w:rsidRDefault="00484002" w:rsidP="000E4CF3">
      <w:pPr>
        <w:spacing w:after="0" w:line="480" w:lineRule="auto"/>
        <w:ind w:firstLine="720"/>
        <w:rPr>
          <w:rFonts w:ascii="Times New Roman" w:hAnsi="Times New Roman" w:cs="Times New Roman"/>
        </w:rPr>
      </w:pPr>
      <w:r w:rsidRPr="004F476B">
        <w:rPr>
          <w:rFonts w:ascii="Times New Roman" w:hAnsi="Times New Roman" w:cs="Times New Roman"/>
        </w:rPr>
        <w:t>As for the secondary outcomes,</w:t>
      </w:r>
      <w:r>
        <w:rPr>
          <w:rFonts w:ascii="Times New Roman" w:hAnsi="Times New Roman" w:cs="Times New Roman"/>
        </w:rPr>
        <w:t xml:space="preserve"> f</w:t>
      </w:r>
      <w:r w:rsidRPr="00484002">
        <w:rPr>
          <w:rFonts w:ascii="Times New Roman" w:hAnsi="Times New Roman" w:cs="Times New Roman"/>
        </w:rPr>
        <w:t>rom Month 3 to Month 6,</w:t>
      </w:r>
      <w:r w:rsidR="00596824">
        <w:rPr>
          <w:rFonts w:ascii="Times New Roman" w:hAnsi="Times New Roman" w:cs="Times New Roman"/>
        </w:rPr>
        <w:t xml:space="preserve"> the</w:t>
      </w:r>
      <w:r w:rsidRPr="00484002">
        <w:rPr>
          <w:rFonts w:ascii="Times New Roman" w:hAnsi="Times New Roman" w:cs="Times New Roman"/>
        </w:rPr>
        <w:t xml:space="preserve"> [</w:t>
      </w:r>
      <w:proofErr w:type="spellStart"/>
      <w:r w:rsidRPr="00484002">
        <w:rPr>
          <w:rFonts w:ascii="Times New Roman" w:hAnsi="Times New Roman" w:cs="Times New Roman"/>
        </w:rPr>
        <w:t>Narrative+AVG</w:t>
      </w:r>
      <w:proofErr w:type="spellEnd"/>
      <w:r w:rsidRPr="00484002">
        <w:rPr>
          <w:rFonts w:ascii="Times New Roman" w:hAnsi="Times New Roman" w:cs="Times New Roman"/>
        </w:rPr>
        <w:t xml:space="preserve">] </w:t>
      </w:r>
      <w:r w:rsidR="00596824">
        <w:rPr>
          <w:rFonts w:ascii="Times New Roman" w:hAnsi="Times New Roman" w:cs="Times New Roman"/>
        </w:rPr>
        <w:t xml:space="preserve">group </w:t>
      </w:r>
      <w:r w:rsidRPr="00484002">
        <w:rPr>
          <w:rFonts w:ascii="Times New Roman" w:hAnsi="Times New Roman" w:cs="Times New Roman"/>
        </w:rPr>
        <w:t>gained less triglycerides</w:t>
      </w:r>
      <w:r w:rsidR="00CE6202">
        <w:rPr>
          <w:rFonts w:ascii="Times New Roman" w:hAnsi="Times New Roman" w:cs="Times New Roman"/>
        </w:rPr>
        <w:t>,</w:t>
      </w:r>
      <w:r w:rsidRPr="00484002">
        <w:rPr>
          <w:rFonts w:ascii="Times New Roman" w:hAnsi="Times New Roman" w:cs="Times New Roman"/>
        </w:rPr>
        <w:t xml:space="preserve"> </w:t>
      </w:r>
      <w:r w:rsidR="00CE6202">
        <w:rPr>
          <w:rFonts w:ascii="Times New Roman" w:hAnsi="Times New Roman" w:cs="Times New Roman"/>
        </w:rPr>
        <w:t>-</w:t>
      </w:r>
      <w:r w:rsidRPr="00484002">
        <w:rPr>
          <w:rFonts w:ascii="Times New Roman" w:hAnsi="Times New Roman" w:cs="Times New Roman"/>
        </w:rPr>
        <w:t>26.2 [12.5; 95% CI, -46.7</w:t>
      </w:r>
      <w:r w:rsidR="00303226">
        <w:rPr>
          <w:rFonts w:ascii="Times New Roman" w:hAnsi="Times New Roman" w:cs="Times New Roman"/>
        </w:rPr>
        <w:t xml:space="preserve"> - -12.2</w:t>
      </w:r>
      <w:r w:rsidRPr="00484002">
        <w:rPr>
          <w:rFonts w:ascii="Times New Roman" w:hAnsi="Times New Roman" w:cs="Times New Roman"/>
        </w:rPr>
        <w:t xml:space="preserve">], mg/dL; </w:t>
      </w:r>
      <w:r w:rsidRPr="00CE6202">
        <w:rPr>
          <w:rFonts w:ascii="Times New Roman" w:hAnsi="Times New Roman" w:cs="Times New Roman"/>
          <w:i/>
          <w:iCs/>
        </w:rPr>
        <w:t>p</w:t>
      </w:r>
      <w:r w:rsidRPr="00484002">
        <w:rPr>
          <w:rFonts w:ascii="Times New Roman" w:hAnsi="Times New Roman" w:cs="Times New Roman"/>
        </w:rPr>
        <w:t xml:space="preserve">=0.04) than [AVG only]. Additionally, </w:t>
      </w:r>
      <w:r w:rsidR="00881AA8">
        <w:rPr>
          <w:rFonts w:ascii="Times New Roman" w:hAnsi="Times New Roman" w:cs="Times New Roman"/>
        </w:rPr>
        <w:t>[</w:t>
      </w:r>
      <w:proofErr w:type="spellStart"/>
      <w:r w:rsidR="00881AA8">
        <w:rPr>
          <w:rFonts w:ascii="Times New Roman" w:hAnsi="Times New Roman" w:cs="Times New Roman"/>
        </w:rPr>
        <w:t>Narrative+AVG</w:t>
      </w:r>
      <w:proofErr w:type="spellEnd"/>
      <w:r w:rsidR="00881AA8">
        <w:rPr>
          <w:rFonts w:ascii="Times New Roman" w:hAnsi="Times New Roman" w:cs="Times New Roman"/>
        </w:rPr>
        <w:t>] gained significantly less fat mass than [Waitlist Control]</w:t>
      </w:r>
      <w:r w:rsidR="00B1333E">
        <w:rPr>
          <w:rFonts w:ascii="Times New Roman" w:hAnsi="Times New Roman" w:cs="Times New Roman"/>
        </w:rPr>
        <w:t xml:space="preserve"> </w:t>
      </w:r>
      <w:r w:rsidR="00B1333E" w:rsidRPr="00484002">
        <w:rPr>
          <w:rFonts w:ascii="Times New Roman" w:hAnsi="Times New Roman" w:cs="Times New Roman"/>
        </w:rPr>
        <w:t>(net difference, -</w:t>
      </w:r>
      <w:r w:rsidR="00B1333E">
        <w:rPr>
          <w:rFonts w:ascii="Times New Roman" w:hAnsi="Times New Roman" w:cs="Times New Roman"/>
        </w:rPr>
        <w:t>1446.6</w:t>
      </w:r>
      <w:r w:rsidR="00B1333E" w:rsidRPr="00484002">
        <w:rPr>
          <w:rFonts w:ascii="Times New Roman" w:hAnsi="Times New Roman" w:cs="Times New Roman"/>
        </w:rPr>
        <w:t xml:space="preserve"> [6</w:t>
      </w:r>
      <w:r w:rsidR="00B1333E">
        <w:rPr>
          <w:rFonts w:ascii="Times New Roman" w:hAnsi="Times New Roman" w:cs="Times New Roman"/>
        </w:rPr>
        <w:t>85</w:t>
      </w:r>
      <w:r w:rsidR="00B1333E" w:rsidRPr="00484002">
        <w:rPr>
          <w:rFonts w:ascii="Times New Roman" w:hAnsi="Times New Roman" w:cs="Times New Roman"/>
        </w:rPr>
        <w:t xml:space="preserve">.5; 95% CI, </w:t>
      </w:r>
      <w:r w:rsidR="00B1333E" w:rsidRPr="0019661E">
        <w:rPr>
          <w:rFonts w:ascii="Times New Roman" w:hAnsi="Times New Roman" w:cs="Times New Roman"/>
        </w:rPr>
        <w:t>-</w:t>
      </w:r>
      <w:r w:rsidR="006D0289">
        <w:rPr>
          <w:rFonts w:ascii="Times New Roman" w:hAnsi="Times New Roman" w:cs="Times New Roman"/>
        </w:rPr>
        <w:t>2</w:t>
      </w:r>
      <w:r w:rsidR="004A40F2">
        <w:rPr>
          <w:rFonts w:ascii="Times New Roman" w:hAnsi="Times New Roman" w:cs="Times New Roman"/>
        </w:rPr>
        <w:t>790.2</w:t>
      </w:r>
      <w:r w:rsidR="0065124B">
        <w:rPr>
          <w:rFonts w:ascii="Times New Roman" w:hAnsi="Times New Roman" w:cs="Times New Roman"/>
        </w:rPr>
        <w:t xml:space="preserve"> </w:t>
      </w:r>
      <w:r w:rsidR="00B1333E" w:rsidRPr="0019661E">
        <w:rPr>
          <w:rFonts w:ascii="Times New Roman" w:hAnsi="Times New Roman" w:cs="Times New Roman"/>
        </w:rPr>
        <w:t>-</w:t>
      </w:r>
      <w:r w:rsidR="00B1333E">
        <w:rPr>
          <w:rFonts w:ascii="Times New Roman" w:hAnsi="Times New Roman" w:cs="Times New Roman"/>
        </w:rPr>
        <w:t xml:space="preserve"> </w:t>
      </w:r>
      <w:r w:rsidR="00B1333E" w:rsidRPr="0019661E">
        <w:rPr>
          <w:rFonts w:ascii="Times New Roman" w:hAnsi="Times New Roman" w:cs="Times New Roman"/>
        </w:rPr>
        <w:t>-</w:t>
      </w:r>
      <w:r w:rsidR="004A40F2">
        <w:rPr>
          <w:rFonts w:ascii="Times New Roman" w:hAnsi="Times New Roman" w:cs="Times New Roman"/>
        </w:rPr>
        <w:t>103</w:t>
      </w:r>
      <w:r w:rsidR="00B1333E" w:rsidRPr="0019661E">
        <w:rPr>
          <w:rFonts w:ascii="Times New Roman" w:hAnsi="Times New Roman" w:cs="Times New Roman"/>
        </w:rPr>
        <w:t>.0</w:t>
      </w:r>
      <w:r w:rsidR="00B1333E" w:rsidRPr="00484002">
        <w:rPr>
          <w:rFonts w:ascii="Times New Roman" w:hAnsi="Times New Roman" w:cs="Times New Roman"/>
        </w:rPr>
        <w:t xml:space="preserve">], gram; </w:t>
      </w:r>
      <w:r w:rsidR="00B1333E" w:rsidRPr="00CE6202">
        <w:rPr>
          <w:rFonts w:ascii="Times New Roman" w:hAnsi="Times New Roman" w:cs="Times New Roman"/>
          <w:i/>
          <w:iCs/>
        </w:rPr>
        <w:t>p</w:t>
      </w:r>
      <w:r w:rsidR="00230BDD">
        <w:rPr>
          <w:rFonts w:ascii="Times New Roman" w:hAnsi="Times New Roman" w:cs="Times New Roman"/>
        </w:rPr>
        <w:t>&lt;</w:t>
      </w:r>
      <w:r w:rsidR="00B1333E" w:rsidRPr="00484002">
        <w:rPr>
          <w:rFonts w:ascii="Times New Roman" w:hAnsi="Times New Roman" w:cs="Times New Roman"/>
        </w:rPr>
        <w:t>0.0</w:t>
      </w:r>
      <w:r w:rsidR="00230BDD">
        <w:rPr>
          <w:rFonts w:ascii="Times New Roman" w:hAnsi="Times New Roman" w:cs="Times New Roman"/>
        </w:rPr>
        <w:t>1.</w:t>
      </w:r>
      <w:r w:rsidR="0065124B">
        <w:rPr>
          <w:rFonts w:ascii="Times New Roman" w:hAnsi="Times New Roman" w:cs="Times New Roman"/>
        </w:rPr>
        <w:t xml:space="preserve"> On the other hand, </w:t>
      </w:r>
      <w:r w:rsidRPr="00484002">
        <w:rPr>
          <w:rFonts w:ascii="Times New Roman" w:hAnsi="Times New Roman" w:cs="Times New Roman"/>
        </w:rPr>
        <w:t>[AVG only] gained significantly less fat mass and had a lower Total Region % Fat compared to [Waitlist Control] (net difference, -</w:t>
      </w:r>
      <w:r w:rsidR="009A68DB">
        <w:rPr>
          <w:rFonts w:ascii="Times New Roman" w:hAnsi="Times New Roman" w:cs="Times New Roman"/>
        </w:rPr>
        <w:t>1</w:t>
      </w:r>
      <w:r w:rsidR="006D0289">
        <w:rPr>
          <w:rFonts w:ascii="Times New Roman" w:hAnsi="Times New Roman" w:cs="Times New Roman"/>
        </w:rPr>
        <w:t>170.1</w:t>
      </w:r>
      <w:r w:rsidRPr="00484002">
        <w:rPr>
          <w:rFonts w:ascii="Times New Roman" w:hAnsi="Times New Roman" w:cs="Times New Roman"/>
        </w:rPr>
        <w:t xml:space="preserve"> [6</w:t>
      </w:r>
      <w:r w:rsidR="006D0289">
        <w:rPr>
          <w:rFonts w:ascii="Times New Roman" w:hAnsi="Times New Roman" w:cs="Times New Roman"/>
        </w:rPr>
        <w:t>6</w:t>
      </w:r>
      <w:r w:rsidR="009A68DB">
        <w:rPr>
          <w:rFonts w:ascii="Times New Roman" w:hAnsi="Times New Roman" w:cs="Times New Roman"/>
        </w:rPr>
        <w:t>5</w:t>
      </w:r>
      <w:r w:rsidRPr="00484002">
        <w:rPr>
          <w:rFonts w:ascii="Times New Roman" w:hAnsi="Times New Roman" w:cs="Times New Roman"/>
        </w:rPr>
        <w:t xml:space="preserve">.5; 95% CI, -1916.6 - -77], gram; </w:t>
      </w:r>
      <w:r w:rsidRPr="00CE6202">
        <w:rPr>
          <w:rFonts w:ascii="Times New Roman" w:hAnsi="Times New Roman" w:cs="Times New Roman"/>
          <w:i/>
          <w:iCs/>
        </w:rPr>
        <w:t>p</w:t>
      </w:r>
      <w:r w:rsidRPr="00484002">
        <w:rPr>
          <w:rFonts w:ascii="Times New Roman" w:hAnsi="Times New Roman" w:cs="Times New Roman"/>
        </w:rPr>
        <w:t xml:space="preserve">&lt;0.01 and -1.3% [0.6; 95% CI, -2- -0.3]. %; </w:t>
      </w:r>
      <w:r w:rsidRPr="00AB624F">
        <w:rPr>
          <w:rFonts w:ascii="Times New Roman" w:hAnsi="Times New Roman" w:cs="Times New Roman"/>
          <w:i/>
          <w:iCs/>
        </w:rPr>
        <w:t>p</w:t>
      </w:r>
      <w:r w:rsidRPr="00484002">
        <w:rPr>
          <w:rFonts w:ascii="Times New Roman" w:hAnsi="Times New Roman" w:cs="Times New Roman"/>
        </w:rPr>
        <w:t>=0.02, respectively).</w:t>
      </w:r>
      <w:r w:rsidR="000E4CF3">
        <w:rPr>
          <w:rFonts w:ascii="Times New Roman" w:hAnsi="Times New Roman" w:cs="Times New Roman"/>
        </w:rPr>
        <w:t xml:space="preserve"> </w:t>
      </w:r>
      <w:r w:rsidR="009F3093">
        <w:rPr>
          <w:rFonts w:ascii="Times New Roman" w:hAnsi="Times New Roman" w:cs="Times New Roman"/>
        </w:rPr>
        <w:t>Please refer to Supplementary Table 1 for</w:t>
      </w:r>
      <w:r w:rsidR="00056A5F">
        <w:rPr>
          <w:rFonts w:ascii="Times New Roman" w:hAnsi="Times New Roman" w:cs="Times New Roman"/>
        </w:rPr>
        <w:t xml:space="preserve"> details.</w:t>
      </w:r>
    </w:p>
    <w:p w14:paraId="06E491D2" w14:textId="36C0F232" w:rsidR="00604966" w:rsidRPr="009B758A" w:rsidRDefault="009B758A" w:rsidP="009F04E7">
      <w:pPr>
        <w:spacing w:after="0" w:line="480" w:lineRule="auto"/>
        <w:rPr>
          <w:rFonts w:ascii="Times New Roman" w:hAnsi="Times New Roman" w:cs="Times New Roman"/>
          <w:i/>
          <w:iCs/>
        </w:rPr>
      </w:pPr>
      <w:r>
        <w:rPr>
          <w:rFonts w:ascii="Times New Roman" w:hAnsi="Times New Roman" w:cs="Times New Roman"/>
          <w:i/>
          <w:iCs/>
        </w:rPr>
        <w:t>Discussion</w:t>
      </w:r>
    </w:p>
    <w:p w14:paraId="5A8629E3" w14:textId="027F51C9" w:rsidR="00604966" w:rsidRDefault="00334E03" w:rsidP="007C6A0D">
      <w:pPr>
        <w:spacing w:after="0" w:line="480" w:lineRule="auto"/>
        <w:ind w:firstLine="720"/>
        <w:rPr>
          <w:rFonts w:ascii="Times New Roman" w:hAnsi="Times New Roman" w:cs="Times New Roman"/>
        </w:rPr>
      </w:pPr>
      <w:r w:rsidRPr="0031212F">
        <w:rPr>
          <w:rFonts w:ascii="Times New Roman" w:hAnsi="Times New Roman" w:cs="Times New Roman"/>
        </w:rPr>
        <w:t>D</w:t>
      </w:r>
      <w:r w:rsidR="007C6A0D" w:rsidRPr="0031212F">
        <w:rPr>
          <w:rFonts w:ascii="Times New Roman" w:hAnsi="Times New Roman" w:cs="Times New Roman"/>
        </w:rPr>
        <w:t xml:space="preserve">uring the second half of the RCT, </w:t>
      </w:r>
      <w:r w:rsidR="0031212F">
        <w:rPr>
          <w:rFonts w:ascii="Times New Roman" w:hAnsi="Times New Roman" w:cs="Times New Roman"/>
        </w:rPr>
        <w:t>t</w:t>
      </w:r>
      <w:r w:rsidR="00604966" w:rsidRPr="0031212F">
        <w:rPr>
          <w:rFonts w:ascii="Times New Roman" w:hAnsi="Times New Roman" w:cs="Times New Roman"/>
        </w:rPr>
        <w:t>he [AVG Only] group produc</w:t>
      </w:r>
      <w:r w:rsidR="007C6A0D" w:rsidRPr="0031212F">
        <w:rPr>
          <w:rFonts w:ascii="Times New Roman" w:hAnsi="Times New Roman" w:cs="Times New Roman"/>
        </w:rPr>
        <w:t>ed</w:t>
      </w:r>
      <w:r w:rsidR="00604966" w:rsidRPr="0031212F">
        <w:rPr>
          <w:rFonts w:ascii="Times New Roman" w:hAnsi="Times New Roman" w:cs="Times New Roman"/>
        </w:rPr>
        <w:t xml:space="preserve"> more daily MVPA</w:t>
      </w:r>
      <w:r w:rsidR="007C6A0D" w:rsidRPr="0031212F">
        <w:rPr>
          <w:rFonts w:ascii="Times New Roman" w:hAnsi="Times New Roman" w:cs="Times New Roman"/>
        </w:rPr>
        <w:t>. B</w:t>
      </w:r>
      <w:r w:rsidR="00604966" w:rsidRPr="0031212F">
        <w:rPr>
          <w:rFonts w:ascii="Times New Roman" w:hAnsi="Times New Roman" w:cs="Times New Roman"/>
        </w:rPr>
        <w:t>oth [</w:t>
      </w:r>
      <w:proofErr w:type="spellStart"/>
      <w:r w:rsidR="00604966" w:rsidRPr="0031212F">
        <w:rPr>
          <w:rFonts w:ascii="Times New Roman" w:hAnsi="Times New Roman" w:cs="Times New Roman"/>
        </w:rPr>
        <w:t>Narrative+AVG</w:t>
      </w:r>
      <w:proofErr w:type="spellEnd"/>
      <w:r w:rsidR="00604966" w:rsidRPr="0031212F">
        <w:rPr>
          <w:rFonts w:ascii="Times New Roman" w:hAnsi="Times New Roman" w:cs="Times New Roman"/>
        </w:rPr>
        <w:t>] and [AVG Only] resulted in significant fat mass reduction compared to the [Waitlist Control], with the [AVG Only] group also exhibiting lower Total Region % Fat than the [Waitlist Control]. Additionally, during this time, the [</w:t>
      </w:r>
      <w:proofErr w:type="spellStart"/>
      <w:r w:rsidR="00604966" w:rsidRPr="0031212F">
        <w:rPr>
          <w:rFonts w:ascii="Times New Roman" w:hAnsi="Times New Roman" w:cs="Times New Roman"/>
        </w:rPr>
        <w:t>Narrative+AVG</w:t>
      </w:r>
      <w:proofErr w:type="spellEnd"/>
      <w:r w:rsidR="00604966" w:rsidRPr="0031212F">
        <w:rPr>
          <w:rFonts w:ascii="Times New Roman" w:hAnsi="Times New Roman" w:cs="Times New Roman"/>
        </w:rPr>
        <w:t>] condition significantly reduced triglyceride levels compared to the [AVG Only] group.</w:t>
      </w:r>
    </w:p>
    <w:p w14:paraId="201F9683" w14:textId="77777777" w:rsidR="00C4064A" w:rsidRPr="00C4064A" w:rsidRDefault="008218E8" w:rsidP="00C4064A">
      <w:pPr>
        <w:pStyle w:val="NoSpacing"/>
        <w:widowControl w:val="0"/>
        <w:spacing w:line="480" w:lineRule="auto"/>
        <w:ind w:firstLine="720"/>
        <w:rPr>
          <w:rFonts w:ascii="Times New Roman" w:hAnsi="Times New Roman" w:cs="Times New Roman"/>
          <w:sz w:val="24"/>
          <w:szCs w:val="24"/>
        </w:rPr>
      </w:pPr>
      <w:r w:rsidRPr="000E4CF3">
        <w:rPr>
          <w:rFonts w:ascii="Times New Roman" w:hAnsi="Times New Roman" w:cs="Times New Roman"/>
          <w:sz w:val="24"/>
          <w:szCs w:val="24"/>
        </w:rPr>
        <w:t>Additionally, regardless of the narrative addition, introducing AVGs significantly curtailed fat mass gain in both the [</w:t>
      </w:r>
      <w:proofErr w:type="spellStart"/>
      <w:r w:rsidRPr="000E4CF3">
        <w:rPr>
          <w:rFonts w:ascii="Times New Roman" w:hAnsi="Times New Roman" w:cs="Times New Roman"/>
          <w:sz w:val="24"/>
          <w:szCs w:val="24"/>
        </w:rPr>
        <w:t>Narrative+AVG</w:t>
      </w:r>
      <w:proofErr w:type="spellEnd"/>
      <w:r w:rsidRPr="000E4CF3">
        <w:rPr>
          <w:rFonts w:ascii="Times New Roman" w:hAnsi="Times New Roman" w:cs="Times New Roman"/>
          <w:sz w:val="24"/>
          <w:szCs w:val="24"/>
        </w:rPr>
        <w:t xml:space="preserve">] and [AVG only] groups, compared with [Waitlist Control] during the second half of the RCT. Notably, the [AVG only] group also </w:t>
      </w:r>
      <w:r w:rsidRPr="000E4CF3">
        <w:rPr>
          <w:rFonts w:ascii="Times New Roman" w:hAnsi="Times New Roman" w:cs="Times New Roman"/>
          <w:sz w:val="24"/>
          <w:szCs w:val="24"/>
        </w:rPr>
        <w:lastRenderedPageBreak/>
        <w:t>exhibited a 1.3% reduction in total regional fat percentage relative to the [Waitlist Control] Group. While</w:t>
      </w:r>
      <w:r w:rsidRPr="004F476B">
        <w:rPr>
          <w:rFonts w:ascii="Times New Roman" w:hAnsi="Times New Roman" w:cs="Times New Roman"/>
          <w:sz w:val="24"/>
          <w:szCs w:val="24"/>
        </w:rPr>
        <w:t xml:space="preserve"> these reductions may not be clinically significant, it is a promising trend. This stage of life marks a critical period of growth and development, typically accompanied by a continuous increase in average percent body fat </w:t>
      </w:r>
      <w:r w:rsidRPr="004F476B">
        <w:rPr>
          <w:rFonts w:ascii="Times New Roman" w:hAnsi="Times New Roman" w:cs="Times New Roman"/>
          <w:sz w:val="24"/>
          <w:szCs w:val="24"/>
        </w:rPr>
        <w:fldChar w:fldCharType="begin"/>
      </w:r>
      <w:r w:rsidR="00C4064A">
        <w:rPr>
          <w:rFonts w:ascii="Times New Roman" w:hAnsi="Times New Roman" w:cs="Times New Roman"/>
          <w:sz w:val="24"/>
          <w:szCs w:val="24"/>
        </w:rPr>
        <w:instrText xml:space="preserve"> ADDIN EN.CITE &lt;EndNote&gt;&lt;Cite&gt;&lt;Author&gt;Guo&lt;/Author&gt;&lt;Year&gt;1997&lt;/Year&gt;&lt;RecNum&gt;1909&lt;/RecNum&gt;&lt;DisplayText&gt;(1)&lt;/DisplayText&gt;&lt;record&gt;&lt;rec-number&gt;1909&lt;/rec-number&gt;&lt;foreign-keys&gt;&lt;key app="EN" db-id="pszfs9zeqx0etjedpwx520euza5w502wsvee" timestamp="1715923120"&gt;1909&lt;/key&gt;&lt;/foreign-keys&gt;&lt;ref-type name="Journal Article"&gt;17&lt;/ref-type&gt;&lt;contributors&gt;&lt;authors&gt;&lt;author&gt;Guo, S. S.&lt;/author&gt;&lt;author&gt;Chumlea, W. C.&lt;/author&gt;&lt;author&gt;Roche, A. F.&lt;/author&gt;&lt;author&gt;Siervogel, R. M.&lt;/author&gt;&lt;/authors&gt;&lt;/contributors&gt;&lt;auth-address&gt;Department of Community Health, Wright State University School of Medicine, Yellow Springs, OH 45387-1695, USA. sguo@discover.wright.edu&lt;/auth-address&gt;&lt;titles&gt;&lt;title&gt;Age- and maturity-related changes in body composition during adolescence into adulthood: the Fels Longitudinal Study&lt;/title&gt;&lt;secondary-title&gt;Int J Obes Relat Metab Disord&lt;/secondary-title&gt;&lt;/titles&gt;&lt;periodical&gt;&lt;full-title&gt;Int J Obes Relat Metab Disord&lt;/full-title&gt;&lt;/periodical&gt;&lt;pages&gt;1167-75&lt;/pages&gt;&lt;volume&gt;21&lt;/volume&gt;&lt;number&gt;12&lt;/number&gt;&lt;edition&gt;1998/01/14&lt;/edition&gt;&lt;keywords&gt;&lt;keyword&gt;Adolescent&lt;/keyword&gt;&lt;keyword&gt;Adult&lt;/keyword&gt;&lt;keyword&gt;Aging/*physiology&lt;/keyword&gt;&lt;keyword&gt;Body Composition/*physiology&lt;/keyword&gt;&lt;keyword&gt;Child&lt;/keyword&gt;&lt;keyword&gt;Female&lt;/keyword&gt;&lt;keyword&gt;Humans&lt;/keyword&gt;&lt;keyword&gt;Longitudinal Studies&lt;/keyword&gt;&lt;keyword&gt;Male&lt;/keyword&gt;&lt;keyword&gt;Models, Biological&lt;/keyword&gt;&lt;keyword&gt;Regression Analysis&lt;/keyword&gt;&lt;keyword&gt;Sensitivity and Specificity&lt;/keyword&gt;&lt;keyword&gt;Sex Characteristics&lt;/keyword&gt;&lt;keyword&gt;Sexual Maturation/*physiology&lt;/keyword&gt;&lt;keyword&gt;Time Factors&lt;/keyword&gt;&lt;/keywords&gt;&lt;dates&gt;&lt;year&gt;1997&lt;/year&gt;&lt;pub-dates&gt;&lt;date&gt;Dec&lt;/date&gt;&lt;/pub-dates&gt;&lt;/dates&gt;&lt;accession-num&gt;9426385&lt;/accession-num&gt;&lt;urls&gt;&lt;/urls&gt;&lt;electronic-resource-num&gt;10.1038/sj.ijo.0800531&lt;/electronic-resource-num&gt;&lt;remote-database-provider&gt;NLM&lt;/remote-database-provider&gt;&lt;language&gt;eng&lt;/language&gt;&lt;/record&gt;&lt;/Cite&gt;&lt;/EndNote&gt;</w:instrText>
      </w:r>
      <w:r w:rsidRPr="004F476B">
        <w:rPr>
          <w:rFonts w:ascii="Times New Roman" w:hAnsi="Times New Roman" w:cs="Times New Roman"/>
          <w:sz w:val="24"/>
          <w:szCs w:val="24"/>
        </w:rPr>
        <w:fldChar w:fldCharType="separate"/>
      </w:r>
      <w:r w:rsidR="00C4064A">
        <w:rPr>
          <w:rFonts w:ascii="Times New Roman" w:hAnsi="Times New Roman" w:cs="Times New Roman"/>
          <w:noProof/>
          <w:sz w:val="24"/>
          <w:szCs w:val="24"/>
        </w:rPr>
        <w:t>(1)</w:t>
      </w:r>
      <w:r w:rsidRPr="004F476B">
        <w:rPr>
          <w:rFonts w:ascii="Times New Roman" w:hAnsi="Times New Roman" w:cs="Times New Roman"/>
          <w:sz w:val="24"/>
          <w:szCs w:val="24"/>
        </w:rPr>
        <w:fldChar w:fldCharType="end"/>
      </w:r>
      <w:r w:rsidRPr="004F476B">
        <w:rPr>
          <w:rFonts w:ascii="Times New Roman" w:hAnsi="Times New Roman" w:cs="Times New Roman"/>
          <w:sz w:val="24"/>
          <w:szCs w:val="24"/>
        </w:rPr>
        <w:t xml:space="preserve"> and a sharp decline in PA </w:t>
      </w:r>
      <w:r w:rsidRPr="004F476B">
        <w:rPr>
          <w:rFonts w:ascii="Times New Roman" w:hAnsi="Times New Roman" w:cs="Times New Roman"/>
          <w:sz w:val="24"/>
          <w:szCs w:val="24"/>
        </w:rPr>
        <w:fldChar w:fldCharType="begin"/>
      </w:r>
      <w:r w:rsidR="00C4064A">
        <w:rPr>
          <w:rFonts w:ascii="Times New Roman" w:hAnsi="Times New Roman" w:cs="Times New Roman"/>
          <w:sz w:val="24"/>
          <w:szCs w:val="24"/>
        </w:rPr>
        <w:instrText xml:space="preserve"> ADDIN EN.CITE &lt;EndNote&gt;&lt;Cite&gt;&lt;Author&gt;Troiano&lt;/Author&gt;&lt;Year&gt;2008&lt;/Year&gt;&lt;RecNum&gt;658&lt;/RecNum&gt;&lt;DisplayText&gt;(2)&lt;/DisplayText&gt;&lt;record&gt;&lt;rec-number&gt;658&lt;/rec-number&gt;&lt;foreign-keys&gt;&lt;key app="EN" db-id="pszfs9zeqx0etjedpwx520euza5w502wsvee" timestamp="1553729694"&gt;658&lt;/key&gt;&lt;/foreign-keys&gt;&lt;ref-type name="Journal Article"&gt;17&lt;/ref-type&gt;&lt;contributors&gt;&lt;authors&gt;&lt;author&gt;Troiano, Richard P&lt;/author&gt;&lt;author&gt;Berrigan, David&lt;/author&gt;&lt;author&gt;Dodd, Kevin W&lt;/author&gt;&lt;author&gt;Masse, Louise C&lt;/author&gt;&lt;author&gt;Tilert, Timothy&lt;/author&gt;&lt;author&gt;McDowell, Margaret&lt;/author&gt;&lt;/authors&gt;&lt;/contributors&gt;&lt;auth-address&gt;National Cancer Institute, National Institutes of Health, Bethesda, MD 20892, USA. troianor@mail.nih.gov&lt;/auth-address&gt;&lt;titles&gt;&lt;title&gt;Physical activity in the United States measured by accelerometer&lt;/title&gt;&lt;secondary-title&gt;Medicine &amp;amp; Science in Sports &amp;amp; Exercise&lt;/secondary-title&gt;&lt;/titles&gt;&lt;periodical&gt;&lt;full-title&gt;Medicine &amp;amp; Science in Sports &amp;amp; Exercise&lt;/full-title&gt;&lt;/periodical&gt;&lt;pages&gt;181-188&lt;/pages&gt;&lt;volume&gt;40&lt;/volume&gt;&lt;number&gt;1&lt;/number&gt;&lt;edition&gt;2007/12/20&lt;/edition&gt;&lt;keywords&gt;&lt;keyword&gt;Adolescent&lt;/keyword&gt;&lt;keyword&gt;Adult&lt;/keyword&gt;&lt;keyword&gt;Age Factors&lt;/keyword&gt;&lt;keyword&gt;Aged&lt;/keyword&gt;&lt;keyword&gt;Aged, 80 and over&lt;/keyword&gt;&lt;keyword&gt;*Attitude to Health&lt;/keyword&gt;&lt;keyword&gt;Child&lt;/keyword&gt;&lt;keyword&gt;Cross-Sectional Studies&lt;/keyword&gt;&lt;keyword&gt;Female&lt;/keyword&gt;&lt;keyword&gt;*Health Behavior&lt;/keyword&gt;&lt;keyword&gt;Humans&lt;/keyword&gt;&lt;keyword&gt;Male&lt;/keyword&gt;&lt;keyword&gt;Middle Aged&lt;/keyword&gt;&lt;keyword&gt;Motor Activity/*physiology&lt;/keyword&gt;&lt;keyword&gt;Nutrition Surveys&lt;/keyword&gt;&lt;keyword&gt;Prevalence&lt;/keyword&gt;&lt;keyword&gt;Qualitative Research&lt;/keyword&gt;&lt;keyword&gt;United States&lt;/keyword&gt;&lt;/keywords&gt;&lt;dates&gt;&lt;year&gt;2008&lt;/year&gt;&lt;pub-dates&gt;&lt;date&gt;Jan&lt;/date&gt;&lt;/pub-dates&gt;&lt;/dates&gt;&lt;isbn&gt;0195-9131&lt;/isbn&gt;&lt;accession-num&gt;18091006&lt;/accession-num&gt;&lt;urls&gt;&lt;related-urls&gt;&lt;url&gt;https://www.ncbi.nlm.nih.gov/pubmed/18091006&lt;/url&gt;&lt;/related-urls&gt;&lt;/urls&gt;&lt;electronic-resource-num&gt;10.1249/mss.0b013e31815a51b3&lt;/electronic-resource-num&gt;&lt;/record&gt;&lt;/Cite&gt;&lt;/EndNote&gt;</w:instrText>
      </w:r>
      <w:r w:rsidRPr="004F476B">
        <w:rPr>
          <w:rFonts w:ascii="Times New Roman" w:hAnsi="Times New Roman" w:cs="Times New Roman"/>
          <w:sz w:val="24"/>
          <w:szCs w:val="24"/>
        </w:rPr>
        <w:fldChar w:fldCharType="separate"/>
      </w:r>
      <w:r w:rsidR="00C4064A">
        <w:rPr>
          <w:rFonts w:ascii="Times New Roman" w:hAnsi="Times New Roman" w:cs="Times New Roman"/>
          <w:noProof/>
          <w:sz w:val="24"/>
          <w:szCs w:val="24"/>
        </w:rPr>
        <w:t>(2)</w:t>
      </w:r>
      <w:r w:rsidRPr="004F476B">
        <w:rPr>
          <w:rFonts w:ascii="Times New Roman" w:hAnsi="Times New Roman" w:cs="Times New Roman"/>
          <w:sz w:val="24"/>
          <w:szCs w:val="24"/>
        </w:rPr>
        <w:fldChar w:fldCharType="end"/>
      </w:r>
      <w:r w:rsidRPr="004F476B">
        <w:rPr>
          <w:rFonts w:ascii="Times New Roman" w:hAnsi="Times New Roman" w:cs="Times New Roman"/>
          <w:sz w:val="24"/>
          <w:szCs w:val="24"/>
        </w:rPr>
        <w:t xml:space="preserve">. Effectively managing fat mass gain during this phase is vital for preventing long-term chronic conditions, enhancing psychological well-being, reducing insulin resistance risk, and improving fitness, endurance, and immune function </w:t>
      </w:r>
      <w:r w:rsidRPr="004F476B">
        <w:rPr>
          <w:rFonts w:ascii="Times New Roman" w:hAnsi="Times New Roman" w:cs="Times New Roman"/>
          <w:sz w:val="24"/>
          <w:szCs w:val="24"/>
        </w:rPr>
        <w:fldChar w:fldCharType="begin"/>
      </w:r>
      <w:r w:rsidR="00C4064A">
        <w:rPr>
          <w:rFonts w:ascii="Times New Roman" w:hAnsi="Times New Roman" w:cs="Times New Roman"/>
          <w:sz w:val="24"/>
          <w:szCs w:val="24"/>
        </w:rPr>
        <w:instrText xml:space="preserve"> ADDIN EN.CITE &lt;EndNote&gt;&lt;Cite&gt;&lt;Author&gt;Whitlock&lt;/Author&gt;&lt;Year&gt;2010&lt;/Year&gt;&lt;RecNum&gt;1699&lt;/RecNum&gt;&lt;DisplayText&gt;(3)&lt;/DisplayText&gt;&lt;record&gt;&lt;rec-number&gt;1699&lt;/rec-number&gt;&lt;foreign-keys&gt;&lt;key app="EN" db-id="pszfs9zeqx0etjedpwx520euza5w502wsvee" timestamp="1701498243"&gt;1699&lt;/key&gt;&lt;/foreign-keys&gt;&lt;ref-type name="Journal Article"&gt;17&lt;/ref-type&gt;&lt;contributors&gt;&lt;authors&gt;&lt;author&gt;Whitlock, E. P.&lt;/author&gt;&lt;author&gt;O&amp;apos;Connor, E. A.&lt;/author&gt;&lt;author&gt;Williams, S. B.&lt;/author&gt;&lt;author&gt;Beil, T. L.&lt;/author&gt;&lt;author&gt;Lutz, K. W.&lt;/author&gt;&lt;/authors&gt;&lt;/contributors&gt;&lt;auth-address&gt;Center for Health Research, Kaiser Permanente, 3800 N Interstate Ave, Portland, OR 97227, USA. evelyn.whitlock@kpchr.org&lt;/auth-address&gt;&lt;titles&gt;&lt;title&gt;Effectiveness of weight management interventions in children: a targeted systematic review for the USPSTF&lt;/title&gt;&lt;secondary-title&gt;Pediatrics&lt;/secondary-title&gt;&lt;/titles&gt;&lt;periodical&gt;&lt;full-title&gt;Pediatrics&lt;/full-title&gt;&lt;/periodical&gt;&lt;pages&gt;e396-418&lt;/pages&gt;&lt;volume&gt;125&lt;/volume&gt;&lt;number&gt;2&lt;/number&gt;&lt;edition&gt;2010/01/20&lt;/edition&gt;&lt;keywords&gt;&lt;keyword&gt;Adolescent&lt;/keyword&gt;&lt;keyword&gt;Appetite Depressants/administration &amp;amp; dosage&lt;/keyword&gt;&lt;keyword&gt;*Behavior Therapy&lt;/keyword&gt;&lt;keyword&gt;Child&lt;/keyword&gt;&lt;keyword&gt;Child, Preschool&lt;/keyword&gt;&lt;keyword&gt;Counseling&lt;/keyword&gt;&lt;keyword&gt;Cyclobutanes/administration &amp;amp; dosage&lt;/keyword&gt;&lt;keyword&gt;Female&lt;/keyword&gt;&lt;keyword&gt;Humans&lt;/keyword&gt;&lt;keyword&gt;Lactones/administration &amp;amp; dosage&lt;/keyword&gt;&lt;keyword&gt;Obesity/drug therapy/prevention &amp;amp; control&lt;/keyword&gt;&lt;keyword&gt;Orlistat&lt;/keyword&gt;&lt;keyword&gt;Overweight/drug therapy/*prevention &amp;amp; control&lt;/keyword&gt;&lt;keyword&gt;Primary Health Care&lt;/keyword&gt;&lt;keyword&gt;Treatment Outcome&lt;/keyword&gt;&lt;/keywords&gt;&lt;dates&gt;&lt;year&gt;2010&lt;/year&gt;&lt;pub-dates&gt;&lt;date&gt;Feb&lt;/date&gt;&lt;/pub-dates&gt;&lt;/dates&gt;&lt;isbn&gt;0031-4005&lt;/isbn&gt;&lt;accession-num&gt;20083531&lt;/accession-num&gt;&lt;urls&gt;&lt;/urls&gt;&lt;electronic-resource-num&gt;10.1542/peds.2009-1955&lt;/electronic-resource-num&gt;&lt;remote-database-provider&gt;NLM&lt;/remote-database-provider&gt;&lt;language&gt;eng&lt;/language&gt;&lt;/record&gt;&lt;/Cite&gt;&lt;/EndNote&gt;</w:instrText>
      </w:r>
      <w:r w:rsidRPr="004F476B">
        <w:rPr>
          <w:rFonts w:ascii="Times New Roman" w:hAnsi="Times New Roman" w:cs="Times New Roman"/>
          <w:sz w:val="24"/>
          <w:szCs w:val="24"/>
        </w:rPr>
        <w:fldChar w:fldCharType="separate"/>
      </w:r>
      <w:r w:rsidR="00C4064A">
        <w:rPr>
          <w:rFonts w:ascii="Times New Roman" w:hAnsi="Times New Roman" w:cs="Times New Roman"/>
          <w:noProof/>
          <w:sz w:val="24"/>
          <w:szCs w:val="24"/>
        </w:rPr>
        <w:t>(3)</w:t>
      </w:r>
      <w:r w:rsidRPr="004F476B">
        <w:rPr>
          <w:rFonts w:ascii="Times New Roman" w:hAnsi="Times New Roman" w:cs="Times New Roman"/>
          <w:sz w:val="24"/>
          <w:szCs w:val="24"/>
        </w:rPr>
        <w:fldChar w:fldCharType="end"/>
      </w:r>
      <w:r w:rsidRPr="004F476B">
        <w:rPr>
          <w:rFonts w:ascii="Times New Roman" w:hAnsi="Times New Roman" w:cs="Times New Roman"/>
          <w:sz w:val="24"/>
          <w:szCs w:val="24"/>
        </w:rPr>
        <w:t xml:space="preserve">. Additionally, this result is particularly significant in the context of the </w:t>
      </w:r>
      <w:r w:rsidRPr="00C4064A">
        <w:rPr>
          <w:rFonts w:ascii="Times New Roman" w:hAnsi="Times New Roman" w:cs="Times New Roman"/>
          <w:sz w:val="24"/>
          <w:szCs w:val="24"/>
        </w:rPr>
        <w:t xml:space="preserve">pandemic-related weight gain among children globally </w:t>
      </w:r>
      <w:r w:rsidRPr="00C4064A">
        <w:rPr>
          <w:rFonts w:ascii="Times New Roman" w:hAnsi="Times New Roman" w:cs="Times New Roman"/>
          <w:sz w:val="24"/>
          <w:szCs w:val="24"/>
        </w:rPr>
        <w:fldChar w:fldCharType="begin"/>
      </w:r>
      <w:r w:rsidR="00C4064A" w:rsidRPr="00C4064A">
        <w:rPr>
          <w:rFonts w:ascii="Times New Roman" w:hAnsi="Times New Roman" w:cs="Times New Roman"/>
          <w:sz w:val="24"/>
          <w:szCs w:val="24"/>
        </w:rPr>
        <w:instrText xml:space="preserve"> ADDIN EN.CITE &lt;EndNote&gt;&lt;Cite&gt;&lt;Author&gt;Chang&lt;/Author&gt;&lt;Year&gt;2021&lt;/Year&gt;&lt;RecNum&gt;1698&lt;/RecNum&gt;&lt;DisplayText&gt;(4)&lt;/DisplayText&gt;&lt;record&gt;&lt;rec-number&gt;1698&lt;/rec-number&gt;&lt;foreign-keys&gt;&lt;key app="EN" db-id="pszfs9zeqx0etjedpwx520euza5w502wsvee" timestamp="1701497187"&gt;1698&lt;/key&gt;&lt;/foreign-keys&gt;&lt;ref-type name="Journal Article"&gt;17&lt;/ref-type&gt;&lt;contributors&gt;&lt;authors&gt;&lt;author&gt;Chang, T. H.&lt;/author&gt;&lt;author&gt;Chen, Y. C.&lt;/author&gt;&lt;author&gt;Chen, W. Y.&lt;/author&gt;&lt;author&gt;Chen, C. Y.&lt;/author&gt;&lt;author&gt;Hsu, W. Y.&lt;/author&gt;&lt;author&gt;Chou, Y.&lt;/author&gt;&lt;author&gt;Chang, Y. H.&lt;/author&gt;&lt;/authors&gt;&lt;/contributors&gt;&lt;auth-address&gt;Department of Pediatrics, Chi Mei Medical Center, Tainan 71004, Taiwan.&amp;#xD;Department of Pediatrics, Chi Mei Medical Center, Chiali, Tainan 72263, Taiwan.&lt;/auth-address&gt;&lt;titles&gt;&lt;title&gt;Weight Gain Associated with COVID-19 Lockdown in Children and Adolescents: A Systematic Review and Meta-Analysis&lt;/title&gt;&lt;secondary-title&gt;Nutrients&lt;/secondary-title&gt;&lt;/titles&gt;&lt;periodical&gt;&lt;full-title&gt;Nutrients&lt;/full-title&gt;&lt;/periodical&gt;&lt;volume&gt;13&lt;/volume&gt;&lt;number&gt;10&lt;/number&gt;&lt;edition&gt;2021/10/24&lt;/edition&gt;&lt;keywords&gt;&lt;keyword&gt;Adolescent&lt;/keyword&gt;&lt;keyword&gt;*Body Mass Index&lt;/keyword&gt;&lt;keyword&gt;COVID-19/*prevention &amp;amp; control&lt;/keyword&gt;&lt;keyword&gt;Child&lt;/keyword&gt;&lt;keyword&gt;Humans&lt;/keyword&gt;&lt;keyword&gt;Pandemics&lt;/keyword&gt;&lt;keyword&gt;Pediatric Obesity/*epidemiology&lt;/keyword&gt;&lt;keyword&gt;Quarantine/*methods&lt;/keyword&gt;&lt;keyword&gt;SARS-CoV-2&lt;/keyword&gt;&lt;keyword&gt;*Social Isolation&lt;/keyword&gt;&lt;keyword&gt;*Weight Gain&lt;/keyword&gt;&lt;keyword&gt;Bmi&lt;/keyword&gt;&lt;keyword&gt;Covid-19&lt;/keyword&gt;&lt;keyword&gt;adolescents&lt;/keyword&gt;&lt;keyword&gt;body weight&lt;/keyword&gt;&lt;keyword&gt;children&lt;/keyword&gt;&lt;keyword&gt;lockdown&lt;/keyword&gt;&lt;/keywords&gt;&lt;dates&gt;&lt;year&gt;2021&lt;/year&gt;&lt;pub-dates&gt;&lt;date&gt;Oct 19&lt;/date&gt;&lt;/pub-dates&gt;&lt;/dates&gt;&lt;isbn&gt;2072-6643&lt;/isbn&gt;&lt;accession-num&gt;34684669&lt;/accession-num&gt;&lt;urls&gt;&lt;/urls&gt;&lt;custom2&gt;PMC8540321&lt;/custom2&gt;&lt;electronic-resource-num&gt;10.3390/nu13103668&lt;/electronic-resource-num&gt;&lt;remote-database-provider&gt;NLM&lt;/remote-database-provider&gt;&lt;language&gt;eng&lt;/language&gt;&lt;/record&gt;&lt;/Cite&gt;&lt;/EndNote&gt;</w:instrText>
      </w:r>
      <w:r w:rsidRPr="00C4064A">
        <w:rPr>
          <w:rFonts w:ascii="Times New Roman" w:hAnsi="Times New Roman" w:cs="Times New Roman"/>
          <w:sz w:val="24"/>
          <w:szCs w:val="24"/>
        </w:rPr>
        <w:fldChar w:fldCharType="separate"/>
      </w:r>
      <w:r w:rsidR="00C4064A" w:rsidRPr="00C4064A">
        <w:rPr>
          <w:rFonts w:ascii="Times New Roman" w:hAnsi="Times New Roman" w:cs="Times New Roman"/>
          <w:noProof/>
          <w:sz w:val="24"/>
          <w:szCs w:val="24"/>
        </w:rPr>
        <w:t>(4)</w:t>
      </w:r>
      <w:r w:rsidRPr="00C4064A">
        <w:rPr>
          <w:rFonts w:ascii="Times New Roman" w:hAnsi="Times New Roman" w:cs="Times New Roman"/>
          <w:sz w:val="24"/>
          <w:szCs w:val="24"/>
        </w:rPr>
        <w:fldChar w:fldCharType="end"/>
      </w:r>
      <w:r w:rsidRPr="00C4064A">
        <w:rPr>
          <w:rFonts w:ascii="Times New Roman" w:hAnsi="Times New Roman" w:cs="Times New Roman"/>
          <w:sz w:val="24"/>
          <w:szCs w:val="24"/>
        </w:rPr>
        <w:t>.</w:t>
      </w:r>
      <w:r w:rsidRPr="00C4064A">
        <w:rPr>
          <w:rFonts w:ascii="Times New Roman" w:eastAsia="Times New Roman" w:hAnsi="Times New Roman" w:cs="Times New Roman"/>
          <w:sz w:val="24"/>
          <w:szCs w:val="24"/>
          <w:vertAlign w:val="superscript"/>
        </w:rPr>
        <w:t xml:space="preserve">  </w:t>
      </w:r>
    </w:p>
    <w:p w14:paraId="745A15C2" w14:textId="7B826A22" w:rsidR="004E3CEC" w:rsidRDefault="00080F8F" w:rsidP="004E3CEC">
      <w:pPr>
        <w:pStyle w:val="NoSpacing"/>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4064A" w:rsidRPr="00C4064A">
        <w:rPr>
          <w:rFonts w:ascii="Times New Roman" w:hAnsi="Times New Roman" w:cs="Times New Roman"/>
          <w:sz w:val="24"/>
          <w:szCs w:val="24"/>
        </w:rPr>
        <w:t>he [</w:t>
      </w:r>
      <w:proofErr w:type="spellStart"/>
      <w:r w:rsidR="00C4064A" w:rsidRPr="00C4064A">
        <w:rPr>
          <w:rFonts w:ascii="Times New Roman" w:hAnsi="Times New Roman" w:cs="Times New Roman"/>
          <w:sz w:val="24"/>
          <w:szCs w:val="24"/>
        </w:rPr>
        <w:t>Narrative+AVG</w:t>
      </w:r>
      <w:proofErr w:type="spellEnd"/>
      <w:r w:rsidR="00C4064A" w:rsidRPr="00C4064A">
        <w:rPr>
          <w:rFonts w:ascii="Times New Roman" w:hAnsi="Times New Roman" w:cs="Times New Roman"/>
          <w:sz w:val="24"/>
          <w:szCs w:val="24"/>
        </w:rPr>
        <w:t xml:space="preserve">] condition significantly reduced triglyceride levels compared to the [AVG Only] group in the second half of the RCT. This reduction </w:t>
      </w:r>
      <w:r w:rsidR="004E3CEC">
        <w:rPr>
          <w:rFonts w:ascii="Times New Roman" w:hAnsi="Times New Roman" w:cs="Times New Roman"/>
          <w:sz w:val="24"/>
          <w:szCs w:val="24"/>
        </w:rPr>
        <w:t>suggests</w:t>
      </w:r>
      <w:r w:rsidR="00C4064A" w:rsidRPr="00C4064A">
        <w:rPr>
          <w:rFonts w:ascii="Times New Roman" w:hAnsi="Times New Roman" w:cs="Times New Roman"/>
          <w:sz w:val="24"/>
          <w:szCs w:val="24"/>
        </w:rPr>
        <w:t xml:space="preserve"> that the narrative</w:t>
      </w:r>
      <w:r w:rsidR="004E3CEC">
        <w:rPr>
          <w:rFonts w:ascii="Times New Roman" w:hAnsi="Times New Roman" w:cs="Times New Roman"/>
          <w:sz w:val="24"/>
          <w:szCs w:val="24"/>
        </w:rPr>
        <w:t xml:space="preserve"> may have </w:t>
      </w:r>
      <w:r w:rsidR="00C4064A" w:rsidRPr="004F476B">
        <w:rPr>
          <w:rFonts w:ascii="Times New Roman" w:hAnsi="Times New Roman" w:cs="Times New Roman"/>
          <w:sz w:val="24"/>
          <w:szCs w:val="24"/>
        </w:rPr>
        <w:t>encouraged certain types of exercise</w:t>
      </w:r>
      <w:r w:rsidR="00E42BB5">
        <w:rPr>
          <w:rFonts w:ascii="Times New Roman" w:hAnsi="Times New Roman" w:cs="Times New Roman"/>
          <w:sz w:val="24"/>
          <w:szCs w:val="24"/>
        </w:rPr>
        <w:t xml:space="preserve"> that</w:t>
      </w:r>
      <w:r w:rsidR="00C4064A" w:rsidRPr="004F476B">
        <w:rPr>
          <w:rFonts w:ascii="Times New Roman" w:hAnsi="Times New Roman" w:cs="Times New Roman"/>
          <w:sz w:val="24"/>
          <w:szCs w:val="24"/>
        </w:rPr>
        <w:t xml:space="preserve"> might have led to improved lipid metabolism and the observed triglyceride reduction.</w:t>
      </w:r>
      <w:r w:rsidR="00F215CF">
        <w:rPr>
          <w:rFonts w:ascii="Times New Roman" w:hAnsi="Times New Roman" w:cs="Times New Roman"/>
          <w:sz w:val="24"/>
          <w:szCs w:val="24"/>
        </w:rPr>
        <w:t xml:space="preserve"> </w:t>
      </w:r>
      <w:r w:rsidR="004E3CEC" w:rsidRPr="004E3CEC">
        <w:rPr>
          <w:rFonts w:ascii="Times New Roman" w:hAnsi="Times New Roman" w:cs="Times New Roman"/>
          <w:sz w:val="24"/>
          <w:szCs w:val="24"/>
        </w:rPr>
        <w:t>However, as noted in the main text, we encountered multiple challenges during the execution of the RCT. Although we believe that the narrative could have contributed to some of the observed effects, further testing is required</w:t>
      </w:r>
      <w:r w:rsidR="004E3CEC">
        <w:rPr>
          <w:rFonts w:ascii="Times New Roman" w:hAnsi="Times New Roman" w:cs="Times New Roman"/>
          <w:sz w:val="24"/>
          <w:szCs w:val="24"/>
        </w:rPr>
        <w:t>.</w:t>
      </w:r>
    </w:p>
    <w:p w14:paraId="6F849CEB" w14:textId="53C75075" w:rsidR="00C4064A" w:rsidRPr="004F476B" w:rsidRDefault="00231AFA" w:rsidP="00C4064A">
      <w:pPr>
        <w:pStyle w:val="NoSpacing"/>
        <w:widowControl w:val="0"/>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
    <w:p w14:paraId="0CBA96FE" w14:textId="77777777" w:rsidR="00C4064A" w:rsidRDefault="00C4064A" w:rsidP="007C6A0D">
      <w:pPr>
        <w:spacing w:after="0" w:line="480" w:lineRule="auto"/>
        <w:ind w:firstLine="720"/>
        <w:rPr>
          <w:rFonts w:ascii="Times New Roman" w:hAnsi="Times New Roman" w:cs="Times New Roman"/>
        </w:rPr>
      </w:pPr>
    </w:p>
    <w:p w14:paraId="118BCFE1" w14:textId="77777777" w:rsidR="000861BC" w:rsidRDefault="000861BC" w:rsidP="007C6A0D">
      <w:pPr>
        <w:spacing w:after="0" w:line="480" w:lineRule="auto"/>
        <w:ind w:firstLine="720"/>
        <w:rPr>
          <w:rFonts w:ascii="Times New Roman" w:hAnsi="Times New Roman" w:cs="Times New Roman"/>
        </w:rPr>
      </w:pPr>
    </w:p>
    <w:p w14:paraId="494ADAD5" w14:textId="77777777" w:rsidR="00C4064A" w:rsidRDefault="00C4064A" w:rsidP="007C6A0D">
      <w:pPr>
        <w:spacing w:after="0" w:line="480" w:lineRule="auto"/>
        <w:ind w:firstLine="720"/>
        <w:rPr>
          <w:rFonts w:ascii="Times New Roman" w:hAnsi="Times New Roman" w:cs="Times New Roman"/>
        </w:rPr>
      </w:pPr>
    </w:p>
    <w:p w14:paraId="14CF4B33" w14:textId="77777777" w:rsidR="00C4064A" w:rsidRDefault="00C4064A" w:rsidP="007C6A0D">
      <w:pPr>
        <w:spacing w:after="0" w:line="480" w:lineRule="auto"/>
        <w:ind w:firstLine="720"/>
        <w:rPr>
          <w:rFonts w:ascii="Times New Roman" w:hAnsi="Times New Roman" w:cs="Times New Roman"/>
        </w:rPr>
      </w:pPr>
    </w:p>
    <w:p w14:paraId="02AF1ED5" w14:textId="77777777" w:rsidR="00B761BB" w:rsidRDefault="00B761BB">
      <w:pPr>
        <w:rPr>
          <w:rFonts w:ascii="Times New Roman" w:hAnsi="Times New Roman" w:cs="Times New Roman"/>
        </w:rPr>
      </w:pPr>
      <w:r>
        <w:rPr>
          <w:rFonts w:ascii="Times New Roman" w:hAnsi="Times New Roman" w:cs="Times New Roman"/>
        </w:rPr>
        <w:br w:type="page"/>
      </w:r>
    </w:p>
    <w:p w14:paraId="320EAECA" w14:textId="1BC57F3E" w:rsidR="00C4064A" w:rsidRDefault="00C4064A" w:rsidP="00C4064A">
      <w:pPr>
        <w:spacing w:after="0" w:line="480" w:lineRule="auto"/>
        <w:rPr>
          <w:rFonts w:ascii="Times New Roman" w:hAnsi="Times New Roman" w:cs="Times New Roman"/>
        </w:rPr>
      </w:pPr>
      <w:r>
        <w:rPr>
          <w:rFonts w:ascii="Times New Roman" w:hAnsi="Times New Roman" w:cs="Times New Roman"/>
        </w:rPr>
        <w:lastRenderedPageBreak/>
        <w:t>References</w:t>
      </w:r>
    </w:p>
    <w:p w14:paraId="17CFCD4B" w14:textId="77777777" w:rsidR="00C4064A" w:rsidRPr="00C4064A" w:rsidRDefault="00C4064A" w:rsidP="00C4064A">
      <w:pPr>
        <w:pStyle w:val="EndNoteBibliography"/>
        <w:spacing w:after="0"/>
      </w:pPr>
      <w:r>
        <w:fldChar w:fldCharType="begin"/>
      </w:r>
      <w:r>
        <w:instrText xml:space="preserve"> ADDIN EN.REFLIST </w:instrText>
      </w:r>
      <w:r>
        <w:fldChar w:fldCharType="separate"/>
      </w:r>
      <w:r w:rsidRPr="00C4064A">
        <w:t>1.</w:t>
      </w:r>
      <w:r w:rsidRPr="00C4064A">
        <w:tab/>
        <w:t>Guo SS, Chumlea WC, Roche AF, Siervogel RM. Age- and maturity-related changes in body composition during adolescence into adulthood: the Fels Longitudinal Study. Int J Obes Relat Metab Disord. 1997;21(12):1167-75.</w:t>
      </w:r>
    </w:p>
    <w:p w14:paraId="1E562FC9" w14:textId="77777777" w:rsidR="00C4064A" w:rsidRPr="00C4064A" w:rsidRDefault="00C4064A" w:rsidP="00C4064A">
      <w:pPr>
        <w:pStyle w:val="EndNoteBibliography"/>
        <w:spacing w:after="0"/>
      </w:pPr>
      <w:r w:rsidRPr="00C4064A">
        <w:t>2.</w:t>
      </w:r>
      <w:r w:rsidRPr="00C4064A">
        <w:tab/>
        <w:t>Troiano RP, Berrigan D, Dodd KW, Masse LC, Tilert T, McDowell M. Physical activity in the United States measured by accelerometer. Medicine &amp; Science in Sports &amp; Exercise. 2008;40(1):181-8.</w:t>
      </w:r>
    </w:p>
    <w:p w14:paraId="7CF065E5" w14:textId="77777777" w:rsidR="00C4064A" w:rsidRPr="00C4064A" w:rsidRDefault="00C4064A" w:rsidP="00C4064A">
      <w:pPr>
        <w:pStyle w:val="EndNoteBibliography"/>
        <w:spacing w:after="0"/>
      </w:pPr>
      <w:r w:rsidRPr="00C4064A">
        <w:t>3.</w:t>
      </w:r>
      <w:r w:rsidRPr="00C4064A">
        <w:tab/>
        <w:t>Whitlock EP, O'Connor EA, Williams SB, Beil TL, Lutz KW. Effectiveness of weight management interventions in children: a targeted systematic review for the USPSTF. Pediatrics. 2010;125(2):e396-418.</w:t>
      </w:r>
    </w:p>
    <w:p w14:paraId="2D9AD421" w14:textId="77777777" w:rsidR="00C4064A" w:rsidRPr="00C4064A" w:rsidRDefault="00C4064A" w:rsidP="00C4064A">
      <w:pPr>
        <w:pStyle w:val="EndNoteBibliography"/>
      </w:pPr>
      <w:r w:rsidRPr="00C4064A">
        <w:t>4.</w:t>
      </w:r>
      <w:r w:rsidRPr="00C4064A">
        <w:tab/>
        <w:t>Chang TH, Chen YC, Chen WY, Chen CY, Hsu WY, Chou Y, et al. Weight Gain Associated with COVID-19 Lockdown in Children and Adolescents: A Systematic Review and Meta-Analysis. Nutrients. 2021;13(10).</w:t>
      </w:r>
    </w:p>
    <w:p w14:paraId="11A0B94D" w14:textId="127BFE27" w:rsidR="008218E8" w:rsidRPr="00C1781B" w:rsidRDefault="00C4064A" w:rsidP="007C6A0D">
      <w:pPr>
        <w:spacing w:after="0" w:line="480" w:lineRule="auto"/>
        <w:ind w:firstLine="720"/>
        <w:rPr>
          <w:rFonts w:ascii="Times New Roman" w:hAnsi="Times New Roman" w:cs="Times New Roman"/>
        </w:rPr>
      </w:pPr>
      <w:r>
        <w:rPr>
          <w:rFonts w:ascii="Times New Roman" w:hAnsi="Times New Roman" w:cs="Times New Roman"/>
        </w:rPr>
        <w:fldChar w:fldCharType="end"/>
      </w:r>
    </w:p>
    <w:sectPr w:rsidR="008218E8" w:rsidRPr="00C178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cxMbA0sjA3tDQwsDBR0lEKTi0uzszPAykwrQUASO7ugi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pszfs9zeqx0etjedpwx520euza5w502wsvee&quot;&gt;Health Communication Video Game 2020-Converted&lt;record-ids&gt;&lt;item&gt;658&lt;/item&gt;&lt;item&gt;1698&lt;/item&gt;&lt;item&gt;1699&lt;/item&gt;&lt;item&gt;1909&lt;/item&gt;&lt;/record-ids&gt;&lt;/item&gt;&lt;/Libraries&gt;"/>
  </w:docVars>
  <w:rsids>
    <w:rsidRoot w:val="00183C85"/>
    <w:rsid w:val="00055A9A"/>
    <w:rsid w:val="00056A5F"/>
    <w:rsid w:val="00080F8F"/>
    <w:rsid w:val="000861BC"/>
    <w:rsid w:val="000E4CF3"/>
    <w:rsid w:val="00183C85"/>
    <w:rsid w:val="00230BDD"/>
    <w:rsid w:val="00231158"/>
    <w:rsid w:val="00231AFA"/>
    <w:rsid w:val="002F27C1"/>
    <w:rsid w:val="00303226"/>
    <w:rsid w:val="0031212F"/>
    <w:rsid w:val="00334E03"/>
    <w:rsid w:val="00335534"/>
    <w:rsid w:val="00360C50"/>
    <w:rsid w:val="003F4EBB"/>
    <w:rsid w:val="0042655C"/>
    <w:rsid w:val="00432F8A"/>
    <w:rsid w:val="00484002"/>
    <w:rsid w:val="00494235"/>
    <w:rsid w:val="004A40F2"/>
    <w:rsid w:val="004B0F49"/>
    <w:rsid w:val="004E3CEC"/>
    <w:rsid w:val="00544AD4"/>
    <w:rsid w:val="00596824"/>
    <w:rsid w:val="00604966"/>
    <w:rsid w:val="0065124B"/>
    <w:rsid w:val="00651660"/>
    <w:rsid w:val="006654E0"/>
    <w:rsid w:val="006A08DB"/>
    <w:rsid w:val="006D0289"/>
    <w:rsid w:val="006F4ECC"/>
    <w:rsid w:val="00702B76"/>
    <w:rsid w:val="007C6A0D"/>
    <w:rsid w:val="008218E8"/>
    <w:rsid w:val="0083717D"/>
    <w:rsid w:val="0084348F"/>
    <w:rsid w:val="0086397B"/>
    <w:rsid w:val="00881AA8"/>
    <w:rsid w:val="009A68DB"/>
    <w:rsid w:val="009B758A"/>
    <w:rsid w:val="009F04E7"/>
    <w:rsid w:val="009F3093"/>
    <w:rsid w:val="00AB624F"/>
    <w:rsid w:val="00B1333E"/>
    <w:rsid w:val="00B761BB"/>
    <w:rsid w:val="00BD2ACB"/>
    <w:rsid w:val="00C1781B"/>
    <w:rsid w:val="00C347C0"/>
    <w:rsid w:val="00C4064A"/>
    <w:rsid w:val="00C75EC6"/>
    <w:rsid w:val="00CE6202"/>
    <w:rsid w:val="00CE6E94"/>
    <w:rsid w:val="00D7677D"/>
    <w:rsid w:val="00E42BB5"/>
    <w:rsid w:val="00F03DBA"/>
    <w:rsid w:val="00F215CF"/>
    <w:rsid w:val="00F43F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09C46"/>
  <w15:chartTrackingRefBased/>
  <w15:docId w15:val="{217EE0C0-D5F4-4471-B0B2-6892EF1F9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3C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C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C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C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C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C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C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C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C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C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C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C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C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C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C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C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C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C85"/>
    <w:rPr>
      <w:rFonts w:eastAsiaTheme="majorEastAsia" w:cstheme="majorBidi"/>
      <w:color w:val="272727" w:themeColor="text1" w:themeTint="D8"/>
    </w:rPr>
  </w:style>
  <w:style w:type="paragraph" w:styleId="Title">
    <w:name w:val="Title"/>
    <w:basedOn w:val="Normal"/>
    <w:next w:val="Normal"/>
    <w:link w:val="TitleChar"/>
    <w:uiPriority w:val="10"/>
    <w:qFormat/>
    <w:rsid w:val="00183C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C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C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C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C85"/>
    <w:pPr>
      <w:spacing w:before="160"/>
      <w:jc w:val="center"/>
    </w:pPr>
    <w:rPr>
      <w:i/>
      <w:iCs/>
      <w:color w:val="404040" w:themeColor="text1" w:themeTint="BF"/>
    </w:rPr>
  </w:style>
  <w:style w:type="character" w:customStyle="1" w:styleId="QuoteChar">
    <w:name w:val="Quote Char"/>
    <w:basedOn w:val="DefaultParagraphFont"/>
    <w:link w:val="Quote"/>
    <w:uiPriority w:val="29"/>
    <w:rsid w:val="00183C85"/>
    <w:rPr>
      <w:i/>
      <w:iCs/>
      <w:color w:val="404040" w:themeColor="text1" w:themeTint="BF"/>
    </w:rPr>
  </w:style>
  <w:style w:type="paragraph" w:styleId="ListParagraph">
    <w:name w:val="List Paragraph"/>
    <w:basedOn w:val="Normal"/>
    <w:uiPriority w:val="34"/>
    <w:qFormat/>
    <w:rsid w:val="00183C85"/>
    <w:pPr>
      <w:ind w:left="720"/>
      <w:contextualSpacing/>
    </w:pPr>
  </w:style>
  <w:style w:type="character" w:styleId="IntenseEmphasis">
    <w:name w:val="Intense Emphasis"/>
    <w:basedOn w:val="DefaultParagraphFont"/>
    <w:uiPriority w:val="21"/>
    <w:qFormat/>
    <w:rsid w:val="00183C85"/>
    <w:rPr>
      <w:i/>
      <w:iCs/>
      <w:color w:val="0F4761" w:themeColor="accent1" w:themeShade="BF"/>
    </w:rPr>
  </w:style>
  <w:style w:type="paragraph" w:styleId="IntenseQuote">
    <w:name w:val="Intense Quote"/>
    <w:basedOn w:val="Normal"/>
    <w:next w:val="Normal"/>
    <w:link w:val="IntenseQuoteChar"/>
    <w:uiPriority w:val="30"/>
    <w:qFormat/>
    <w:rsid w:val="00183C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C85"/>
    <w:rPr>
      <w:i/>
      <w:iCs/>
      <w:color w:val="0F4761" w:themeColor="accent1" w:themeShade="BF"/>
    </w:rPr>
  </w:style>
  <w:style w:type="character" w:styleId="IntenseReference">
    <w:name w:val="Intense Reference"/>
    <w:basedOn w:val="DefaultParagraphFont"/>
    <w:uiPriority w:val="32"/>
    <w:qFormat/>
    <w:rsid w:val="00183C85"/>
    <w:rPr>
      <w:b/>
      <w:bCs/>
      <w:smallCaps/>
      <w:color w:val="0F4761" w:themeColor="accent1" w:themeShade="BF"/>
      <w:spacing w:val="5"/>
    </w:rPr>
  </w:style>
  <w:style w:type="paragraph" w:styleId="NoSpacing">
    <w:name w:val="No Spacing"/>
    <w:link w:val="NoSpacingChar"/>
    <w:uiPriority w:val="1"/>
    <w:qFormat/>
    <w:rsid w:val="00432F8A"/>
    <w:pPr>
      <w:spacing w:after="0" w:line="240" w:lineRule="auto"/>
    </w:pPr>
    <w:rPr>
      <w:rFonts w:eastAsiaTheme="minorEastAsia"/>
      <w:sz w:val="22"/>
      <w:szCs w:val="22"/>
      <w:lang w:eastAsia="zh-CN"/>
    </w:rPr>
  </w:style>
  <w:style w:type="character" w:customStyle="1" w:styleId="NoSpacingChar">
    <w:name w:val="No Spacing Char"/>
    <w:basedOn w:val="DefaultParagraphFont"/>
    <w:link w:val="NoSpacing"/>
    <w:uiPriority w:val="1"/>
    <w:rsid w:val="008218E8"/>
    <w:rPr>
      <w:rFonts w:eastAsiaTheme="minorEastAsia"/>
      <w:sz w:val="22"/>
      <w:szCs w:val="22"/>
      <w:lang w:eastAsia="zh-CN"/>
    </w:rPr>
  </w:style>
  <w:style w:type="character" w:styleId="CommentReference">
    <w:name w:val="annotation reference"/>
    <w:basedOn w:val="DefaultParagraphFont"/>
    <w:uiPriority w:val="99"/>
    <w:semiHidden/>
    <w:unhideWhenUsed/>
    <w:rsid w:val="008218E8"/>
    <w:rPr>
      <w:sz w:val="16"/>
      <w:szCs w:val="16"/>
    </w:rPr>
  </w:style>
  <w:style w:type="paragraph" w:styleId="CommentText">
    <w:name w:val="annotation text"/>
    <w:basedOn w:val="Normal"/>
    <w:link w:val="CommentTextChar"/>
    <w:uiPriority w:val="99"/>
    <w:unhideWhenUsed/>
    <w:rsid w:val="008218E8"/>
    <w:pPr>
      <w:spacing w:line="240" w:lineRule="auto"/>
    </w:pPr>
    <w:rPr>
      <w:sz w:val="20"/>
      <w:szCs w:val="20"/>
    </w:rPr>
  </w:style>
  <w:style w:type="character" w:customStyle="1" w:styleId="CommentTextChar">
    <w:name w:val="Comment Text Char"/>
    <w:basedOn w:val="DefaultParagraphFont"/>
    <w:link w:val="CommentText"/>
    <w:uiPriority w:val="99"/>
    <w:rsid w:val="008218E8"/>
    <w:rPr>
      <w:sz w:val="20"/>
      <w:szCs w:val="20"/>
    </w:rPr>
  </w:style>
  <w:style w:type="paragraph" w:customStyle="1" w:styleId="EndNoteBibliographyTitle">
    <w:name w:val="EndNote Bibliography Title"/>
    <w:basedOn w:val="Normal"/>
    <w:link w:val="EndNoteBibliographyTitleChar"/>
    <w:rsid w:val="00C4064A"/>
    <w:pPr>
      <w:spacing w:after="0"/>
      <w:jc w:val="center"/>
    </w:pPr>
    <w:rPr>
      <w:rFonts w:ascii="Times New Roman" w:hAnsi="Times New Roman" w:cs="Times New Roman"/>
      <w:noProof/>
    </w:rPr>
  </w:style>
  <w:style w:type="character" w:customStyle="1" w:styleId="EndNoteBibliographyTitleChar">
    <w:name w:val="EndNote Bibliography Title Char"/>
    <w:basedOn w:val="NoSpacingChar"/>
    <w:link w:val="EndNoteBibliographyTitle"/>
    <w:rsid w:val="00C4064A"/>
    <w:rPr>
      <w:rFonts w:ascii="Times New Roman" w:eastAsiaTheme="minorEastAsia" w:hAnsi="Times New Roman" w:cs="Times New Roman"/>
      <w:noProof/>
      <w:sz w:val="22"/>
      <w:szCs w:val="22"/>
      <w:lang w:eastAsia="zh-CN"/>
    </w:rPr>
  </w:style>
  <w:style w:type="paragraph" w:customStyle="1" w:styleId="EndNoteBibliography">
    <w:name w:val="EndNote Bibliography"/>
    <w:basedOn w:val="Normal"/>
    <w:link w:val="EndNoteBibliographyChar"/>
    <w:rsid w:val="00C4064A"/>
    <w:pPr>
      <w:spacing w:line="480" w:lineRule="auto"/>
    </w:pPr>
    <w:rPr>
      <w:rFonts w:ascii="Times New Roman" w:hAnsi="Times New Roman" w:cs="Times New Roman"/>
      <w:noProof/>
    </w:rPr>
  </w:style>
  <w:style w:type="character" w:customStyle="1" w:styleId="EndNoteBibliographyChar">
    <w:name w:val="EndNote Bibliography Char"/>
    <w:basedOn w:val="NoSpacingChar"/>
    <w:link w:val="EndNoteBibliography"/>
    <w:rsid w:val="00C4064A"/>
    <w:rPr>
      <w:rFonts w:ascii="Times New Roman" w:eastAsiaTheme="minorEastAsia" w:hAnsi="Times New Roman" w:cs="Times New Roman"/>
      <w:noProof/>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1742</Words>
  <Characters>9932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 Amy</dc:creator>
  <cp:keywords/>
  <dc:description/>
  <cp:lastModifiedBy>Lu, Amy</cp:lastModifiedBy>
  <cp:revision>2</cp:revision>
  <dcterms:created xsi:type="dcterms:W3CDTF">2025-03-30T03:32:00Z</dcterms:created>
  <dcterms:modified xsi:type="dcterms:W3CDTF">2025-03-30T03:32:00Z</dcterms:modified>
</cp:coreProperties>
</file>