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2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CONSORT 2010 checklist of information to include when reporting a randomised trial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-76199</wp:posOffset>
            </wp:positionH>
            <wp:positionV relativeFrom="paragraph">
              <wp:posOffset>-38099</wp:posOffset>
            </wp:positionV>
            <wp:extent cx="390525" cy="45720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5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12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95.0" w:type="dxa"/>
        <w:jc w:val="left"/>
        <w:tblLayout w:type="fixed"/>
        <w:tblLook w:val="0000"/>
      </w:tblPr>
      <w:tblGrid>
        <w:gridCol w:w="2085"/>
        <w:gridCol w:w="900"/>
        <w:gridCol w:w="10890"/>
        <w:gridCol w:w="1620"/>
        <w:tblGridChange w:id="0">
          <w:tblGrid>
            <w:gridCol w:w="2085"/>
            <w:gridCol w:w="900"/>
            <w:gridCol w:w="10890"/>
            <w:gridCol w:w="1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shd w:fill="c6d9f1" w:val="clear"/>
            <w:vAlign w:val="bottom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Section/Topic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shd w:fill="c6d9f1" w:val="clear"/>
            <w:vAlign w:val="bottom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Item No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shd w:fill="c6d9f1" w:val="clear"/>
            <w:vAlign w:val="bottom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Checklist item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shd w:fill="c6d9f1" w:val="clear"/>
            <w:vAlign w:val="bottom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Reported on page No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Title and abstract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1a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Identification as a randomised trial in the title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1b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Structured summary of trial design, methods, results, and conclusions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(for specific guidance see CONSORT for abstracts)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Introduction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Background and objectives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2a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Scientific background and explanation of rationale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2b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Specific objectives or hypotheses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Methods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Trial design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3a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Description of trial design (such as parallel, factorial) including allocation ratio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3b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Important changes to methods after trial commencement (such as eligibility criteria), with reasons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Participants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4a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Eligibility criteria for participants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4b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Settings and locations where the data were collected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Interventions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The interventions for each group with sufficient details to allow replication, including how and when they were actually administered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Outcomes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6a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Completely defined pre-specified primary and secondary outcome measures, including how and when they were assessed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6b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Any changes to trial outcomes after the trial commenced, with reasons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Sample size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7a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How sample size was determined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7b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When applicable, explanation of any interim analyses and stopping guidelines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Randomisation: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B">
            <w:pPr>
              <w:ind w:left="540" w:hanging="54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 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Sequence generation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8a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Method used to generate the random allocation sequence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8b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Type of randomisation; details of any restriction (such as blocking and block size)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ind w:left="540" w:hanging="54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 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Allocation concealment mechanism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 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Implementation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Who generated the random allocation sequence, who enrolled participants, and who assigned participants to interventions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Blinding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11a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If done, who was blinded after assignment to interventions (for example, participants, care providers, those assessing outcomes) and how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11b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If relevant, description of the similarity of interventions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Statistical methods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12a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Statistical methods used to compare groups for primary and secondary outcomes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12b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Methods for additional analyses, such as subgroup analyses and adjusted analyses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Participant flow (a diagram is strongly recommended)</w:t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13a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For each group, the numbers of participants who were randomly assigned, received intended treatment, and were analysed for the primary outcome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13b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For each group, losses and exclusions after randomisation, together with reasons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Recruitment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14a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Dates defining the periods of recruitment and follow-up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14b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Why the trial ended or was stopped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Baseline data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 table showing baseline demographic and clinical characteristics for each group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Numbers analysed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For each group, number of participants (denominator) included in each analysis and whether the analysis was by original assigned groups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Outcomes and estimation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17a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For each primary and secondary outcome, results for each group, and the estimated effect size and its precision (such as 95% confidence interval)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17b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For binary outcomes, presentation of both absolute and relative effect sizes is recommended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Ancillary analyses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Results of any other analyses performed, including subgroup analyses and adjusted analyses, distinguishing pre-specified from exploratory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Harms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All important harms or unintended effects in each group 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(for specific guidance see CONSORT for harms)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17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Discussion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Limitations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Trial limitations, addressing sources of potential bias, imprecision, and, if relevant, multiplicity of analyses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Generalisability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Generalisability (external validity, applicability) of the trial findings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Interpretation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Interpretation consistent with results, balancing benefits and harms, and considering other relevant evidence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Other information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i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Registration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Registration number and name of trial registry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i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Protocol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Where the full trial protocol can be accessed, if available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  <w:i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Funding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Sources of funding and other support (such as supply of drugs), role of funders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23</w:t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30"/>
        </w:tabs>
        <w:spacing w:after="0" w:before="8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1909" w:w="16834" w:orient="landscape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right" w:leader="none" w:pos="1539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CONSORT 2010 checklist </w:t>
      <w:tab/>
      <w:tab/>
      <w:tab/>
      <w:t xml:space="preserve">Page </w:t>
    </w:r>
    <w:r w:rsidDel="00000000" w:rsidR="00000000" w:rsidRPr="00000000">
      <w:rPr>
        <w:rFonts w:ascii="Arial" w:cs="Arial" w:eastAsia="Arial" w:hAnsi="Arial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>
        <w:spacing w:line="3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  <w:ind w:left="720" w:firstLine="0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="240" w:lineRule="auto"/>
      <w:ind w:left="1440" w:firstLine="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  <w:ind w:left="2160" w:firstLine="0"/>
    </w:pPr>
    <w:rPr>
      <w:rFonts w:ascii="Arial" w:cs="Arial" w:eastAsia="Arial" w:hAnsi="Arial"/>
      <w:b w:val="1"/>
    </w:rPr>
  </w:style>
  <w:style w:type="paragraph" w:styleId="Heading5">
    <w:name w:val="heading 5"/>
    <w:basedOn w:val="Normal"/>
    <w:next w:val="Normal"/>
    <w:pPr>
      <w:spacing w:after="60" w:before="240" w:line="240" w:lineRule="auto"/>
      <w:ind w:left="2880" w:firstLine="0"/>
    </w:pPr>
    <w:rPr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3600" w:firstLine="0"/>
    </w:pPr>
    <w:rPr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60" w:lineRule="auto"/>
    </w:pPr>
    <w:rPr>
      <w:b w:val="1"/>
      <w:sz w:val="28"/>
      <w:szCs w:val="28"/>
    </w:rPr>
  </w:style>
  <w:style w:type="paragraph" w:styleId="Subtitle">
    <w:name w:val="Subtitle"/>
    <w:basedOn w:val="Normal"/>
    <w:next w:val="Normal"/>
    <w:pPr>
      <w:spacing w:after="60" w:lineRule="auto"/>
    </w:pPr>
    <w:rPr>
      <w:i w:val="1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