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8BFAC">
      <w:pPr>
        <w:keepNext w:val="0"/>
        <w:keepLines w:val="0"/>
        <w:widowControl/>
        <w:suppressLineNumbers w:val="0"/>
        <w:jc w:val="both"/>
        <w:rPr>
          <w:rFonts w:hint="default" w:ascii="Times New Roman Bold" w:hAnsi="Times New Roman Bold" w:cs="Times New Roman Bold"/>
          <w:b/>
          <w:bCs w:val="0"/>
          <w:sz w:val="24"/>
          <w:szCs w:val="24"/>
        </w:rPr>
      </w:pPr>
      <w:r>
        <w:rPr>
          <w:rStyle w:val="4"/>
          <w:rFonts w:hint="default" w:ascii="Times New Roman Bold" w:hAnsi="Times New Roman Bold" w:eastAsia="SimSun" w:cs="Times New Roman Bold"/>
          <w:b/>
          <w:bCs w:val="0"/>
          <w:kern w:val="0"/>
          <w:sz w:val="24"/>
          <w:szCs w:val="24"/>
          <w:lang w:val="en-US" w:eastAsia="zh-CN" w:bidi="ar"/>
        </w:rPr>
        <w:t>Appendix Table A1.</w:t>
      </w:r>
      <w:r>
        <w:rPr>
          <w:rFonts w:hint="default" w:ascii="Times New Roman Bold" w:hAnsi="Times New Roman Bold" w:eastAsia="SimSun" w:cs="Times New Roman Bold"/>
          <w:b/>
          <w:bCs w:val="0"/>
          <w:kern w:val="0"/>
          <w:sz w:val="24"/>
          <w:szCs w:val="24"/>
          <w:lang w:val="en-US" w:eastAsia="zh-CN" w:bidi="ar"/>
        </w:rPr>
        <w:t xml:space="preserve"> </w:t>
      </w:r>
      <w:bookmarkStart w:id="0" w:name="_GoBack"/>
      <w:bookmarkEnd w:id="0"/>
      <w:r>
        <w:rPr>
          <w:rFonts w:hint="default" w:ascii="Times New Roman Bold" w:hAnsi="Times New Roman Bold" w:eastAsia="SimSun" w:cs="Times New Roman Bold"/>
          <w:b/>
          <w:bCs w:val="0"/>
          <w:kern w:val="0"/>
          <w:sz w:val="24"/>
          <w:szCs w:val="24"/>
          <w:lang w:val="en-US" w:eastAsia="zh-CN" w:bidi="ar"/>
        </w:rPr>
        <w:t xml:space="preserve">Comparison of socio-demographic characteristics between pre- and post-intervention participants. </w:t>
      </w:r>
    </w:p>
    <w:p w14:paraId="2170A2F4">
      <w:pPr>
        <w:rPr>
          <w:rFonts w:hint="default"/>
          <w:lang w:val="en-US"/>
        </w:rPr>
      </w:pPr>
    </w:p>
    <w:tbl>
      <w:tblPr>
        <w:tblW w:w="0" w:type="auto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37"/>
        <w:gridCol w:w="2345"/>
        <w:gridCol w:w="2412"/>
        <w:gridCol w:w="822"/>
      </w:tblGrid>
      <w:tr w14:paraId="16CC5D35">
        <w:trPr>
          <w:tblHeader/>
          <w:tblCellSpacing w:w="15" w:type="dxa"/>
        </w:trPr>
        <w:tc>
          <w:tcPr>
            <w:tcW w:w="0" w:type="auto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vAlign w:val="center"/>
          </w:tcPr>
          <w:p w14:paraId="32D531E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Bold" w:hAnsi="Times New Roman Bold" w:cs="Times New Roman Bold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Style w:val="4"/>
                <w:rFonts w:hint="default" w:ascii="Times New Roman Bold" w:hAnsi="Times New Roman Bold" w:eastAsia="SimSun" w:cs="Times New Roman Bold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Variable</w:t>
            </w:r>
          </w:p>
        </w:tc>
        <w:tc>
          <w:tcPr>
            <w:tcW w:w="0" w:type="auto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vAlign w:val="center"/>
          </w:tcPr>
          <w:p w14:paraId="7D29F84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Bold" w:hAnsi="Times New Roman Bold" w:cs="Times New Roman Bold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Style w:val="4"/>
                <w:rFonts w:hint="default" w:ascii="Times New Roman Bold" w:hAnsi="Times New Roman Bold" w:eastAsia="SimSun" w:cs="Times New Roman Bold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Pre-Intervention (n=33)</w:t>
            </w:r>
          </w:p>
        </w:tc>
        <w:tc>
          <w:tcPr>
            <w:tcW w:w="0" w:type="auto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vAlign w:val="center"/>
          </w:tcPr>
          <w:p w14:paraId="31D90C7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Bold" w:hAnsi="Times New Roman Bold" w:cs="Times New Roman Bold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Style w:val="4"/>
                <w:rFonts w:hint="default" w:ascii="Times New Roman Bold" w:hAnsi="Times New Roman Bold" w:eastAsia="SimSun" w:cs="Times New Roman Bold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Post-Intervention (n=27)</w:t>
            </w:r>
          </w:p>
        </w:tc>
        <w:tc>
          <w:tcPr>
            <w:tcW w:w="0" w:type="auto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vAlign w:val="center"/>
          </w:tcPr>
          <w:p w14:paraId="1F5970D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Bold" w:hAnsi="Times New Roman Bold" w:cs="Times New Roman Bold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Style w:val="4"/>
                <w:rFonts w:hint="default" w:ascii="Times New Roman Bold" w:hAnsi="Times New Roman Bold" w:eastAsia="SimSun" w:cs="Times New Roman Bold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p-value</w:t>
            </w:r>
          </w:p>
        </w:tc>
      </w:tr>
      <w:tr w14:paraId="2CB4E385">
        <w:trPr>
          <w:tblCellSpacing w:w="15" w:type="dxa"/>
        </w:trPr>
        <w:tc>
          <w:tcPr>
            <w:tcW w:w="0" w:type="auto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vAlign w:val="center"/>
          </w:tcPr>
          <w:p w14:paraId="2A822D7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Age (mean ± SD)</w:t>
            </w:r>
          </w:p>
        </w:tc>
        <w:tc>
          <w:tcPr>
            <w:tcW w:w="0" w:type="auto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vAlign w:val="center"/>
          </w:tcPr>
          <w:p w14:paraId="339EE1A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36.3 ± 3.6</w:t>
            </w:r>
          </w:p>
        </w:tc>
        <w:tc>
          <w:tcPr>
            <w:tcW w:w="0" w:type="auto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vAlign w:val="center"/>
          </w:tcPr>
          <w:p w14:paraId="7FC292D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36.1 ± 3.8</w:t>
            </w:r>
          </w:p>
        </w:tc>
        <w:tc>
          <w:tcPr>
            <w:tcW w:w="0" w:type="auto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vAlign w:val="center"/>
          </w:tcPr>
          <w:p w14:paraId="4933D88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0.87</w:t>
            </w:r>
          </w:p>
        </w:tc>
      </w:tr>
      <w:tr w14:paraId="1B784CAC">
        <w:trPr>
          <w:tblCellSpacing w:w="15" w:type="dxa"/>
        </w:trPr>
        <w:tc>
          <w:tcPr>
            <w:tcW w:w="0" w:type="auto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vAlign w:val="center"/>
          </w:tcPr>
          <w:p w14:paraId="07A30FF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Gender (% Female)</w:t>
            </w:r>
          </w:p>
        </w:tc>
        <w:tc>
          <w:tcPr>
            <w:tcW w:w="0" w:type="auto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vAlign w:val="center"/>
          </w:tcPr>
          <w:p w14:paraId="1DFEA29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54.5%</w:t>
            </w:r>
          </w:p>
        </w:tc>
        <w:tc>
          <w:tcPr>
            <w:tcW w:w="0" w:type="auto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vAlign w:val="center"/>
          </w:tcPr>
          <w:p w14:paraId="4D5B7D5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55.6%</w:t>
            </w:r>
          </w:p>
        </w:tc>
        <w:tc>
          <w:tcPr>
            <w:tcW w:w="0" w:type="auto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vAlign w:val="center"/>
          </w:tcPr>
          <w:p w14:paraId="726B491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0.91</w:t>
            </w:r>
          </w:p>
        </w:tc>
      </w:tr>
      <w:tr w14:paraId="79025CEA">
        <w:trPr>
          <w:tblCellSpacing w:w="15" w:type="dxa"/>
        </w:trPr>
        <w:tc>
          <w:tcPr>
            <w:tcW w:w="0" w:type="auto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vAlign w:val="center"/>
          </w:tcPr>
          <w:p w14:paraId="3F9FAD7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Education (% ≥ High School)</w:t>
            </w:r>
          </w:p>
        </w:tc>
        <w:tc>
          <w:tcPr>
            <w:tcW w:w="0" w:type="auto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vAlign w:val="center"/>
          </w:tcPr>
          <w:p w14:paraId="22AD455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48.5%</w:t>
            </w:r>
          </w:p>
        </w:tc>
        <w:tc>
          <w:tcPr>
            <w:tcW w:w="0" w:type="auto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vAlign w:val="center"/>
          </w:tcPr>
          <w:p w14:paraId="67A4B72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50.0%</w:t>
            </w:r>
          </w:p>
        </w:tc>
        <w:tc>
          <w:tcPr>
            <w:tcW w:w="0" w:type="auto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vAlign w:val="center"/>
          </w:tcPr>
          <w:p w14:paraId="31A596E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0.60</w:t>
            </w:r>
          </w:p>
        </w:tc>
      </w:tr>
      <w:tr w14:paraId="7279A5F5">
        <w:trPr>
          <w:tblCellSpacing w:w="15" w:type="dxa"/>
        </w:trPr>
        <w:tc>
          <w:tcPr>
            <w:tcW w:w="0" w:type="auto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vAlign w:val="center"/>
          </w:tcPr>
          <w:p w14:paraId="4F3673F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Monthly Income (% ≥ ₹68,961)</w:t>
            </w:r>
          </w:p>
        </w:tc>
        <w:tc>
          <w:tcPr>
            <w:tcW w:w="0" w:type="auto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vAlign w:val="center"/>
          </w:tcPr>
          <w:p w14:paraId="23BFDF3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21.2%</w:t>
            </w:r>
          </w:p>
        </w:tc>
        <w:tc>
          <w:tcPr>
            <w:tcW w:w="0" w:type="auto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vAlign w:val="center"/>
          </w:tcPr>
          <w:p w14:paraId="1B0A375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25.9%</w:t>
            </w:r>
          </w:p>
        </w:tc>
        <w:tc>
          <w:tcPr>
            <w:tcW w:w="0" w:type="auto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vAlign w:val="center"/>
          </w:tcPr>
          <w:p w14:paraId="0D404F4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0.42</w:t>
            </w:r>
          </w:p>
        </w:tc>
      </w:tr>
      <w:tr w14:paraId="5AA586D1">
        <w:trPr>
          <w:tblCellSpacing w:w="15" w:type="dxa"/>
        </w:trPr>
        <w:tc>
          <w:tcPr>
            <w:tcW w:w="0" w:type="auto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vAlign w:val="center"/>
          </w:tcPr>
          <w:p w14:paraId="70FFDE4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Child Age (% ≥5 years)</w:t>
            </w:r>
          </w:p>
        </w:tc>
        <w:tc>
          <w:tcPr>
            <w:tcW w:w="0" w:type="auto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vAlign w:val="center"/>
          </w:tcPr>
          <w:p w14:paraId="1C18BDE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69.7%</w:t>
            </w:r>
          </w:p>
        </w:tc>
        <w:tc>
          <w:tcPr>
            <w:tcW w:w="0" w:type="auto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vAlign w:val="center"/>
          </w:tcPr>
          <w:p w14:paraId="58FA55B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70.4%</w:t>
            </w:r>
          </w:p>
        </w:tc>
        <w:tc>
          <w:tcPr>
            <w:tcW w:w="0" w:type="auto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vAlign w:val="center"/>
          </w:tcPr>
          <w:p w14:paraId="068CF53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0.58</w:t>
            </w:r>
          </w:p>
        </w:tc>
      </w:tr>
      <w:tr w14:paraId="7128E859">
        <w:trPr>
          <w:tblCellSpacing w:w="15" w:type="dxa"/>
        </w:trPr>
        <w:tc>
          <w:tcPr>
            <w:tcW w:w="0" w:type="auto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vAlign w:val="center"/>
          </w:tcPr>
          <w:p w14:paraId="26E8F82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Child Gender (% Boy)</w:t>
            </w:r>
          </w:p>
        </w:tc>
        <w:tc>
          <w:tcPr>
            <w:tcW w:w="0" w:type="auto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vAlign w:val="center"/>
          </w:tcPr>
          <w:p w14:paraId="40A0791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66.7%</w:t>
            </w:r>
          </w:p>
        </w:tc>
        <w:tc>
          <w:tcPr>
            <w:tcW w:w="0" w:type="auto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vAlign w:val="center"/>
          </w:tcPr>
          <w:p w14:paraId="2C8C2B6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63.0%</w:t>
            </w:r>
          </w:p>
        </w:tc>
        <w:tc>
          <w:tcPr>
            <w:tcW w:w="0" w:type="auto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/>
            <w:vAlign w:val="center"/>
          </w:tcPr>
          <w:p w14:paraId="21DE84E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0.73</w:t>
            </w:r>
          </w:p>
        </w:tc>
      </w:tr>
    </w:tbl>
    <w:p w14:paraId="7D6468B1">
      <w:pPr>
        <w:rPr>
          <w:rFonts w:hint="default"/>
          <w:lang w:val="en-US"/>
        </w:rPr>
      </w:pPr>
    </w:p>
    <w:p w14:paraId="59BCB000">
      <w:pPr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en-US"/>
        </w:rPr>
      </w:pPr>
      <w:r>
        <w:rPr>
          <w:rFonts w:hint="default" w:ascii="Times New Roman" w:hAnsi="Times New Roman" w:eastAsia="SimSun" w:cs="Times New Roman"/>
          <w:b w:val="0"/>
          <w:bCs/>
          <w:kern w:val="0"/>
          <w:sz w:val="24"/>
          <w:szCs w:val="24"/>
          <w:lang w:val="en-US" w:eastAsia="zh-CN" w:bidi="ar"/>
        </w:rPr>
        <w:t>No statistically significant differences were found, indicating sample comparability across phases.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汉仪书宋二KW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F2C0B6"/>
    <w:rsid w:val="6BF2C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Office_6.13.1.8710_F1E327BC-269C-435d-A152-05C5408002CA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2025-04-28T20:01:00Z</dcterms:created>
  <dc:creator>researcher academics</dc:creator>
  <cp:lastModifiedBy>researcher academics</cp:lastModifiedBy>
  <dcterms:modified xsi:type="dcterms:W3CDTF">2025-04-28T20:03:12Z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1033-6.13.1.8710</vt:lpwstr>
  </property>
  <property fmtid="{D5CDD505-2E9C-101B-9397-08002B2CF9AE}" pid="3" name="ICV">
    <vt:lpwstr>AA5C6B84F1F42E3F47910F687DC3A385_41</vt:lpwstr>
  </property>
</Properties>
</file>