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A7CF9" w14:textId="01B5B151" w:rsidR="00164B64" w:rsidRDefault="001D16E7">
      <w:pPr>
        <w:rPr>
          <w:rFonts w:hint="eastAsia"/>
        </w:rPr>
      </w:pPr>
      <w:r>
        <w:rPr>
          <w:rFonts w:hint="eastAsia"/>
        </w:rPr>
        <w:t>Risk of bias for physical activity.</w:t>
      </w:r>
    </w:p>
    <w:p w14:paraId="5F450DDD" w14:textId="77777777" w:rsidR="001D16E7" w:rsidRDefault="001D16E7"/>
    <w:tbl>
      <w:tblPr>
        <w:tblW w:w="10768" w:type="dxa"/>
        <w:tblInd w:w="113" w:type="dxa"/>
        <w:tblLayout w:type="fixed"/>
        <w:tblLook w:val="04A0" w:firstRow="1" w:lastRow="0" w:firstColumn="1" w:lastColumn="0" w:noHBand="0" w:noVBand="1"/>
      </w:tblPr>
      <w:tblGrid>
        <w:gridCol w:w="1173"/>
        <w:gridCol w:w="1941"/>
        <w:gridCol w:w="1010"/>
        <w:gridCol w:w="2108"/>
        <w:gridCol w:w="851"/>
        <w:gridCol w:w="3685"/>
      </w:tblGrid>
      <w:tr w:rsidR="001D16E7" w:rsidRPr="001D16E7" w14:paraId="3DA8F996"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456B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1D1FB97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Bailey 2016</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51A13C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34753FB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DOI: 10.1089/dia.2015.0285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11B00F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5400CC4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777F206"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167BC1C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24C5409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Diabetes Technol Ther 2016 Mar;18(3):185-93.</w:t>
            </w:r>
          </w:p>
        </w:tc>
        <w:tc>
          <w:tcPr>
            <w:tcW w:w="1010" w:type="dxa"/>
            <w:tcBorders>
              <w:top w:val="nil"/>
              <w:left w:val="nil"/>
              <w:bottom w:val="single" w:sz="4" w:space="0" w:color="auto"/>
              <w:right w:val="single" w:sz="4" w:space="0" w:color="auto"/>
            </w:tcBorders>
            <w:shd w:val="clear" w:color="auto" w:fill="auto"/>
            <w:vAlign w:val="center"/>
            <w:hideMark/>
          </w:tcPr>
          <w:p w14:paraId="3E4C9AA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1BD5EDC9"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790FE7D2"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723D5F2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C81E358"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0F8C931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1EF3BB1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CGM+Guidance</w:t>
            </w:r>
          </w:p>
        </w:tc>
        <w:tc>
          <w:tcPr>
            <w:tcW w:w="1010" w:type="dxa"/>
            <w:tcBorders>
              <w:top w:val="nil"/>
              <w:left w:val="nil"/>
              <w:bottom w:val="nil"/>
              <w:right w:val="single" w:sz="4" w:space="0" w:color="auto"/>
            </w:tcBorders>
            <w:shd w:val="clear" w:color="auto" w:fill="auto"/>
            <w:vAlign w:val="center"/>
            <w:hideMark/>
          </w:tcPr>
          <w:p w14:paraId="075C294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75A797A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Standard care and exercise program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971B0D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599B0E5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1BCFDDA6"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0DFB623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7FF48BA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7-Day Physical Activity Recall Questionnaire </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639DBF0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35B5A4F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1487620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28C800B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18822AA0"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1076DE22"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3B347400"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6652FFEF"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19316F29"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6B4B42E3"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54A9EE7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62E9A8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14EC2A6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4324869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DEAD7B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151F2F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FE34C0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4DE9191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0273575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7010305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561330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CF0B92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09FC5D9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1A05CA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There were no statistical differences between conditions regarding demographic or baseline variables.</w:t>
            </w:r>
          </w:p>
        </w:tc>
      </w:tr>
      <w:tr w:rsidR="001D16E7" w:rsidRPr="001D16E7" w14:paraId="641E580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81C3F9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EC1768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4EECE29F"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000000" w:fill="E7E6E6"/>
            <w:vAlign w:val="center"/>
            <w:hideMark/>
          </w:tcPr>
          <w:p w14:paraId="70BED5D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1971769"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7B248E0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468F82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0A0411B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59273E8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F0F6E7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C6A0AD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B2E789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40D58303"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5A0FE6A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42258FE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E0E1CC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E73E68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3F606F4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nil"/>
              <w:right w:val="single" w:sz="4" w:space="0" w:color="auto"/>
            </w:tcBorders>
            <w:shd w:val="clear" w:color="auto" w:fill="auto"/>
            <w:vAlign w:val="center"/>
            <w:hideMark/>
          </w:tcPr>
          <w:p w14:paraId="719A290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A704CF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60F0D3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A7A4DC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41065C2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2C0A191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4E20C4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14449A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3CAB44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627215F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4DC1F50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38FB8B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EFCACA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E78150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2FCB744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2B388D4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For the main analyses we used mixed model multiple analyses of variances (MANOVAs) and analyses of variance (ANOVAs) to test the effect of condition by time on each outcome variable: self-monitoring, goal setting, self-monitoring frequency, self-efficacy to self-monitor, and exercise minutes. For HRQL and physical variables, repeated-measures ANOVAs and t tests were used to test for changes across time; these variables were not tested between conditions. All effects were tested as significant at P &lt; 0.05. However, in light of the small sample size and exploratory nature of this feasibility study, we chose a priori to allow for further analysis of all effects at the P ≤ 0.10 level, in conjunction with a heavier reliance on interpretation of effect sizes rather than significance levels.</w:t>
            </w:r>
          </w:p>
        </w:tc>
      </w:tr>
      <w:tr w:rsidR="001D16E7" w:rsidRPr="001D16E7" w14:paraId="32CC470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BAD8CC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BFFBC9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5CF39D9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PN</w:t>
            </w:r>
          </w:p>
        </w:tc>
        <w:tc>
          <w:tcPr>
            <w:tcW w:w="3685" w:type="dxa"/>
            <w:tcBorders>
              <w:top w:val="nil"/>
              <w:left w:val="nil"/>
              <w:bottom w:val="single" w:sz="4" w:space="0" w:color="auto"/>
              <w:right w:val="single" w:sz="4" w:space="0" w:color="auto"/>
            </w:tcBorders>
            <w:shd w:val="clear" w:color="auto" w:fill="auto"/>
            <w:vAlign w:val="center"/>
            <w:hideMark/>
          </w:tcPr>
          <w:p w14:paraId="08F1796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BC8AF7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1CEB29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1A6F24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0CAA2F78"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77EBCA9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A1F2D9C"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4D005E8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237CD1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51C2E57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CE9A30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dropout rate is 23%</w:t>
            </w:r>
          </w:p>
        </w:tc>
      </w:tr>
      <w:tr w:rsidR="001D16E7" w:rsidRPr="001D16E7" w14:paraId="0F02CC2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925A81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4AF56B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159DD5A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631A9CE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E0ACA6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95D988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6B24A8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50E1760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7478EC3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FF82F9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F02C15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7BFA86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5EAC5F0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15C70AD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71703F69"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F46073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C8EFF7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14EBBDE5"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000000" w:fill="E7E6E6"/>
            <w:vAlign w:val="center"/>
            <w:hideMark/>
          </w:tcPr>
          <w:p w14:paraId="32E0B44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F6AB5A1"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7A3D8D8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66AC9D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69CECCB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3D9099D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Exercise behavior was measured using the 7-day Physical Activity Recall Questionnaire41 (7-day PAR) at pre-, mid-, and postprogram and at the 1-month follow-up. </w:t>
            </w:r>
          </w:p>
        </w:tc>
      </w:tr>
      <w:tr w:rsidR="001D16E7" w:rsidRPr="001D16E7" w14:paraId="23587F0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BC6CA3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4495D9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4D98B5E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7686903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F43EF2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50D132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1A52F3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2912101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3500803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6EE775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C3BCE2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D61174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50C68F2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PN</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6C6DAF6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7084B2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564AFD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2BB0BF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1CC717C4"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tcBorders>
              <w:top w:val="nil"/>
              <w:left w:val="single" w:sz="4" w:space="0" w:color="auto"/>
              <w:bottom w:val="single" w:sz="4" w:space="0" w:color="000000"/>
              <w:right w:val="single" w:sz="4" w:space="0" w:color="auto"/>
            </w:tcBorders>
            <w:vAlign w:val="center"/>
            <w:hideMark/>
          </w:tcPr>
          <w:p w14:paraId="1CE7788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6849951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4371AA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105BD8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744597FF"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auto" w:fill="auto"/>
            <w:vAlign w:val="center"/>
            <w:hideMark/>
          </w:tcPr>
          <w:p w14:paraId="2CE5004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CD21502"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69EA5F2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F50A73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342CD41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36D10C4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E83451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27CAD3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40D04D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7280B15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PN</w:t>
            </w:r>
          </w:p>
        </w:tc>
        <w:tc>
          <w:tcPr>
            <w:tcW w:w="3685" w:type="dxa"/>
            <w:tcBorders>
              <w:top w:val="nil"/>
              <w:left w:val="nil"/>
              <w:bottom w:val="single" w:sz="4" w:space="0" w:color="auto"/>
              <w:right w:val="single" w:sz="4" w:space="0" w:color="auto"/>
            </w:tcBorders>
            <w:shd w:val="clear" w:color="000000" w:fill="E7E6E6"/>
            <w:vAlign w:val="center"/>
            <w:hideMark/>
          </w:tcPr>
          <w:p w14:paraId="4E20E1C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B7E00A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CFF935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3C3A18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2319ACA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2B01B4B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AA8C72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BED024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E7C58F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436D13E1"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4AA0820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091A22A"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07EC9B4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B0EB00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1D844C06"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7765343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25363C6" w14:textId="77777777" w:rsidTr="001D16E7">
        <w:trPr>
          <w:trHeight w:val="283"/>
        </w:trPr>
        <w:tc>
          <w:tcPr>
            <w:tcW w:w="1173" w:type="dxa"/>
            <w:tcBorders>
              <w:top w:val="nil"/>
              <w:left w:val="nil"/>
              <w:bottom w:val="nil"/>
              <w:right w:val="nil"/>
            </w:tcBorders>
            <w:shd w:val="clear" w:color="auto" w:fill="auto"/>
            <w:noWrap/>
            <w:vAlign w:val="bottom"/>
            <w:hideMark/>
          </w:tcPr>
          <w:p w14:paraId="6E06D9E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17E373E7"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0BE22E47"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7F160699"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0B080D4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4EF118DB"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16C50F56" w14:textId="77777777" w:rsidTr="001D16E7">
        <w:trPr>
          <w:trHeight w:val="283"/>
        </w:trPr>
        <w:tc>
          <w:tcPr>
            <w:tcW w:w="1173" w:type="dxa"/>
            <w:tcBorders>
              <w:top w:val="nil"/>
              <w:left w:val="nil"/>
              <w:bottom w:val="nil"/>
              <w:right w:val="nil"/>
            </w:tcBorders>
            <w:shd w:val="clear" w:color="auto" w:fill="auto"/>
            <w:noWrap/>
            <w:vAlign w:val="bottom"/>
            <w:hideMark/>
          </w:tcPr>
          <w:p w14:paraId="24277115"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1829F76A"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1D056D9C"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744AB3D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70E130F7"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0A205E0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6E7BA56E"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A1E5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lastRenderedPageBreak/>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509A25F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Cox1 2020</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44AEC64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7FF953F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DOI: 10.1136/bmjdrc-2020-001795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B16A06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4E13F3C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552B09B"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1886572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74C99C0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BMJ Open Diabetes Res Care 2020 Dec;8(2):e001795.</w:t>
            </w:r>
          </w:p>
        </w:tc>
        <w:tc>
          <w:tcPr>
            <w:tcW w:w="1010" w:type="dxa"/>
            <w:tcBorders>
              <w:top w:val="nil"/>
              <w:left w:val="nil"/>
              <w:bottom w:val="single" w:sz="4" w:space="0" w:color="auto"/>
              <w:right w:val="single" w:sz="4" w:space="0" w:color="auto"/>
            </w:tcBorders>
            <w:shd w:val="clear" w:color="auto" w:fill="auto"/>
            <w:vAlign w:val="center"/>
            <w:hideMark/>
          </w:tcPr>
          <w:p w14:paraId="757388D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6C567BB2"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4CD44DC8"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07B8BDB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257BC7E"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604DFAB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2A97C7C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CGM and CGM-based guidance on diet and activity</w:t>
            </w:r>
          </w:p>
        </w:tc>
        <w:tc>
          <w:tcPr>
            <w:tcW w:w="1010" w:type="dxa"/>
            <w:tcBorders>
              <w:top w:val="nil"/>
              <w:left w:val="nil"/>
              <w:bottom w:val="nil"/>
              <w:right w:val="single" w:sz="4" w:space="0" w:color="auto"/>
            </w:tcBorders>
            <w:shd w:val="clear" w:color="auto" w:fill="auto"/>
            <w:vAlign w:val="center"/>
            <w:hideMark/>
          </w:tcPr>
          <w:p w14:paraId="1BD7BE7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3EB386C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Group education</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846FB3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2620C5F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30E9CD69"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0AE7223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601855C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 blinded activity monitor (steps/day,  Hours active)</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20A0475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3FDD41A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262C58D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0E5A152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686047AC"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147A0BFD"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292AB065"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65BDD11B"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3E0BDE69"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0A1952B6"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50AA700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59938A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5220272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368AE8F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9F6564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886BBF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3E53D1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7C65265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4F7DD8E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4CF233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A59C00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027E61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65B3DB1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FEA266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Participants in the different interventions did not differ on any demographic variables (table 1).</w:t>
            </w:r>
          </w:p>
        </w:tc>
      </w:tr>
      <w:tr w:rsidR="001D16E7" w:rsidRPr="001D16E7" w14:paraId="66EB9AB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986D5D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4C753C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1DE6DB7B"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000000" w:fill="E7E6E6"/>
            <w:vAlign w:val="center"/>
            <w:hideMark/>
          </w:tcPr>
          <w:p w14:paraId="3C7EC8D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80DED10"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779AA08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20CB97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3D3448C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19D8AA6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Participants underwent different procedures that cannot be blinded.</w:t>
            </w:r>
          </w:p>
        </w:tc>
      </w:tr>
      <w:tr w:rsidR="001D16E7" w:rsidRPr="001D16E7" w14:paraId="328185D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94C48C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E906BC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4582C22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446003E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4670886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DF7437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1E33FD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0613C86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nil"/>
              <w:right w:val="single" w:sz="4" w:space="0" w:color="auto"/>
            </w:tcBorders>
            <w:shd w:val="clear" w:color="auto" w:fill="auto"/>
            <w:vAlign w:val="center"/>
            <w:hideMark/>
          </w:tcPr>
          <w:p w14:paraId="3FFC205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4BDBBE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62E935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3D65C7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71A663D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175075A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50F64E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DDEE7B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B6BF39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276C531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01BCDA4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82054C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A9E12A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D3FB99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30BF8CA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auto" w:fill="auto"/>
            <w:vAlign w:val="center"/>
            <w:hideMark/>
          </w:tcPr>
          <w:p w14:paraId="3F82CDD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Intent-to-treat analyses were performed using SAS V.9.4. A one-way analysis of variance compared changes in HbA1c among the four interventions. Orthogonal contrasts were used to divide the treatment sum of squares, with 3 df, to make specific comparisons among the interventions. One contrast (1 df) was used to compare the WL and GEM interventions. The F-test for a second contrast (2 df) was used to compare the three GEM versions regarding changes in HbA1c, followed by pairwise comparisons among GEM versions. χ2 tests were used to compare categorical outcomes among the interventions. Two-tailed probabilities were used to interpret all results. To address possible alpha error from multiple comparisons, the Benjamini-Hochberg procedure was employed.</w:t>
            </w:r>
          </w:p>
        </w:tc>
      </w:tr>
      <w:tr w:rsidR="001D16E7" w:rsidRPr="001D16E7" w14:paraId="233F24B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B621B2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DB9A45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05E2049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4AD6887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CAB24F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8712DC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8F5A08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421B48B5"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2BC12B6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C912452"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3CB554E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386AE2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30D3192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2D77EB7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dropout rate is 11%, 4 in the EX group(n=40), and 15 in the CO group(6/39, 4/51, 5/48).</w:t>
            </w:r>
          </w:p>
        </w:tc>
      </w:tr>
      <w:tr w:rsidR="001D16E7" w:rsidRPr="001D16E7" w14:paraId="0A2CE2D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72B53C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43ABC9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0C627E0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98A500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645CF4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706A10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45C645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7782D69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716F4F6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F36FD9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F2E8F5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83D082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686F291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0B89596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54C4029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BAC30E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7DDB31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1F2D303C"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000000" w:fill="E7E6E6"/>
            <w:vAlign w:val="center"/>
            <w:hideMark/>
          </w:tcPr>
          <w:p w14:paraId="23A0395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62B636D"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7EA421B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9AF230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4EE0B05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1CDAEFB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 following week, all participants wore a blinded activity monitor to quantify baseline sedentary behavior (hours active) and overall activity (total steps). They were also interviewed by telephone on two workdays and one weekend day for the researcher to complete the Automated Self-Administered 24-hour (ASA24) dietary recall to quantify daily consumption of carbohydrates, fats and proteins.</w:t>
            </w:r>
          </w:p>
        </w:tc>
      </w:tr>
      <w:tr w:rsidR="001D16E7" w:rsidRPr="001D16E7" w14:paraId="44A7186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992108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3920E2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6534A2B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2F54009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5685E8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95F7A0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ED89C1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16E8A70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765D53E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FE16AB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FFFD92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539B0B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213D1B4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404C082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99E16E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5C8420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E98F17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3C731DB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2746FE7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634162A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0E110F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555331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3095E554"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018B978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AD454ED"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5E733CA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5EA7B4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0F883DD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78BA36C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F98086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ECAB97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23A4BB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3176C55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47DF7C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301D62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6863EB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720C54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4F3D039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72C0A18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7B7C1B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881071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8FA837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6D91E183"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10855FC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962FC13"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0F9039D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B07C03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63654F39"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409D30B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A4E4F8B" w14:textId="77777777" w:rsidTr="001D16E7">
        <w:trPr>
          <w:trHeight w:val="283"/>
        </w:trPr>
        <w:tc>
          <w:tcPr>
            <w:tcW w:w="1173" w:type="dxa"/>
            <w:tcBorders>
              <w:top w:val="nil"/>
              <w:left w:val="nil"/>
              <w:bottom w:val="nil"/>
              <w:right w:val="nil"/>
            </w:tcBorders>
            <w:shd w:val="clear" w:color="auto" w:fill="auto"/>
            <w:noWrap/>
            <w:vAlign w:val="bottom"/>
            <w:hideMark/>
          </w:tcPr>
          <w:p w14:paraId="156D611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20315577"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1FA887FB"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1F75622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754448D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57AA460D"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37928DB0" w14:textId="77777777" w:rsidTr="001D16E7">
        <w:trPr>
          <w:trHeight w:val="283"/>
        </w:trPr>
        <w:tc>
          <w:tcPr>
            <w:tcW w:w="1173" w:type="dxa"/>
            <w:tcBorders>
              <w:top w:val="nil"/>
              <w:left w:val="nil"/>
              <w:bottom w:val="nil"/>
              <w:right w:val="nil"/>
            </w:tcBorders>
            <w:shd w:val="clear" w:color="auto" w:fill="auto"/>
            <w:noWrap/>
            <w:vAlign w:val="bottom"/>
            <w:hideMark/>
          </w:tcPr>
          <w:p w14:paraId="694E53C5"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7CF0A952"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379C993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0DAD9D95"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58831A1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388DEB8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2FECFFD1"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2706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lastRenderedPageBreak/>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51AE121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Cox2 2020</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1DF9599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01EFEB0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doi: 10.1210/jendso/bvaa118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C17285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4F73FE3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CF07B46"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321EBB5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6006885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J Endocr Soc. 2020 Aug 18;4(11):bvaa118. </w:t>
            </w:r>
          </w:p>
        </w:tc>
        <w:tc>
          <w:tcPr>
            <w:tcW w:w="1010" w:type="dxa"/>
            <w:tcBorders>
              <w:top w:val="nil"/>
              <w:left w:val="nil"/>
              <w:bottom w:val="single" w:sz="4" w:space="0" w:color="auto"/>
              <w:right w:val="single" w:sz="4" w:space="0" w:color="auto"/>
            </w:tcBorders>
            <w:shd w:val="clear" w:color="auto" w:fill="auto"/>
            <w:vAlign w:val="center"/>
            <w:hideMark/>
          </w:tcPr>
          <w:p w14:paraId="75AA771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27A740EA"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56721438"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717E7F8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7BD5B4F"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50B5FCA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70AB674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CGM+glycemic excursion minimization</w:t>
            </w:r>
          </w:p>
        </w:tc>
        <w:tc>
          <w:tcPr>
            <w:tcW w:w="1010" w:type="dxa"/>
            <w:tcBorders>
              <w:top w:val="nil"/>
              <w:left w:val="nil"/>
              <w:bottom w:val="nil"/>
              <w:right w:val="single" w:sz="4" w:space="0" w:color="auto"/>
            </w:tcBorders>
            <w:shd w:val="clear" w:color="auto" w:fill="auto"/>
            <w:vAlign w:val="center"/>
            <w:hideMark/>
          </w:tcPr>
          <w:p w14:paraId="7AA6780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5F58291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Routine care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42C60B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4588449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1378B73E"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5664AD7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6F6021F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A blinded activity monitor; Automated Self- Administered 24- hour (ASA24)</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5604229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77AF486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1A7A747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66D1A37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5DD0D324"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191A830B"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2921F558"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16CDFB3A"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772B93C5"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6694289E"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2F40FF8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B984DD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4CEE07F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62B5769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0630B2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CE72F7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C14713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274869C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200DE6F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24FFEA3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2B03E4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E50D79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3E6CB55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6B75E5D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 2 groups did not significantly differ on any demographic variables.</w:t>
            </w:r>
          </w:p>
        </w:tc>
      </w:tr>
      <w:tr w:rsidR="001D16E7" w:rsidRPr="001D16E7" w14:paraId="478DB57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8C7EF0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928E2B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308E48CB"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000000" w:fill="E7E6E6"/>
            <w:vAlign w:val="center"/>
            <w:hideMark/>
          </w:tcPr>
          <w:p w14:paraId="5D8B642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A32086E"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2277376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29615F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62D61FA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4B89A2A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D07F059"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C7A586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C9E256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4A0D02D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7032843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D46169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49C7E9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2B1552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781C7B0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nil"/>
              <w:right w:val="single" w:sz="4" w:space="0" w:color="auto"/>
            </w:tcBorders>
            <w:shd w:val="clear" w:color="auto" w:fill="auto"/>
            <w:vAlign w:val="center"/>
            <w:hideMark/>
          </w:tcPr>
          <w:p w14:paraId="77A8AEC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C7B105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4DD299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3909EE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6E2CEE1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4CB6D0F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A667DA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82F6C9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E65CE8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72B0B33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7FD7F1D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277685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8EE7B4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FFD35C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5005EAD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tcBorders>
              <w:top w:val="nil"/>
              <w:left w:val="nil"/>
              <w:bottom w:val="single" w:sz="4" w:space="0" w:color="auto"/>
              <w:right w:val="single" w:sz="4" w:space="0" w:color="auto"/>
            </w:tcBorders>
            <w:shd w:val="clear" w:color="auto" w:fill="auto"/>
            <w:vAlign w:val="center"/>
            <w:hideMark/>
          </w:tcPr>
          <w:p w14:paraId="0E0F0D2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Pre and post change scores for RC and GEMCGM were compared in analyses of covariance, with baseline measures serving as the covariant. SPSS version 25 was used to perform the analyses.</w:t>
            </w:r>
          </w:p>
        </w:tc>
      </w:tr>
      <w:tr w:rsidR="001D16E7" w:rsidRPr="001D16E7" w14:paraId="4672FBB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9EB3BD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0632D0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77C3266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14A62F5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2381FF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42E7C0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6592AB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65C90A05"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auto" w:fill="auto"/>
            <w:vAlign w:val="center"/>
            <w:hideMark/>
          </w:tcPr>
          <w:p w14:paraId="6C92439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7FFBFCE"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7E30443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CB4DB6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6150C81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731A035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29EC77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96E248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17BBE4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133ECFC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000000" w:fill="E7E6E6"/>
            <w:vAlign w:val="center"/>
            <w:hideMark/>
          </w:tcPr>
          <w:p w14:paraId="6BB6E5E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0988EC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057773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684BE3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1D82F46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43E76EF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6BF1F0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7AA906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573BCE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4421D35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tcBorders>
              <w:top w:val="nil"/>
              <w:left w:val="single" w:sz="4" w:space="0" w:color="auto"/>
              <w:bottom w:val="single" w:sz="4" w:space="0" w:color="000000"/>
              <w:right w:val="single" w:sz="4" w:space="0" w:color="auto"/>
            </w:tcBorders>
            <w:vAlign w:val="center"/>
            <w:hideMark/>
          </w:tcPr>
          <w:p w14:paraId="60B47A2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3414FD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D1743B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08D7EF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3F4CF8FD"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06F8D64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E81B2B9"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4BA1A49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334A78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660C8C8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0A77519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 following week participants wore a blinded activity monitor (Fitbit Charge 2), and were interviewed over the telephone on 2 work days and 1 weekend day to complete the automated self-administered 24-hour dietary recall dietary recall.</w:t>
            </w:r>
          </w:p>
        </w:tc>
      </w:tr>
      <w:tr w:rsidR="001D16E7" w:rsidRPr="001D16E7" w14:paraId="18E7199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0B224C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D3970E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1FAE52D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7DAE0AF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6BD162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4CDA5D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0614B0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7F89396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4E6C95D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5057AF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F08714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1ED60D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1AA9FC7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0647369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9D61DD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E4B669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DAAA6D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76D02C3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2B3C780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B7A16A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643341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B31592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3F35F300"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13B82BE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F2F041A"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35C3488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FC135D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523A21D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1B30EE3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1101A6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9BD30A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A00ADB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47153C04"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14AC4CE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AC9C2A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1D0E5D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60F14F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1BA4451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07FB326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AC92A0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93E739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BE439C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6D8A22D2"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6766B8B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E76A4BA"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425D6D4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5366C5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63E78293"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43891EF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B5A5B38" w14:textId="77777777" w:rsidTr="001D16E7">
        <w:trPr>
          <w:trHeight w:val="283"/>
        </w:trPr>
        <w:tc>
          <w:tcPr>
            <w:tcW w:w="1173" w:type="dxa"/>
            <w:tcBorders>
              <w:top w:val="nil"/>
              <w:left w:val="nil"/>
              <w:bottom w:val="nil"/>
              <w:right w:val="nil"/>
            </w:tcBorders>
            <w:shd w:val="clear" w:color="auto" w:fill="auto"/>
            <w:noWrap/>
            <w:vAlign w:val="bottom"/>
            <w:hideMark/>
          </w:tcPr>
          <w:p w14:paraId="289A651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4624DE06"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0F666EA4"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67AF309D"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46E8E93A"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70482903"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14E7179C" w14:textId="77777777" w:rsidTr="001D16E7">
        <w:trPr>
          <w:trHeight w:val="283"/>
        </w:trPr>
        <w:tc>
          <w:tcPr>
            <w:tcW w:w="1173" w:type="dxa"/>
            <w:tcBorders>
              <w:top w:val="nil"/>
              <w:left w:val="nil"/>
              <w:bottom w:val="nil"/>
              <w:right w:val="nil"/>
            </w:tcBorders>
            <w:shd w:val="clear" w:color="auto" w:fill="auto"/>
            <w:noWrap/>
            <w:vAlign w:val="bottom"/>
            <w:hideMark/>
          </w:tcPr>
          <w:p w14:paraId="746A2205"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26A8203D"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1AE998E8"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0E9BC078"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08337A5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39E803D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04353F4A"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1755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01806BB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Kitazawa 2024</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36B234A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6D9A23A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doi: 10.1210/clinem/dgad639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4D574F8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2992EA5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E82F46F"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09C99D0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1699D04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J Clin Endocrinol Metab. 2023 Nov 1;109(4):1060–1070. </w:t>
            </w:r>
          </w:p>
        </w:tc>
        <w:tc>
          <w:tcPr>
            <w:tcW w:w="1010" w:type="dxa"/>
            <w:tcBorders>
              <w:top w:val="nil"/>
              <w:left w:val="nil"/>
              <w:bottom w:val="single" w:sz="4" w:space="0" w:color="auto"/>
              <w:right w:val="single" w:sz="4" w:space="0" w:color="auto"/>
            </w:tcBorders>
            <w:shd w:val="clear" w:color="auto" w:fill="auto"/>
            <w:vAlign w:val="center"/>
            <w:hideMark/>
          </w:tcPr>
          <w:p w14:paraId="25D869F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7A653231"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1743745E"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11D409A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C763EA5"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50E7F29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6D530B8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Unblinded CGM and  Health 2Sync mobile app </w:t>
            </w:r>
          </w:p>
        </w:tc>
        <w:tc>
          <w:tcPr>
            <w:tcW w:w="1010" w:type="dxa"/>
            <w:tcBorders>
              <w:top w:val="nil"/>
              <w:left w:val="nil"/>
              <w:bottom w:val="nil"/>
              <w:right w:val="single" w:sz="4" w:space="0" w:color="auto"/>
            </w:tcBorders>
            <w:shd w:val="clear" w:color="auto" w:fill="auto"/>
            <w:vAlign w:val="center"/>
            <w:hideMark/>
          </w:tcPr>
          <w:p w14:paraId="25EF525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6936313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No lifestyle modification information and no use of health care related smartphone applications</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F0AD68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3DD416A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01D5306A"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2F4DECF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5B88ECA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Japanese version of the International Physical Activity Questionnaire short form; Brief Diet History Questionnaire</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2EEC184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326CA34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0CBFBC5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32A8691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2E016DF7"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6AAF12CB"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lastRenderedPageBreak/>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5970F01B"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5CB81E0A"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1E65447F"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0393D57D"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07E46E8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171FE8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6D3F2D34"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2BB616C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Study participants were randomly assigned (1:1) to either the smartphone app and isCGM intervention group or the control group on a 1:1 basis according to sex, age (≤45 years or &gt;45 years), and preassignment HbA1c (≥6.0% or &lt;6.0%) using the minimization method with a web-based electronic data capture system (UHCT ACReSS) provided by a third party (University Hospital Clinical Trial Alliance, Tokyo, Japan). Neither the researchers nor the participants were blinded.</w:t>
            </w:r>
          </w:p>
        </w:tc>
      </w:tr>
      <w:tr w:rsidR="001D16E7" w:rsidRPr="001D16E7" w14:paraId="026675B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971DB0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FED55D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4F03FED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vMerge/>
            <w:tcBorders>
              <w:top w:val="nil"/>
              <w:left w:val="single" w:sz="4" w:space="0" w:color="auto"/>
              <w:bottom w:val="single" w:sz="4" w:space="0" w:color="000000"/>
              <w:right w:val="single" w:sz="4" w:space="0" w:color="auto"/>
            </w:tcBorders>
            <w:vAlign w:val="center"/>
            <w:hideMark/>
          </w:tcPr>
          <w:p w14:paraId="6753516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65AEDDD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FBFE30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F743CD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594EB34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PN</w:t>
            </w:r>
          </w:p>
        </w:tc>
        <w:tc>
          <w:tcPr>
            <w:tcW w:w="3685" w:type="dxa"/>
            <w:tcBorders>
              <w:top w:val="nil"/>
              <w:left w:val="nil"/>
              <w:bottom w:val="single" w:sz="4" w:space="0" w:color="auto"/>
              <w:right w:val="single" w:sz="4" w:space="0" w:color="auto"/>
            </w:tcBorders>
            <w:shd w:val="clear" w:color="000000" w:fill="E7E6E6"/>
            <w:vAlign w:val="center"/>
            <w:hideMark/>
          </w:tcPr>
          <w:p w14:paraId="3B41C85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Table 1 shows the baseline characteristics and results of physical examinations, blood tests, blood glucose measurements with retrospective CGM, and questionnaires obtained 2 weeks before the study period.</w:t>
            </w:r>
          </w:p>
        </w:tc>
      </w:tr>
      <w:tr w:rsidR="001D16E7" w:rsidRPr="001D16E7" w14:paraId="60F5C34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08131B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75DCEB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64D01F04"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1F42CE6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687572D"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4F513D8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AB3445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4A5233B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4E97F46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Neither the researchers nor the participants were blinded.</w:t>
            </w:r>
          </w:p>
        </w:tc>
      </w:tr>
      <w:tr w:rsidR="001D16E7" w:rsidRPr="001D16E7" w14:paraId="39EB2189"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12831B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E070CB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6F7EE7B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vMerge/>
            <w:tcBorders>
              <w:top w:val="nil"/>
              <w:left w:val="single" w:sz="4" w:space="0" w:color="auto"/>
              <w:bottom w:val="single" w:sz="4" w:space="0" w:color="000000"/>
              <w:right w:val="single" w:sz="4" w:space="0" w:color="auto"/>
            </w:tcBorders>
            <w:vAlign w:val="center"/>
            <w:hideMark/>
          </w:tcPr>
          <w:p w14:paraId="728D831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6B9F4BD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C725B5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A25DE0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39C3CE2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nil"/>
              <w:right w:val="single" w:sz="4" w:space="0" w:color="auto"/>
            </w:tcBorders>
            <w:shd w:val="clear" w:color="auto" w:fill="auto"/>
            <w:vAlign w:val="center"/>
            <w:hideMark/>
          </w:tcPr>
          <w:p w14:paraId="27C92BB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8A8A25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92C9B8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F57FED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0DD81B5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369D393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6499B7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8688F4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E4DDFC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7C8DA8B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618F01E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C40807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0DE112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245C93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3A45CD2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auto" w:fill="auto"/>
            <w:vAlign w:val="center"/>
            <w:hideMark/>
          </w:tcPr>
          <w:p w14:paraId="22DB25A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full analysis set and per protocol set</w:t>
            </w:r>
            <w:r w:rsidRPr="001D16E7">
              <w:rPr>
                <w:rFonts w:ascii="Arial" w:eastAsia="Times New Roman" w:hAnsi="Arial" w:cs="Arial"/>
                <w:color w:val="000000"/>
                <w:kern w:val="0"/>
                <w:sz w:val="14"/>
                <w:szCs w:val="14"/>
                <w14:ligatures w14:val="none"/>
              </w:rPr>
              <w:br/>
            </w:r>
            <w:r w:rsidRPr="001D16E7">
              <w:rPr>
                <w:rFonts w:ascii="Arial" w:eastAsia="Times New Roman" w:hAnsi="Arial" w:cs="Arial"/>
                <w:color w:val="000000"/>
                <w:kern w:val="0"/>
                <w:sz w:val="14"/>
                <w:szCs w:val="14"/>
                <w14:ligatures w14:val="none"/>
              </w:rPr>
              <w:br/>
              <w:t>Also, we compared the amount of change between the 2 groups for each endpoint using an analysis of covariance with each baseline characteristic as an adjustment variable.</w:t>
            </w:r>
          </w:p>
        </w:tc>
      </w:tr>
      <w:tr w:rsidR="001D16E7" w:rsidRPr="001D16E7" w14:paraId="6B94C0D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18E08C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0F4DF6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6D2AD24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1ED1A43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DBB444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4B6FE8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B4F55C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6D9AEA91"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6B25A1C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C8DACBA"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34381A1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74C945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7FE437E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714198B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C1118E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228579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0B493E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6A9B7F53"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000000" w:fill="E7E6E6"/>
            <w:vAlign w:val="center"/>
            <w:hideMark/>
          </w:tcPr>
          <w:p w14:paraId="6A70950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1E72FB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6F487E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E0F18E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043B9AF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7DB55E1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E2A732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D1F0C8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B313B1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2AB5A2B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tcBorders>
              <w:top w:val="nil"/>
              <w:left w:val="single" w:sz="4" w:space="0" w:color="auto"/>
              <w:bottom w:val="single" w:sz="4" w:space="0" w:color="000000"/>
              <w:right w:val="single" w:sz="4" w:space="0" w:color="auto"/>
            </w:tcBorders>
            <w:vAlign w:val="center"/>
            <w:hideMark/>
          </w:tcPr>
          <w:p w14:paraId="15306F4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3D1E435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D90700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92622F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7719466F"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1FAFFA3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DD3EA4E"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4D09CE5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C3D13B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1E29BA2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41D75B3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Health2Sync app usage was evaluated by the number of days the app was opened between days 1 and 14, 15 and 28, 29 and 42, 43 and 56, 57 and 70, and 71 and 84 and the number of food logs and the number of physical activity logs. </w:t>
            </w:r>
          </w:p>
        </w:tc>
      </w:tr>
      <w:tr w:rsidR="001D16E7" w:rsidRPr="001D16E7" w14:paraId="7C970C4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5D0A68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0923E9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35774E9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3D0ED1E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4E85C6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9BE70E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9FD626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78B4A3C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tcBorders>
              <w:top w:val="nil"/>
              <w:left w:val="nil"/>
              <w:bottom w:val="single" w:sz="4" w:space="0" w:color="auto"/>
              <w:right w:val="single" w:sz="4" w:space="0" w:color="auto"/>
            </w:tcBorders>
            <w:shd w:val="clear" w:color="auto" w:fill="auto"/>
            <w:vAlign w:val="center"/>
            <w:hideMark/>
          </w:tcPr>
          <w:p w14:paraId="44FC7A3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Neither the researchers nor the participants were blinded.</w:t>
            </w:r>
          </w:p>
        </w:tc>
      </w:tr>
      <w:tr w:rsidR="001D16E7" w:rsidRPr="001D16E7" w14:paraId="372A8D0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12CC00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CCF3DE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2587C38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6465F9B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522FBC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670508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DCD495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57837EC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6AA3488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5E78A1B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A22B23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01D25B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193D40BE"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5DE9694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1CA5A1B"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54E1741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82EE16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69893654"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4FF62A8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645993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AEF883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249679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2518F6B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49BE581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2E966C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7136AF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EFB17A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21C6B1D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5EA2497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E29515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F1970A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E03C0F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610F6939"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27449C3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E311D60"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6221E69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9974DD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4C9168E0"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01712F5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D8A5E99" w14:textId="77777777" w:rsidTr="001D16E7">
        <w:trPr>
          <w:trHeight w:val="283"/>
        </w:trPr>
        <w:tc>
          <w:tcPr>
            <w:tcW w:w="1173" w:type="dxa"/>
            <w:tcBorders>
              <w:top w:val="nil"/>
              <w:left w:val="nil"/>
              <w:bottom w:val="nil"/>
              <w:right w:val="nil"/>
            </w:tcBorders>
            <w:shd w:val="clear" w:color="auto" w:fill="auto"/>
            <w:noWrap/>
            <w:vAlign w:val="bottom"/>
            <w:hideMark/>
          </w:tcPr>
          <w:p w14:paraId="6D40DBB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6C3AF4B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2CCC0C71"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2B0628CA"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265789C7"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074D5A35"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2A39F37A" w14:textId="77777777" w:rsidTr="001D16E7">
        <w:trPr>
          <w:trHeight w:val="283"/>
        </w:trPr>
        <w:tc>
          <w:tcPr>
            <w:tcW w:w="1173" w:type="dxa"/>
            <w:tcBorders>
              <w:top w:val="nil"/>
              <w:left w:val="nil"/>
              <w:bottom w:val="nil"/>
              <w:right w:val="nil"/>
            </w:tcBorders>
            <w:shd w:val="clear" w:color="auto" w:fill="auto"/>
            <w:noWrap/>
            <w:vAlign w:val="bottom"/>
            <w:hideMark/>
          </w:tcPr>
          <w:p w14:paraId="005BE808"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60E12337"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3810EA8C"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7C02BE7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1052EC7A"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5846ABC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7F326805"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E498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4C98122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Kyto 2024</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00FCD53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7E8C1BD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https://doi.org/10.1016/j.ajog.2024.02.303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014A27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12A92D1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65B1BEA"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4BCD844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2658400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Am J Obstet Gynecol, 2024 Nov;231(5):541.e1-541.e16.</w:t>
            </w:r>
          </w:p>
        </w:tc>
        <w:tc>
          <w:tcPr>
            <w:tcW w:w="1010" w:type="dxa"/>
            <w:tcBorders>
              <w:top w:val="nil"/>
              <w:left w:val="nil"/>
              <w:bottom w:val="single" w:sz="4" w:space="0" w:color="auto"/>
              <w:right w:val="single" w:sz="4" w:space="0" w:color="auto"/>
            </w:tcBorders>
            <w:shd w:val="clear" w:color="auto" w:fill="auto"/>
            <w:vAlign w:val="center"/>
            <w:hideMark/>
          </w:tcPr>
          <w:p w14:paraId="229D3B2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04F28B74"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67DC9D88"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159453A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E85A5C9"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204ADAD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72B952A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CGM with standard care + mobile application with wearable sensors</w:t>
            </w:r>
          </w:p>
        </w:tc>
        <w:tc>
          <w:tcPr>
            <w:tcW w:w="1010" w:type="dxa"/>
            <w:tcBorders>
              <w:top w:val="nil"/>
              <w:left w:val="nil"/>
              <w:bottom w:val="nil"/>
              <w:right w:val="single" w:sz="4" w:space="0" w:color="auto"/>
            </w:tcBorders>
            <w:shd w:val="clear" w:color="auto" w:fill="auto"/>
            <w:vAlign w:val="center"/>
            <w:hideMark/>
          </w:tcPr>
          <w:p w14:paraId="4AA58D0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4C1FA81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standard care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580922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607408E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47885B41"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4835E82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5717519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 blind accelerometer ; Semiquantitative 142-item food-frequency questionnaire</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34A1132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2267783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767C65D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1D5B02D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447968C2"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55219717"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04AE3C54"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2B4D165E"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475FE24C"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5713F9F8"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00B4AA9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lastRenderedPageBreak/>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E00A9E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6A8327A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44965A5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We employed randomly permuted blocks that were stratified by gestational weeks of the GDM diagnosis (early, &lt;24 weeks or late, &gt;24–28 weeks), parity (primiparous or multiparous), and body mass index (&lt;30 or ≥30 kg/m2). The randomization into the intervention and the control arm was performed by study nurses who dispended the next sequentially numbered subject code and opened the corresponding opaque and sealed envelope, which included the arm to be assigned to the subject. The study nurses were masked to the results until the end of study.</w:t>
            </w:r>
          </w:p>
        </w:tc>
      </w:tr>
      <w:tr w:rsidR="001D16E7" w:rsidRPr="001D16E7" w14:paraId="49C5B8A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469747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CA4C24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67BD221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5DD1841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A6D5CD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14ABFE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BAFFE5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59BC52A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28BA9ED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At the baseline, no between-arm differences were found except for protein intake (difference, −1.2%; P=.01) (Table 1).</w:t>
            </w:r>
          </w:p>
        </w:tc>
      </w:tr>
      <w:tr w:rsidR="001D16E7" w:rsidRPr="001D16E7" w14:paraId="70B1273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08FE57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B640BD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2827BEC8"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17CEB98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C741C9A"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573A76B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8EA4A5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4F32B3F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672FB65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The study nurses were masked to the results until the end of study.</w:t>
            </w:r>
          </w:p>
        </w:tc>
      </w:tr>
      <w:tr w:rsidR="001D16E7" w:rsidRPr="001D16E7" w14:paraId="23EDAAF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D79FB5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BACFA3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4607411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vMerge/>
            <w:tcBorders>
              <w:top w:val="nil"/>
              <w:left w:val="single" w:sz="4" w:space="0" w:color="auto"/>
              <w:bottom w:val="single" w:sz="4" w:space="0" w:color="000000"/>
              <w:right w:val="single" w:sz="4" w:space="0" w:color="auto"/>
            </w:tcBorders>
            <w:vAlign w:val="center"/>
            <w:hideMark/>
          </w:tcPr>
          <w:p w14:paraId="1F58923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351F731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FC5541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0371E2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5D8D133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PN</w:t>
            </w:r>
          </w:p>
        </w:tc>
        <w:tc>
          <w:tcPr>
            <w:tcW w:w="3685" w:type="dxa"/>
            <w:tcBorders>
              <w:top w:val="nil"/>
              <w:left w:val="nil"/>
              <w:bottom w:val="nil"/>
              <w:right w:val="single" w:sz="4" w:space="0" w:color="auto"/>
            </w:tcBorders>
            <w:shd w:val="clear" w:color="auto" w:fill="auto"/>
            <w:vAlign w:val="center"/>
            <w:hideMark/>
          </w:tcPr>
          <w:p w14:paraId="082601C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1BDEF4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28EB82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83BB3F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7573F7F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7CFD053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ADE08B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E90C6E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32BD63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53C6330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75A08A1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7F3A95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302350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6B8CC0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1A78A9E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auto" w:fill="auto"/>
            <w:vAlign w:val="center"/>
            <w:hideMark/>
          </w:tcPr>
          <w:p w14:paraId="221B9A1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We performed the analyses according to the intention-to-treat principle; all the pregnancy data, including glucose, physical activity, diet, etc., were considered until delivery or drop-out, along with delivery and neonatal data for every participant. A 2-sided t test was conducted for the continuous outcomes with a significance level of 5%. For the binary variables, we used a chi-square test or Fisher exact test when the expected value was &lt;10. Concerning eMOM use, we investigated the linear correlation (Pearson) between the number of interactions with eMOM and continuous outcomes. For the binary outcomes, we employed a logistic regression. A more detailed description is available in Supplemental Appendix.</w:t>
            </w:r>
          </w:p>
        </w:tc>
      </w:tr>
      <w:tr w:rsidR="001D16E7" w:rsidRPr="001D16E7" w14:paraId="7CB5676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9B45CE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75CCBC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5E02849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21A61D0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3041F0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64C683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C467CE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4732F7AC"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auto" w:fill="auto"/>
            <w:vAlign w:val="center"/>
            <w:hideMark/>
          </w:tcPr>
          <w:p w14:paraId="0954531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0E8CECC"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5028081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ACA65E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31B4CEE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00712D7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72AD00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E5228E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0F8CFA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2442D04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000000" w:fill="E7E6E6"/>
            <w:vAlign w:val="center"/>
            <w:hideMark/>
          </w:tcPr>
          <w:p w14:paraId="323DC7E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788FD0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07B274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F9DE7D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47D40D4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2D0E456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E05264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D60888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B6294B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0FEFD2B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tcBorders>
              <w:top w:val="nil"/>
              <w:left w:val="single" w:sz="4" w:space="0" w:color="auto"/>
              <w:bottom w:val="single" w:sz="4" w:space="0" w:color="000000"/>
              <w:right w:val="single" w:sz="4" w:space="0" w:color="auto"/>
            </w:tcBorders>
            <w:vAlign w:val="center"/>
            <w:hideMark/>
          </w:tcPr>
          <w:p w14:paraId="7E73DD7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7275DF5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69972A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7CFCE0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6A20A5B5"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0181FA8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5429137"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2F0610E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6C4574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0555DA7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49AB21F5"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In the preceding month, the diet data were collected from both arms using a digital, semiquantitative 142-item food-frequency questionnaire during study visits. The dietary intake data in the intervention arm were also collected from a 3-day food diary (part of eMOM).</w:t>
            </w:r>
            <w:r w:rsidRPr="001D16E7">
              <w:rPr>
                <w:rFonts w:ascii="Arial" w:eastAsia="Times New Roman" w:hAnsi="Arial" w:cs="Arial"/>
                <w:color w:val="000000"/>
                <w:kern w:val="0"/>
                <w:sz w:val="14"/>
                <w:szCs w:val="14"/>
                <w14:ligatures w14:val="none"/>
              </w:rPr>
              <w:br/>
            </w:r>
            <w:r w:rsidRPr="001D16E7">
              <w:rPr>
                <w:rFonts w:ascii="Arial" w:eastAsia="Times New Roman" w:hAnsi="Arial" w:cs="Arial"/>
                <w:color w:val="000000"/>
                <w:kern w:val="0"/>
                <w:sz w:val="14"/>
                <w:szCs w:val="14"/>
                <w14:ligatures w14:val="none"/>
              </w:rPr>
              <w:br/>
            </w:r>
            <w:r w:rsidRPr="001D16E7">
              <w:rPr>
                <w:rFonts w:ascii="Arial" w:eastAsia="Times New Roman" w:hAnsi="Arial" w:cs="Arial"/>
                <w:color w:val="000000"/>
                <w:kern w:val="0"/>
                <w:sz w:val="14"/>
                <w:szCs w:val="14"/>
                <w14:ligatures w14:val="none"/>
              </w:rPr>
              <w:br/>
            </w:r>
            <w:r w:rsidRPr="001D16E7">
              <w:rPr>
                <w:rFonts w:ascii="Arial" w:eastAsia="Times New Roman" w:hAnsi="Arial" w:cs="Arial"/>
                <w:color w:val="000000"/>
                <w:kern w:val="0"/>
                <w:sz w:val="14"/>
                <w:szCs w:val="14"/>
                <w14:ligatures w14:val="none"/>
              </w:rPr>
              <w:br/>
              <w:t>During study visits, physical activity data were obtained from both arms with a blind accelerometer (RM42, UKK-Institute, Finland) that classified physical activity into sedentary behavior, light physical activity, and moderate to vigorous physical activity. For the intervention arm, physical activity data were also collected with the activity tracker (Garmin).</w:t>
            </w:r>
          </w:p>
        </w:tc>
      </w:tr>
      <w:tr w:rsidR="001D16E7" w:rsidRPr="001D16E7" w14:paraId="56EDA8C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5C9C35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857008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4CBCD9F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0401DFA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4208F9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670294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7ECDDA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65009E3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63C3A86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429194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031B70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E4838B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53B50A9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6364269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F178A0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7BB183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F9C35D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16CA66B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6DD3BD7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437F9C5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5169FE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0025DA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75CEC02D"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17AF84A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9ED1CDE"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119E2BA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BFE2C7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60FBC56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35D14FB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9F0EAE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879394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D964CD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4A0E2F2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1D34496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437365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A6F9A3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67D3AE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5D4A805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0E2A9F8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7FF5A4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52D87B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EBB7F7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5A1512B4"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757B588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0CBA0A6"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3A36402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E4848D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461F9282"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auto" w:fill="auto"/>
            <w:vAlign w:val="center"/>
            <w:hideMark/>
          </w:tcPr>
          <w:p w14:paraId="444471B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572916B" w14:textId="77777777" w:rsidTr="001D16E7">
        <w:trPr>
          <w:trHeight w:val="283"/>
        </w:trPr>
        <w:tc>
          <w:tcPr>
            <w:tcW w:w="1173" w:type="dxa"/>
            <w:tcBorders>
              <w:top w:val="nil"/>
              <w:left w:val="nil"/>
              <w:bottom w:val="nil"/>
              <w:right w:val="nil"/>
            </w:tcBorders>
            <w:shd w:val="clear" w:color="auto" w:fill="auto"/>
            <w:noWrap/>
            <w:vAlign w:val="bottom"/>
            <w:hideMark/>
          </w:tcPr>
          <w:p w14:paraId="6EDEBCF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7205616B"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53773D88"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20806765"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790B512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423424B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5EF9543A" w14:textId="77777777" w:rsidTr="001D16E7">
        <w:trPr>
          <w:trHeight w:val="283"/>
        </w:trPr>
        <w:tc>
          <w:tcPr>
            <w:tcW w:w="1173" w:type="dxa"/>
            <w:tcBorders>
              <w:top w:val="nil"/>
              <w:left w:val="nil"/>
              <w:bottom w:val="nil"/>
              <w:right w:val="nil"/>
            </w:tcBorders>
            <w:shd w:val="clear" w:color="auto" w:fill="auto"/>
            <w:noWrap/>
            <w:vAlign w:val="bottom"/>
            <w:hideMark/>
          </w:tcPr>
          <w:p w14:paraId="7741B47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2EB66B4B"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273ED92A"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311DED96"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64305859"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2DBA4BC3"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48462A78"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10D7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750F34C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Lee 2022</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3686AE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37D99A7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DOI: 10.3389/fendo.2022.1054697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206FDA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513DBB4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277F1CC"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46D826B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6D52349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Front Endocrinol (Lausanne), 2022 Nov 25:13:1054697.</w:t>
            </w:r>
          </w:p>
        </w:tc>
        <w:tc>
          <w:tcPr>
            <w:tcW w:w="1010" w:type="dxa"/>
            <w:tcBorders>
              <w:top w:val="nil"/>
              <w:left w:val="nil"/>
              <w:bottom w:val="single" w:sz="4" w:space="0" w:color="auto"/>
              <w:right w:val="single" w:sz="4" w:space="0" w:color="auto"/>
            </w:tcBorders>
            <w:shd w:val="clear" w:color="auto" w:fill="auto"/>
            <w:vAlign w:val="center"/>
            <w:hideMark/>
          </w:tcPr>
          <w:p w14:paraId="05B947B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30015235"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3DBB9877"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60D4E59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F742691"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2E83FE3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18BB8AE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Unblinded CGM and retrospective CGM-based individual guidance </w:t>
            </w:r>
          </w:p>
        </w:tc>
        <w:tc>
          <w:tcPr>
            <w:tcW w:w="1010" w:type="dxa"/>
            <w:tcBorders>
              <w:top w:val="nil"/>
              <w:left w:val="nil"/>
              <w:bottom w:val="nil"/>
              <w:right w:val="single" w:sz="4" w:space="0" w:color="auto"/>
            </w:tcBorders>
            <w:shd w:val="clear" w:color="auto" w:fill="auto"/>
            <w:vAlign w:val="center"/>
            <w:hideMark/>
          </w:tcPr>
          <w:p w14:paraId="6DCC5F0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5465DE8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Unblinded CGM without intervention</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317361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0C81ED2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59E8E29A"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55F87F5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393AE1D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Hours of exercise per week; Number of meals per day</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22F69A6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698EE63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2A23BD8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382AB83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168B0773"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564A0DA1"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71F9B19A"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131F522A"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339FDA6B"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1A5666EE"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6EA992A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A6CF71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41515F44"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69C0890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 participants were randomly assigned in a 1:1 ratio to either the intervention group or the control group. The intervention group used FGM for 12 weeks with remote intervention by medical staff and the control group used FGM without intervention. The participants were stratified at randomization according to their baseline HbA1c level (&lt;9.0% or ≥9.0%) and age (&lt;47 or ≥47 years).</w:t>
            </w:r>
          </w:p>
        </w:tc>
      </w:tr>
      <w:tr w:rsidR="001D16E7" w:rsidRPr="001D16E7" w14:paraId="66FBC18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FB77C9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D32CB2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60A8500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3413644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2AFDA7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33D276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C1E34F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6DE30D0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A776D7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The baseline characteristics of participants are shown in Table 1. There were no significant differences in baseline demographics and clinical characteristics between the two groups. </w:t>
            </w:r>
          </w:p>
        </w:tc>
      </w:tr>
      <w:tr w:rsidR="001D16E7" w:rsidRPr="001D16E7" w14:paraId="7B9BFEB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F5D6F8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E8BAB5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0F39E03C"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000000" w:fill="E7E6E6"/>
            <w:vAlign w:val="center"/>
            <w:hideMark/>
          </w:tcPr>
          <w:p w14:paraId="3A5C224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19DFB25"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2A88B00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8D55FF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0CD08B9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3788AE9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Participants underwent different procedures that cannot be blinded.</w:t>
            </w:r>
          </w:p>
        </w:tc>
      </w:tr>
      <w:tr w:rsidR="001D16E7" w:rsidRPr="001D16E7" w14:paraId="1EADD36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4B887B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63A758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6BBCA3E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3EE97EA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000F2BA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D94938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7EC6BD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63F23A73"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nil"/>
              <w:right w:val="single" w:sz="4" w:space="0" w:color="auto"/>
            </w:tcBorders>
            <w:shd w:val="clear" w:color="auto" w:fill="auto"/>
            <w:vAlign w:val="center"/>
            <w:hideMark/>
          </w:tcPr>
          <w:p w14:paraId="5EB926B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A448CE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109573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E64AF4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37A42DE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3081AFD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4EB27C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2DF193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3D6568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40C237D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75E4C87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B59DEB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C6250D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2C332F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25884F0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794BC88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 total of 34 participants (94%) with 17 in each group completed the study and were analyzed for the per-protocol population.</w:t>
            </w:r>
          </w:p>
        </w:tc>
      </w:tr>
      <w:tr w:rsidR="001D16E7" w:rsidRPr="001D16E7" w14:paraId="0E2345C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1C1879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87C855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4C14962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tcBorders>
              <w:top w:val="nil"/>
              <w:left w:val="nil"/>
              <w:bottom w:val="single" w:sz="4" w:space="0" w:color="auto"/>
              <w:right w:val="single" w:sz="4" w:space="0" w:color="auto"/>
            </w:tcBorders>
            <w:shd w:val="clear" w:color="auto" w:fill="auto"/>
            <w:vAlign w:val="center"/>
            <w:hideMark/>
          </w:tcPr>
          <w:p w14:paraId="4CD1227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4E6E66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A39DA3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87606F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02F5089F"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0D5870A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C84B213"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7920DFB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D327BF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14C9A31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1682A1C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339970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9B03C8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90EAE4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4341C71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000000" w:fill="E7E6E6"/>
            <w:vAlign w:val="center"/>
            <w:hideMark/>
          </w:tcPr>
          <w:p w14:paraId="4D7EC43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8D9B92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363610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68E049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0152CD6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609FADC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F5A5D7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3A1E68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515106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4422E69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tcBorders>
              <w:top w:val="nil"/>
              <w:left w:val="single" w:sz="4" w:space="0" w:color="auto"/>
              <w:bottom w:val="single" w:sz="4" w:space="0" w:color="000000"/>
              <w:right w:val="single" w:sz="4" w:space="0" w:color="auto"/>
            </w:tcBorders>
            <w:vAlign w:val="center"/>
            <w:hideMark/>
          </w:tcPr>
          <w:p w14:paraId="09F5A22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3E4CBE1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8C0EAB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BF9165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7DDAF9B8"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54AAFA2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41A3ABB"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2125F44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818A21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740FB1A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191E8D2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In addition, changes in the psychosocial, behavioral, and physical variables were assessed as outcomes; i.e., scores of the DTSQs, DTSQc, PHQ-9, and GAD-7 questionnaires, total daily doses of insulin, the number of scans per day, lifestyle factors such as diet and exercise, and anthropometric variables.</w:t>
            </w:r>
          </w:p>
        </w:tc>
      </w:tr>
      <w:tr w:rsidR="001D16E7" w:rsidRPr="001D16E7" w14:paraId="1852125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D4BF3C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5D4A71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6A1BBA6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44CA19F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9F1833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F953FC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BBCC8C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546E599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286F1E7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845C35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142CA3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A546A8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6387D95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6DA9DB0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1EF72B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763A1D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445A38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5E9E6E3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7EF82D5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FEFC9A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A118F4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EB38A9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48D881DF"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34FB18B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A38E3B2"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4D179C6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DD6FC1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5B9304A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3226813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D29053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383D1A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30F7B3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73F5DA1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9BDB08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980B57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9BA5D0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D8FE96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04F8F02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5D22C23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153889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9BE134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BF7945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3401C05E"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423DA0E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9FCE8E9"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0CAB5F8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57B5AC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0856AE16"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0061260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0F3E895" w14:textId="77777777" w:rsidTr="001D16E7">
        <w:trPr>
          <w:trHeight w:val="283"/>
        </w:trPr>
        <w:tc>
          <w:tcPr>
            <w:tcW w:w="1173" w:type="dxa"/>
            <w:tcBorders>
              <w:top w:val="nil"/>
              <w:left w:val="nil"/>
              <w:bottom w:val="nil"/>
              <w:right w:val="nil"/>
            </w:tcBorders>
            <w:shd w:val="clear" w:color="auto" w:fill="auto"/>
            <w:noWrap/>
            <w:vAlign w:val="bottom"/>
            <w:hideMark/>
          </w:tcPr>
          <w:p w14:paraId="667FEA9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54588B8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63EED6D2"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5CB42961"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06A44815"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676DF8E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4391BE9A" w14:textId="77777777" w:rsidTr="001D16E7">
        <w:trPr>
          <w:trHeight w:val="283"/>
        </w:trPr>
        <w:tc>
          <w:tcPr>
            <w:tcW w:w="1173" w:type="dxa"/>
            <w:tcBorders>
              <w:top w:val="nil"/>
              <w:left w:val="nil"/>
              <w:bottom w:val="nil"/>
              <w:right w:val="nil"/>
            </w:tcBorders>
            <w:shd w:val="clear" w:color="auto" w:fill="auto"/>
            <w:noWrap/>
            <w:vAlign w:val="bottom"/>
            <w:hideMark/>
          </w:tcPr>
          <w:p w14:paraId="282E43F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11F33308"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39F96B06"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308B8E59"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74E0C14C"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6D64800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51C2BA56"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9FD3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3684676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Nystrom 2024</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107F78E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054E801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doi: 10.1177/19322968221101916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F94354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63CD304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4AE21E5"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3673503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00D8C85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J Diabetes Sci Technol. 2022 Jun 8;18(1):89–98. </w:t>
            </w:r>
          </w:p>
        </w:tc>
        <w:tc>
          <w:tcPr>
            <w:tcW w:w="1010" w:type="dxa"/>
            <w:tcBorders>
              <w:top w:val="nil"/>
              <w:left w:val="nil"/>
              <w:bottom w:val="single" w:sz="4" w:space="0" w:color="auto"/>
              <w:right w:val="single" w:sz="4" w:space="0" w:color="auto"/>
            </w:tcBorders>
            <w:shd w:val="clear" w:color="auto" w:fill="auto"/>
            <w:vAlign w:val="center"/>
            <w:hideMark/>
          </w:tcPr>
          <w:p w14:paraId="178B59B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57FDE20D"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41D5FBE1"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492CBF2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63BB358"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3757292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lastRenderedPageBreak/>
              <w:t>Experimental</w:t>
            </w:r>
          </w:p>
        </w:tc>
        <w:tc>
          <w:tcPr>
            <w:tcW w:w="1941" w:type="dxa"/>
            <w:tcBorders>
              <w:top w:val="nil"/>
              <w:left w:val="nil"/>
              <w:bottom w:val="nil"/>
              <w:right w:val="single" w:sz="4" w:space="0" w:color="auto"/>
            </w:tcBorders>
            <w:shd w:val="clear" w:color="auto" w:fill="auto"/>
            <w:vAlign w:val="center"/>
            <w:hideMark/>
          </w:tcPr>
          <w:p w14:paraId="25D2AAA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Unblinded CGM and guidance </w:t>
            </w:r>
          </w:p>
        </w:tc>
        <w:tc>
          <w:tcPr>
            <w:tcW w:w="1010" w:type="dxa"/>
            <w:tcBorders>
              <w:top w:val="nil"/>
              <w:left w:val="nil"/>
              <w:bottom w:val="nil"/>
              <w:right w:val="single" w:sz="4" w:space="0" w:color="auto"/>
            </w:tcBorders>
            <w:shd w:val="clear" w:color="auto" w:fill="auto"/>
            <w:vAlign w:val="center"/>
            <w:hideMark/>
          </w:tcPr>
          <w:p w14:paraId="1DE9178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1237F6C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SMBG and guidance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803D3C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15DFD00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7D4C8957"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7B5C0FE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15DB286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 International Physical Activity Questionnaire (IPAQ)</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13AA9BD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132A44F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57A40C0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4B6F062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74206194"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7C3DDA1E"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6BE5B97E"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6709F5B5"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0423FFFE"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410C5C6A"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194C4E5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F666F3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37C67F3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550BCEE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8FB97F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2421DB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D7A825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2FE8334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7A04108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52A94C2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7018EC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1CE92E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7CE57283"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0967155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Patient characteristics and the evaluated variables at baseline before randomization are presented in Table 1.</w:t>
            </w:r>
          </w:p>
        </w:tc>
      </w:tr>
      <w:tr w:rsidR="001D16E7" w:rsidRPr="001D16E7" w14:paraId="5506F89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3DAF61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220AC1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7A7714B1"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000000" w:fill="E7E6E6"/>
            <w:vAlign w:val="center"/>
            <w:hideMark/>
          </w:tcPr>
          <w:p w14:paraId="4561D3C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E60F4FA"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077AF37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2DB3B2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7F792AF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66726A3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8E1042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8A2FB7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F965D4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66860EB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3FEE6D3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04287F6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B68AA2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954622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6547212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nil"/>
              <w:right w:val="single" w:sz="4" w:space="0" w:color="auto"/>
            </w:tcBorders>
            <w:shd w:val="clear" w:color="auto" w:fill="auto"/>
            <w:vAlign w:val="center"/>
            <w:hideMark/>
          </w:tcPr>
          <w:p w14:paraId="74D0AA7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7A2546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0AB98A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20C5ED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5FA02B7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1EB02C5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759827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98D003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14DD6B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7232B55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1E63D7C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D89415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FF02B7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BC11CD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3A7D754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7A08C56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All continuous variables were described by mean, SD, median, and range. Categorical variables were described as numbers (n) and percentage (%). The main analyses were performed using general linear models with sequence (CGM-SMBG or SMBG-CGM), patient (nested within sequence), treatment period (1 or 2), and treatment (CGM or SMBG) as explanatory variables for normally distributed variables, and using nonparametric permutation test for the difference in means for non-normally distributed variables. Subjects with missing data on one of the treatment periods were excluded from the analyses. Correlation analyses were performed using Spearman nonparametric rank correlation coefficient. All tests were two-tailed and conducted at .05 significance level. All analyses were performed using SAS software version 9.4 (SAS Institute Inc., Cary, North Carolina).</w:t>
            </w:r>
          </w:p>
        </w:tc>
      </w:tr>
      <w:tr w:rsidR="001D16E7" w:rsidRPr="001D16E7" w14:paraId="0315BEC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59C0FC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F15299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49E974D3"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PN</w:t>
            </w:r>
          </w:p>
        </w:tc>
        <w:tc>
          <w:tcPr>
            <w:tcW w:w="3685" w:type="dxa"/>
            <w:tcBorders>
              <w:top w:val="nil"/>
              <w:left w:val="nil"/>
              <w:bottom w:val="single" w:sz="4" w:space="0" w:color="auto"/>
              <w:right w:val="single" w:sz="4" w:space="0" w:color="auto"/>
            </w:tcBorders>
            <w:shd w:val="clear" w:color="auto" w:fill="auto"/>
            <w:vAlign w:val="center"/>
            <w:hideMark/>
          </w:tcPr>
          <w:p w14:paraId="1C339CD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7526DC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445834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9C94B1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2A520F6A"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2926247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3C88B6E"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7049749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D0B42F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4413C8E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461020D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6495DE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F99E50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DF5521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475ABD2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000000" w:fill="E7E6E6"/>
            <w:vAlign w:val="center"/>
            <w:hideMark/>
          </w:tcPr>
          <w:p w14:paraId="7F18678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EDA63C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7A3F3B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7CA291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0197679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286DFEF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D94229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B31C04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EAA988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71AB749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tcBorders>
              <w:top w:val="nil"/>
              <w:left w:val="single" w:sz="4" w:space="0" w:color="auto"/>
              <w:bottom w:val="single" w:sz="4" w:space="0" w:color="000000"/>
              <w:right w:val="single" w:sz="4" w:space="0" w:color="auto"/>
            </w:tcBorders>
            <w:vAlign w:val="center"/>
            <w:hideMark/>
          </w:tcPr>
          <w:p w14:paraId="59A5ED7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66E11CA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6FF8FF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54398E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1D4EA8E5"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6DB2292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569FE53"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6514ECB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ECADFB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77F5F74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321D343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Grade of physical activity was recorded by the International Physical Activity Questionnaire (IPAQ). 14 IPAQ consists of four questions of various levels of physical activity during the last seven days.</w:t>
            </w:r>
          </w:p>
        </w:tc>
      </w:tr>
      <w:tr w:rsidR="001D16E7" w:rsidRPr="001D16E7" w14:paraId="339F63A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E4E7AC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3C9598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6E7D125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4F34B20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4449BE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4BFE49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0B0B77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267C195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01E4094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854967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71D756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02D359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216E184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17A74D7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78B65F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01E30B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13EFD1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3880792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33B4BB8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74F5758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9D37D7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181E63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2F68F896"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691565F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D34DF6B"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07AB33E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DF3200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032070B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0E9174A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3256B1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06BF7E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912C98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60C98A0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2EC0BD2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104DEB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D8B319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FFA69F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64BEEE3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0BC649A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FAE04C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2E1ECA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0407D0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7509AF36"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0F93AF0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813A24E"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41FABF8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B9196F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2B58AF03"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043ECB8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7F68300" w14:textId="77777777" w:rsidTr="001D16E7">
        <w:trPr>
          <w:trHeight w:val="283"/>
        </w:trPr>
        <w:tc>
          <w:tcPr>
            <w:tcW w:w="1173" w:type="dxa"/>
            <w:tcBorders>
              <w:top w:val="nil"/>
              <w:left w:val="nil"/>
              <w:bottom w:val="nil"/>
              <w:right w:val="nil"/>
            </w:tcBorders>
            <w:shd w:val="clear" w:color="auto" w:fill="auto"/>
            <w:noWrap/>
            <w:vAlign w:val="bottom"/>
            <w:hideMark/>
          </w:tcPr>
          <w:p w14:paraId="2446927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426E542C"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1D9FED82"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1B675FAF"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67CE6CAD"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752C1A36"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6221B193" w14:textId="77777777" w:rsidTr="001D16E7">
        <w:trPr>
          <w:trHeight w:val="283"/>
        </w:trPr>
        <w:tc>
          <w:tcPr>
            <w:tcW w:w="1173" w:type="dxa"/>
            <w:tcBorders>
              <w:top w:val="nil"/>
              <w:left w:val="nil"/>
              <w:bottom w:val="nil"/>
              <w:right w:val="nil"/>
            </w:tcBorders>
            <w:shd w:val="clear" w:color="auto" w:fill="auto"/>
            <w:noWrap/>
            <w:vAlign w:val="bottom"/>
            <w:hideMark/>
          </w:tcPr>
          <w:p w14:paraId="070C7ABC"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04CD28B6"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4D9F7A4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7A21C29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7C31FBE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249ACFC6"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18584807"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63BA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214B5B0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Taylor 2019</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62F0ABF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4602A71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doi: 10.1007/s13300-019-0572-z</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ED1985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79CF14A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8D687FB"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0DCFE3A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7B5E20F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Diabetes Ther. 2019 Jan 31;10(2):509–522.</w:t>
            </w:r>
          </w:p>
        </w:tc>
        <w:tc>
          <w:tcPr>
            <w:tcW w:w="1010" w:type="dxa"/>
            <w:tcBorders>
              <w:top w:val="nil"/>
              <w:left w:val="nil"/>
              <w:bottom w:val="single" w:sz="4" w:space="0" w:color="auto"/>
              <w:right w:val="single" w:sz="4" w:space="0" w:color="auto"/>
            </w:tcBorders>
            <w:shd w:val="clear" w:color="auto" w:fill="auto"/>
            <w:vAlign w:val="center"/>
            <w:hideMark/>
          </w:tcPr>
          <w:p w14:paraId="65246C2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41558003"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081CD241"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54BAAEF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BCD1961"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792B6AA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11A71A3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Unblinded CGM with prospective CGM-based </w:t>
            </w:r>
            <w:r w:rsidRPr="001D16E7">
              <w:rPr>
                <w:rFonts w:ascii="Arial" w:eastAsia="Times New Roman" w:hAnsi="Arial" w:cs="Arial"/>
                <w:color w:val="000000"/>
                <w:kern w:val="0"/>
                <w:sz w:val="14"/>
                <w:szCs w:val="14"/>
                <w14:ligatures w14:val="none"/>
              </w:rPr>
              <w:lastRenderedPageBreak/>
              <w:t>guidance on diet and activity</w:t>
            </w:r>
          </w:p>
        </w:tc>
        <w:tc>
          <w:tcPr>
            <w:tcW w:w="1010" w:type="dxa"/>
            <w:tcBorders>
              <w:top w:val="nil"/>
              <w:left w:val="nil"/>
              <w:bottom w:val="nil"/>
              <w:right w:val="single" w:sz="4" w:space="0" w:color="auto"/>
            </w:tcBorders>
            <w:shd w:val="clear" w:color="auto" w:fill="auto"/>
            <w:vAlign w:val="center"/>
            <w:hideMark/>
          </w:tcPr>
          <w:p w14:paraId="52A503D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lastRenderedPageBreak/>
              <w:t>Comparator</w:t>
            </w:r>
          </w:p>
        </w:tc>
        <w:tc>
          <w:tcPr>
            <w:tcW w:w="2108" w:type="dxa"/>
            <w:tcBorders>
              <w:top w:val="nil"/>
              <w:left w:val="nil"/>
              <w:bottom w:val="nil"/>
              <w:right w:val="single" w:sz="4" w:space="0" w:color="auto"/>
            </w:tcBorders>
            <w:shd w:val="clear" w:color="auto" w:fill="auto"/>
            <w:hideMark/>
          </w:tcPr>
          <w:p w14:paraId="1F91763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Blinded CGM (without feedback)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A70384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2E2AD22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483E0DCA"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465377B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0B24099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Seven consecutive days of ambulatory accelerometer monitoring</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0090872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439CA2F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6B252E2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0C698C7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69BAF119"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0FA3DB72"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1C266ED2"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09762FEE"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1619756F"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459F18F3"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43C03AC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09ABC7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0B3C8CC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2CF1719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849052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38D087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48B273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796CE66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61CF49A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E824CA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457643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7AC4A8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67B4E26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215D974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Baseline characteristics were similar between groups.</w:t>
            </w:r>
          </w:p>
        </w:tc>
      </w:tr>
      <w:tr w:rsidR="001D16E7" w:rsidRPr="001D16E7" w14:paraId="1557354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7C44B5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089F3F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1760EB2D"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000000" w:fill="E7E6E6"/>
            <w:vAlign w:val="center"/>
            <w:hideMark/>
          </w:tcPr>
          <w:p w14:paraId="7C2AE9C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7EABEA8"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4DA3073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2585B1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12AC3FB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7515946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6C938F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3A1167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5E7882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0E5E3CF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5055CDE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2B67AC4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09C177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F3D8DC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677582E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nil"/>
              <w:right w:val="single" w:sz="4" w:space="0" w:color="auto"/>
            </w:tcBorders>
            <w:shd w:val="clear" w:color="auto" w:fill="auto"/>
            <w:vAlign w:val="center"/>
            <w:hideMark/>
          </w:tcPr>
          <w:p w14:paraId="222CCAA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B31075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34A104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B5FCC9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7537767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6BC7CDD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2D94F4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2F2E0F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AADD15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09445CA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1EA45EE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24DD69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5C4548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7EC90A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2976DC1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4FE654B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 two groups of subjects were 10 people each, but Table 2 and Table 3 show that the number of analyzed subjects was 8 VS 5 and 9 VS 6.</w:t>
            </w:r>
            <w:r w:rsidRPr="001D16E7">
              <w:rPr>
                <w:rFonts w:ascii="Arial" w:eastAsia="Times New Roman" w:hAnsi="Arial" w:cs="Arial"/>
                <w:color w:val="000000"/>
                <w:kern w:val="0"/>
                <w:sz w:val="14"/>
                <w:szCs w:val="14"/>
                <w14:ligatures w14:val="none"/>
              </w:rPr>
              <w:br/>
            </w:r>
            <w:r w:rsidRPr="001D16E7">
              <w:rPr>
                <w:rFonts w:ascii="Arial" w:eastAsia="Times New Roman" w:hAnsi="Arial" w:cs="Arial"/>
                <w:color w:val="000000"/>
                <w:kern w:val="0"/>
                <w:sz w:val="14"/>
                <w:szCs w:val="14"/>
                <w14:ligatures w14:val="none"/>
              </w:rPr>
              <w:br/>
              <w:t>Statistical analysis was conducted using SPSS Statistics 25 (IBM Corp, 2017). Analysis of covariance (ANCOVA) was used to test between-group differences at 12 weeks, using baseline measures as covariates [32]. The model residuals were examined for normality and constant variance. Where these assumptions were not met, transformations of the variables were considered. Log (natural) transformation improved the distributional assumptions for serum LDL-C, GV indices and MeS, and P values from the transformed analyses are reported. Statistical significance was determined at P &lt; 0.05. Data are presented as mean ± SD.</w:t>
            </w:r>
          </w:p>
        </w:tc>
      </w:tr>
      <w:tr w:rsidR="001D16E7" w:rsidRPr="001D16E7" w14:paraId="3ED31FF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F2D2E7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35CC1D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2884D51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tcBorders>
              <w:top w:val="nil"/>
              <w:left w:val="nil"/>
              <w:bottom w:val="single" w:sz="4" w:space="0" w:color="auto"/>
              <w:right w:val="single" w:sz="4" w:space="0" w:color="auto"/>
            </w:tcBorders>
            <w:shd w:val="clear" w:color="auto" w:fill="auto"/>
            <w:vAlign w:val="center"/>
            <w:hideMark/>
          </w:tcPr>
          <w:p w14:paraId="0AF046A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2EECE9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47E933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6E24CD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72AAC638"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1C8344B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FDA2190"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4E78F2C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10616C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31A3C3E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729E597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8C7DF8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E465F2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CBD9D8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71514AF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000000" w:fill="E7E6E6"/>
            <w:vAlign w:val="center"/>
            <w:hideMark/>
          </w:tcPr>
          <w:p w14:paraId="56B6AAE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3AD02A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6D5FB1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A0E165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497BECE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323C704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30A32F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F4BA1D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38CF23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5135603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vMerge/>
            <w:tcBorders>
              <w:top w:val="nil"/>
              <w:left w:val="single" w:sz="4" w:space="0" w:color="auto"/>
              <w:bottom w:val="single" w:sz="4" w:space="0" w:color="000000"/>
              <w:right w:val="single" w:sz="4" w:space="0" w:color="auto"/>
            </w:tcBorders>
            <w:vAlign w:val="center"/>
            <w:hideMark/>
          </w:tcPr>
          <w:p w14:paraId="07B9840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5B003CB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953142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33A4E1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5ED22A88"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3FB6985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B7E0B2E"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332722C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F6D4F3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1F8573B6"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5DB4C88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Seven consecutive days of ambulatory accelerometer monitoring: percentage of time spent in sedentary behaviour daily, percentage of time spent in moderate/vigorous activity daily.</w:t>
            </w:r>
          </w:p>
        </w:tc>
      </w:tr>
      <w:tr w:rsidR="001D16E7" w:rsidRPr="001D16E7" w14:paraId="57D137A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D7FD4A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C0CF42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37FEBFC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430FFFB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EA782C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051531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AED8D7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265A097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672918C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69CC3A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B4FC30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DFA0E7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2D095E6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5B78067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3BF3D6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70B590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964311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53BB683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5799D64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5083302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AA2CAA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244E0F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5776AF48"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7F2F314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DB25127"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53DA8E8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29B76E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212DB19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7103E69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8A1F6F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CE0096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9D686A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75F83F14"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4F98EBF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2327F6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88D3CF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D68057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3AA6F2E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1C29DF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2FF9FD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64E12C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C33CC1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1A28653F"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1AC0D6D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C3FC19F"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53A501B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C3F528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244E9DE0"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770B6C1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567B11B" w14:textId="77777777" w:rsidTr="001D16E7">
        <w:trPr>
          <w:trHeight w:val="283"/>
        </w:trPr>
        <w:tc>
          <w:tcPr>
            <w:tcW w:w="1173" w:type="dxa"/>
            <w:tcBorders>
              <w:top w:val="nil"/>
              <w:left w:val="nil"/>
              <w:bottom w:val="nil"/>
              <w:right w:val="nil"/>
            </w:tcBorders>
            <w:shd w:val="clear" w:color="auto" w:fill="auto"/>
            <w:noWrap/>
            <w:vAlign w:val="bottom"/>
            <w:hideMark/>
          </w:tcPr>
          <w:p w14:paraId="04F3BB0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155A6285"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47824888"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6C25566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6F71AFAC"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776D411B"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5E16FBB4" w14:textId="77777777" w:rsidTr="001D16E7">
        <w:trPr>
          <w:trHeight w:val="283"/>
        </w:trPr>
        <w:tc>
          <w:tcPr>
            <w:tcW w:w="1173" w:type="dxa"/>
            <w:tcBorders>
              <w:top w:val="nil"/>
              <w:left w:val="nil"/>
              <w:bottom w:val="nil"/>
              <w:right w:val="nil"/>
            </w:tcBorders>
            <w:shd w:val="clear" w:color="auto" w:fill="auto"/>
            <w:noWrap/>
            <w:vAlign w:val="bottom"/>
            <w:hideMark/>
          </w:tcPr>
          <w:p w14:paraId="66021BD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79F4034A"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212F2073"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27FCAB47"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234391EB"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7241B704"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43469861"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30DE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7FF9CEE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Yan 2022</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2D84632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4ADC3E7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doi: 10.3389/fendo.2022.832102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E54FB4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1D3988E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A5374EE"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0650A87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5F5CA8C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Front Endocrinol (Lausanne), 2022 Feb 10:13:832102.</w:t>
            </w:r>
          </w:p>
        </w:tc>
        <w:tc>
          <w:tcPr>
            <w:tcW w:w="1010" w:type="dxa"/>
            <w:tcBorders>
              <w:top w:val="nil"/>
              <w:left w:val="nil"/>
              <w:bottom w:val="single" w:sz="4" w:space="0" w:color="auto"/>
              <w:right w:val="single" w:sz="4" w:space="0" w:color="auto"/>
            </w:tcBorders>
            <w:shd w:val="clear" w:color="auto" w:fill="auto"/>
            <w:vAlign w:val="center"/>
            <w:hideMark/>
          </w:tcPr>
          <w:p w14:paraId="00C41E0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7EBFF748"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257E8D14"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02F70A5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FFBD0B5"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4EB9AE7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4466300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Unblinded CGM and CGM-based guidance </w:t>
            </w:r>
          </w:p>
        </w:tc>
        <w:tc>
          <w:tcPr>
            <w:tcW w:w="1010" w:type="dxa"/>
            <w:tcBorders>
              <w:top w:val="nil"/>
              <w:left w:val="nil"/>
              <w:bottom w:val="nil"/>
              <w:right w:val="single" w:sz="4" w:space="0" w:color="auto"/>
            </w:tcBorders>
            <w:shd w:val="clear" w:color="auto" w:fill="auto"/>
            <w:vAlign w:val="center"/>
            <w:hideMark/>
          </w:tcPr>
          <w:p w14:paraId="1F4DEDA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0BA35A2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Blinded CGM (with feedback after wear)</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4C6DB1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2BCF04E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71408914"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3A8291D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3E218FA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Daily exercise time(min/day); Energy </w:t>
            </w:r>
            <w:r w:rsidRPr="001D16E7">
              <w:rPr>
                <w:rFonts w:ascii="Arial" w:eastAsia="Times New Roman" w:hAnsi="Arial" w:cs="Arial"/>
                <w:color w:val="000000"/>
                <w:kern w:val="0"/>
                <w:sz w:val="14"/>
                <w:szCs w:val="14"/>
                <w14:ligatures w14:val="none"/>
              </w:rPr>
              <w:lastRenderedPageBreak/>
              <w:t>intake, number of meals.</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28914D3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lastRenderedPageBreak/>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694B21D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025F566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1E81B66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150885B5"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53D7C36B"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1770C327"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5BFB7C7E"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59E3D8FF"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6412B2B5"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02FE26C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B2278B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247D9E7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0235C6A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919D35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C5EB2E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8014C8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04E1113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495E135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358FDAA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ECC9FE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B1FDDD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108FBC9C"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7543653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Participant characteristics at baseline were similar between the study groups except insulin dose and the percentage of acarbose use</w:t>
            </w:r>
          </w:p>
        </w:tc>
      </w:tr>
      <w:tr w:rsidR="001D16E7" w:rsidRPr="001D16E7" w14:paraId="3495D8F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AC5396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B38D9E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3F0B20BF"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000000" w:fill="E7E6E6"/>
            <w:vAlign w:val="center"/>
            <w:hideMark/>
          </w:tcPr>
          <w:p w14:paraId="28F405F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1BC211B"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73B1DF8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9D885A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528B074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3AA39C9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E02FC9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94EDC2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15FB73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500512B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vMerge/>
            <w:tcBorders>
              <w:top w:val="nil"/>
              <w:left w:val="single" w:sz="4" w:space="0" w:color="auto"/>
              <w:bottom w:val="single" w:sz="4" w:space="0" w:color="000000"/>
              <w:right w:val="single" w:sz="4" w:space="0" w:color="auto"/>
            </w:tcBorders>
            <w:vAlign w:val="center"/>
            <w:hideMark/>
          </w:tcPr>
          <w:p w14:paraId="6DAC173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2F3036A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3A0C01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8F6E63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12EB738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nil"/>
              <w:right w:val="single" w:sz="4" w:space="0" w:color="auto"/>
            </w:tcBorders>
            <w:shd w:val="clear" w:color="auto" w:fill="auto"/>
            <w:vAlign w:val="center"/>
            <w:hideMark/>
          </w:tcPr>
          <w:p w14:paraId="6DBAB7F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3B2764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7AC857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08840C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6629EE6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71AAE22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0B9052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070CE6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2ABE16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46F2C99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6B2B8C7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164B459"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506908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7E3D7E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7ADE68B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416456D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All statistical analyses were performed using SPSS version 22.0 software (IBM Corp., Foster City, CA, USA). All variables were tested for normal distribution. Data are presented as mean (95% CI) or percentage. Differences between the two groups were examined using Student’s unpaired t-test (insulin dose) or the Mann–Whitney U-test (age, diabetic duration, BMI, exercise time, carbohydrate, calories, and daily meal frequency at baseline). The parameters (TIR, MBG, CV, and SDBG) assessed by three FGMs, and HbA1c, C-peptide, insulin, and metformin dose, and lifestyles at baseline and endpoint were analyzed by a mixed-model ANOVA with time as the within-subject factor and groups as the between-subject factor. The categorical data were examined with the chi-square test. All comparisons were 2-sided at a 5% significance level. A p value &lt; 0.05 was considered statistically significant.</w:t>
            </w:r>
          </w:p>
        </w:tc>
      </w:tr>
      <w:tr w:rsidR="001D16E7" w:rsidRPr="001D16E7" w14:paraId="51B1E6C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F679B4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4BD415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7B81AB0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tcBorders>
              <w:top w:val="nil"/>
              <w:left w:val="nil"/>
              <w:bottom w:val="single" w:sz="4" w:space="0" w:color="auto"/>
              <w:right w:val="single" w:sz="4" w:space="0" w:color="auto"/>
            </w:tcBorders>
            <w:shd w:val="clear" w:color="auto" w:fill="auto"/>
            <w:vAlign w:val="center"/>
            <w:hideMark/>
          </w:tcPr>
          <w:p w14:paraId="388B43B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 experimental group and control group had 101 and 102 individuals, respectively, with 83 and 89 individuals included in the final analysis.</w:t>
            </w:r>
          </w:p>
        </w:tc>
      </w:tr>
      <w:tr w:rsidR="001D16E7" w:rsidRPr="001D16E7" w14:paraId="5586F23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0EE25B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B29F91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544664E9"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2B9A324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E126F26"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35079C9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0105BC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0E9D96D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4EB1979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dropoutout rate is 15%.</w:t>
            </w:r>
          </w:p>
        </w:tc>
      </w:tr>
      <w:tr w:rsidR="001D16E7" w:rsidRPr="001D16E7" w14:paraId="5C220245"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43EB18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42DBF7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0A172B40"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35E2E2C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BFB2D0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FBDEA1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3C9F96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0670B83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2D589FE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4D9FEB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DFBEDD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4DF373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72559C4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5959608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7AEFEA48"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A0E08E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779406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21A8236E"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000000" w:fill="E7E6E6"/>
            <w:vAlign w:val="center"/>
            <w:hideMark/>
          </w:tcPr>
          <w:p w14:paraId="4A640A6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D342386"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60FBB65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38E9D3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0131312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573667A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Secondary outcomes included TBR, percentage time spent in hyperglycemia &gt; 10.0 mmol/l (time above target range, TAR), 24 h mean blood glucose (MBG), standard deviation of blood glucose (SDBG), CV, hourly mean blood glucose (the average of 14 days during FGM), HbA1c, C-peptide, and daily exercise time, energy intake, number of meals, and insulin dose per day during FGM.</w:t>
            </w:r>
          </w:p>
        </w:tc>
      </w:tr>
      <w:tr w:rsidR="001D16E7" w:rsidRPr="001D16E7" w14:paraId="736C871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443C28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68A1EF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1BD1C6F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59CB9DA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3768ACD"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58701E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761BE1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0BC6156E"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4930E2B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835D912"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5B7D22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8053F5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1C5BB00B"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047D5BC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F65AAC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24D57F3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D7DA47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481A3F8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32039B3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6CC35E40"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A545C9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170183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245CF0C3"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1C8D1DF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75C66FC1"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1E03AF1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E5FF5B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126265D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63E8D1D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44050DB"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8BA32BA"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A38EDE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750B72B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533C882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390D05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26AB1B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2313A6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059AA21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18482A7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39A33C19"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596A38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7F0B614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729FE3B1"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7AEEE3B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64F5EDB"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464569B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FF57B2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37817F2D"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7DF8A14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8CC164E" w14:textId="77777777" w:rsidTr="001D16E7">
        <w:trPr>
          <w:trHeight w:val="283"/>
        </w:trPr>
        <w:tc>
          <w:tcPr>
            <w:tcW w:w="1173" w:type="dxa"/>
            <w:tcBorders>
              <w:top w:val="nil"/>
              <w:left w:val="nil"/>
              <w:bottom w:val="nil"/>
              <w:right w:val="nil"/>
            </w:tcBorders>
            <w:shd w:val="clear" w:color="auto" w:fill="auto"/>
            <w:noWrap/>
            <w:vAlign w:val="bottom"/>
            <w:hideMark/>
          </w:tcPr>
          <w:p w14:paraId="6DF6D76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31B1FD62"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14525B5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3687D28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13A56E46"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4C84415B"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330524BA" w14:textId="77777777" w:rsidTr="001D16E7">
        <w:trPr>
          <w:trHeight w:val="283"/>
        </w:trPr>
        <w:tc>
          <w:tcPr>
            <w:tcW w:w="1173" w:type="dxa"/>
            <w:tcBorders>
              <w:top w:val="nil"/>
              <w:left w:val="nil"/>
              <w:bottom w:val="nil"/>
              <w:right w:val="nil"/>
            </w:tcBorders>
            <w:shd w:val="clear" w:color="auto" w:fill="auto"/>
            <w:noWrap/>
            <w:vAlign w:val="bottom"/>
            <w:hideMark/>
          </w:tcPr>
          <w:p w14:paraId="1880647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941" w:type="dxa"/>
            <w:tcBorders>
              <w:top w:val="nil"/>
              <w:left w:val="nil"/>
              <w:bottom w:val="nil"/>
              <w:right w:val="nil"/>
            </w:tcBorders>
            <w:shd w:val="clear" w:color="auto" w:fill="auto"/>
            <w:noWrap/>
            <w:vAlign w:val="bottom"/>
            <w:hideMark/>
          </w:tcPr>
          <w:p w14:paraId="1099D5B6"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1010" w:type="dxa"/>
            <w:tcBorders>
              <w:top w:val="nil"/>
              <w:left w:val="nil"/>
              <w:bottom w:val="nil"/>
              <w:right w:val="nil"/>
            </w:tcBorders>
            <w:shd w:val="clear" w:color="auto" w:fill="auto"/>
            <w:noWrap/>
            <w:vAlign w:val="bottom"/>
            <w:hideMark/>
          </w:tcPr>
          <w:p w14:paraId="78A8635B"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2108" w:type="dxa"/>
            <w:tcBorders>
              <w:top w:val="nil"/>
              <w:left w:val="nil"/>
              <w:bottom w:val="nil"/>
              <w:right w:val="nil"/>
            </w:tcBorders>
            <w:shd w:val="clear" w:color="auto" w:fill="auto"/>
            <w:noWrap/>
            <w:vAlign w:val="bottom"/>
            <w:hideMark/>
          </w:tcPr>
          <w:p w14:paraId="6EF89BC2"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851" w:type="dxa"/>
            <w:tcBorders>
              <w:top w:val="nil"/>
              <w:left w:val="nil"/>
              <w:bottom w:val="nil"/>
              <w:right w:val="nil"/>
            </w:tcBorders>
            <w:shd w:val="clear" w:color="auto" w:fill="auto"/>
            <w:noWrap/>
            <w:vAlign w:val="bottom"/>
            <w:hideMark/>
          </w:tcPr>
          <w:p w14:paraId="527C4B80"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c>
          <w:tcPr>
            <w:tcW w:w="3685" w:type="dxa"/>
            <w:tcBorders>
              <w:top w:val="nil"/>
              <w:left w:val="nil"/>
              <w:bottom w:val="nil"/>
              <w:right w:val="nil"/>
            </w:tcBorders>
            <w:shd w:val="clear" w:color="auto" w:fill="auto"/>
            <w:noWrap/>
            <w:vAlign w:val="bottom"/>
            <w:hideMark/>
          </w:tcPr>
          <w:p w14:paraId="0569483E" w14:textId="77777777" w:rsidR="001D16E7" w:rsidRPr="001D16E7" w:rsidRDefault="001D16E7" w:rsidP="001D16E7">
            <w:pPr>
              <w:widowControl/>
              <w:spacing w:after="0" w:line="240" w:lineRule="auto"/>
              <w:jc w:val="left"/>
              <w:rPr>
                <w:rFonts w:ascii="Times New Roman" w:eastAsia="Times New Roman" w:hAnsi="Times New Roman" w:cs="Times New Roman"/>
                <w:kern w:val="0"/>
                <w:sz w:val="14"/>
                <w:szCs w:val="14"/>
                <w14:ligatures w14:val="none"/>
              </w:rPr>
            </w:pPr>
          </w:p>
        </w:tc>
      </w:tr>
      <w:tr w:rsidR="001D16E7" w:rsidRPr="001D16E7" w14:paraId="0098A380" w14:textId="77777777" w:rsidTr="001D16E7">
        <w:trPr>
          <w:trHeight w:val="283"/>
        </w:trPr>
        <w:tc>
          <w:tcPr>
            <w:tcW w:w="11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EC1D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Unique ID</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39405AB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Yoo 2008</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14:paraId="74E5A62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Study ID</w:t>
            </w:r>
          </w:p>
        </w:tc>
        <w:tc>
          <w:tcPr>
            <w:tcW w:w="2108" w:type="dxa"/>
            <w:tcBorders>
              <w:top w:val="single" w:sz="4" w:space="0" w:color="auto"/>
              <w:left w:val="nil"/>
              <w:bottom w:val="single" w:sz="4" w:space="0" w:color="auto"/>
              <w:right w:val="single" w:sz="4" w:space="0" w:color="auto"/>
            </w:tcBorders>
            <w:shd w:val="clear" w:color="auto" w:fill="auto"/>
            <w:vAlign w:val="center"/>
            <w:hideMark/>
          </w:tcPr>
          <w:p w14:paraId="2924076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doi: 10.1016/j.diabres.2008.06.015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63DB1B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Assessor</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67D8BB5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EDAEC9D"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vAlign w:val="center"/>
            <w:hideMark/>
          </w:tcPr>
          <w:p w14:paraId="7AC5084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Ref or Label</w:t>
            </w:r>
          </w:p>
        </w:tc>
        <w:tc>
          <w:tcPr>
            <w:tcW w:w="1941" w:type="dxa"/>
            <w:tcBorders>
              <w:top w:val="nil"/>
              <w:left w:val="nil"/>
              <w:bottom w:val="single" w:sz="4" w:space="0" w:color="auto"/>
              <w:right w:val="single" w:sz="4" w:space="0" w:color="auto"/>
            </w:tcBorders>
            <w:shd w:val="clear" w:color="auto" w:fill="auto"/>
            <w:vAlign w:val="center"/>
            <w:hideMark/>
          </w:tcPr>
          <w:p w14:paraId="73DAFD5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Diabetes Res Clin Pract, 2008 Oct;82(1):73-9.</w:t>
            </w:r>
          </w:p>
        </w:tc>
        <w:tc>
          <w:tcPr>
            <w:tcW w:w="1010" w:type="dxa"/>
            <w:tcBorders>
              <w:top w:val="nil"/>
              <w:left w:val="nil"/>
              <w:bottom w:val="single" w:sz="4" w:space="0" w:color="auto"/>
              <w:right w:val="single" w:sz="4" w:space="0" w:color="auto"/>
            </w:tcBorders>
            <w:shd w:val="clear" w:color="auto" w:fill="auto"/>
            <w:vAlign w:val="center"/>
            <w:hideMark/>
          </w:tcPr>
          <w:p w14:paraId="3335892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Aim</w:t>
            </w:r>
          </w:p>
        </w:tc>
        <w:tc>
          <w:tcPr>
            <w:tcW w:w="2108" w:type="dxa"/>
            <w:tcBorders>
              <w:top w:val="nil"/>
              <w:left w:val="nil"/>
              <w:bottom w:val="single" w:sz="4" w:space="0" w:color="auto"/>
              <w:right w:val="single" w:sz="4" w:space="0" w:color="auto"/>
            </w:tcBorders>
            <w:shd w:val="clear" w:color="auto" w:fill="auto"/>
            <w:hideMark/>
          </w:tcPr>
          <w:p w14:paraId="27DBB74C"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assignment to intervention (the 'intention-to-treat' effect)</w:t>
            </w:r>
          </w:p>
        </w:tc>
        <w:tc>
          <w:tcPr>
            <w:tcW w:w="851" w:type="dxa"/>
            <w:tcBorders>
              <w:top w:val="nil"/>
              <w:left w:val="nil"/>
              <w:bottom w:val="nil"/>
              <w:right w:val="nil"/>
            </w:tcBorders>
            <w:shd w:val="clear" w:color="auto" w:fill="auto"/>
            <w:vAlign w:val="center"/>
            <w:hideMark/>
          </w:tcPr>
          <w:p w14:paraId="3313AA70" w14:textId="77777777" w:rsidR="001D16E7" w:rsidRPr="001D16E7" w:rsidRDefault="001D16E7" w:rsidP="001D16E7">
            <w:pPr>
              <w:widowControl/>
              <w:spacing w:after="240" w:line="240" w:lineRule="auto"/>
              <w:jc w:val="left"/>
              <w:rPr>
                <w:rFonts w:ascii="Arial" w:eastAsia="Times New Roman" w:hAnsi="Arial" w:cs="Arial"/>
                <w:color w:val="000000"/>
                <w:kern w:val="0"/>
                <w:sz w:val="14"/>
                <w:szCs w:val="14"/>
                <w14:ligatures w14:val="none"/>
              </w:rPr>
            </w:pPr>
          </w:p>
        </w:tc>
        <w:tc>
          <w:tcPr>
            <w:tcW w:w="3685" w:type="dxa"/>
            <w:tcBorders>
              <w:top w:val="nil"/>
              <w:left w:val="single" w:sz="4" w:space="0" w:color="auto"/>
              <w:bottom w:val="single" w:sz="4" w:space="0" w:color="auto"/>
              <w:right w:val="single" w:sz="4" w:space="0" w:color="auto"/>
            </w:tcBorders>
            <w:shd w:val="clear" w:color="auto" w:fill="auto"/>
            <w:noWrap/>
            <w:vAlign w:val="center"/>
            <w:hideMark/>
          </w:tcPr>
          <w:p w14:paraId="147E5DA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432A035" w14:textId="77777777" w:rsidTr="001D16E7">
        <w:trPr>
          <w:trHeight w:val="283"/>
        </w:trPr>
        <w:tc>
          <w:tcPr>
            <w:tcW w:w="1173" w:type="dxa"/>
            <w:tcBorders>
              <w:top w:val="nil"/>
              <w:left w:val="single" w:sz="4" w:space="0" w:color="auto"/>
              <w:bottom w:val="nil"/>
              <w:right w:val="single" w:sz="4" w:space="0" w:color="auto"/>
            </w:tcBorders>
            <w:shd w:val="clear" w:color="auto" w:fill="auto"/>
            <w:vAlign w:val="center"/>
            <w:hideMark/>
          </w:tcPr>
          <w:p w14:paraId="3FB417E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Experimental</w:t>
            </w:r>
          </w:p>
        </w:tc>
        <w:tc>
          <w:tcPr>
            <w:tcW w:w="1941" w:type="dxa"/>
            <w:tcBorders>
              <w:top w:val="nil"/>
              <w:left w:val="nil"/>
              <w:bottom w:val="nil"/>
              <w:right w:val="single" w:sz="4" w:space="0" w:color="auto"/>
            </w:tcBorders>
            <w:shd w:val="clear" w:color="auto" w:fill="auto"/>
            <w:vAlign w:val="center"/>
            <w:hideMark/>
          </w:tcPr>
          <w:p w14:paraId="7B06D79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Unblinded CGM and CGM-based guidance</w:t>
            </w:r>
          </w:p>
        </w:tc>
        <w:tc>
          <w:tcPr>
            <w:tcW w:w="1010" w:type="dxa"/>
            <w:tcBorders>
              <w:top w:val="nil"/>
              <w:left w:val="nil"/>
              <w:bottom w:val="nil"/>
              <w:right w:val="single" w:sz="4" w:space="0" w:color="auto"/>
            </w:tcBorders>
            <w:shd w:val="clear" w:color="auto" w:fill="auto"/>
            <w:vAlign w:val="center"/>
            <w:hideMark/>
          </w:tcPr>
          <w:p w14:paraId="50894BF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Comparator</w:t>
            </w:r>
          </w:p>
        </w:tc>
        <w:tc>
          <w:tcPr>
            <w:tcW w:w="2108" w:type="dxa"/>
            <w:tcBorders>
              <w:top w:val="nil"/>
              <w:left w:val="nil"/>
              <w:bottom w:val="nil"/>
              <w:right w:val="single" w:sz="4" w:space="0" w:color="auto"/>
            </w:tcBorders>
            <w:shd w:val="clear" w:color="auto" w:fill="auto"/>
            <w:hideMark/>
          </w:tcPr>
          <w:p w14:paraId="3E341EA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Individual education and glucometer-based advice.</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0895B1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Source</w:t>
            </w:r>
          </w:p>
        </w:tc>
        <w:tc>
          <w:tcPr>
            <w:tcW w:w="3685" w:type="dxa"/>
            <w:tcBorders>
              <w:top w:val="nil"/>
              <w:left w:val="nil"/>
              <w:bottom w:val="nil"/>
              <w:right w:val="single" w:sz="4" w:space="0" w:color="auto"/>
            </w:tcBorders>
            <w:shd w:val="clear" w:color="auto" w:fill="auto"/>
            <w:noWrap/>
            <w:vAlign w:val="center"/>
            <w:hideMark/>
          </w:tcPr>
          <w:p w14:paraId="60785A72"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 Journal article(s)</w:t>
            </w:r>
          </w:p>
        </w:tc>
      </w:tr>
      <w:tr w:rsidR="001D16E7" w:rsidRPr="001D16E7" w14:paraId="407F01D1" w14:textId="77777777" w:rsidTr="001D16E7">
        <w:trPr>
          <w:trHeight w:val="283"/>
        </w:trPr>
        <w:tc>
          <w:tcPr>
            <w:tcW w:w="1173" w:type="dxa"/>
            <w:tcBorders>
              <w:top w:val="single" w:sz="4" w:space="0" w:color="auto"/>
              <w:left w:val="single" w:sz="4" w:space="0" w:color="auto"/>
              <w:bottom w:val="double" w:sz="6" w:space="0" w:color="auto"/>
              <w:right w:val="single" w:sz="4" w:space="0" w:color="auto"/>
            </w:tcBorders>
            <w:shd w:val="clear" w:color="auto" w:fill="auto"/>
            <w:vAlign w:val="center"/>
            <w:hideMark/>
          </w:tcPr>
          <w:p w14:paraId="2538CE1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lastRenderedPageBreak/>
              <w:t>Outcome</w:t>
            </w:r>
          </w:p>
        </w:tc>
        <w:tc>
          <w:tcPr>
            <w:tcW w:w="1941" w:type="dxa"/>
            <w:tcBorders>
              <w:top w:val="single" w:sz="4" w:space="0" w:color="auto"/>
              <w:left w:val="nil"/>
              <w:bottom w:val="double" w:sz="6" w:space="0" w:color="auto"/>
              <w:right w:val="single" w:sz="4" w:space="0" w:color="auto"/>
            </w:tcBorders>
            <w:shd w:val="clear" w:color="auto" w:fill="auto"/>
            <w:vAlign w:val="center"/>
            <w:hideMark/>
          </w:tcPr>
          <w:p w14:paraId="0F475B7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Exercise time per week (min/week); 3-day food records analyzed by Can-Pro 3.0</w:t>
            </w:r>
          </w:p>
        </w:tc>
        <w:tc>
          <w:tcPr>
            <w:tcW w:w="1010" w:type="dxa"/>
            <w:tcBorders>
              <w:top w:val="single" w:sz="4" w:space="0" w:color="auto"/>
              <w:left w:val="nil"/>
              <w:bottom w:val="double" w:sz="6" w:space="0" w:color="auto"/>
              <w:right w:val="single" w:sz="4" w:space="0" w:color="auto"/>
            </w:tcBorders>
            <w:shd w:val="clear" w:color="auto" w:fill="auto"/>
            <w:vAlign w:val="center"/>
            <w:hideMark/>
          </w:tcPr>
          <w:p w14:paraId="3F8BC70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Results</w:t>
            </w:r>
          </w:p>
        </w:tc>
        <w:tc>
          <w:tcPr>
            <w:tcW w:w="2108" w:type="dxa"/>
            <w:tcBorders>
              <w:top w:val="single" w:sz="4" w:space="0" w:color="auto"/>
              <w:left w:val="nil"/>
              <w:bottom w:val="double" w:sz="6" w:space="0" w:color="auto"/>
              <w:right w:val="single" w:sz="4" w:space="0" w:color="auto"/>
            </w:tcBorders>
            <w:shd w:val="clear" w:color="auto" w:fill="auto"/>
            <w:vAlign w:val="center"/>
            <w:hideMark/>
          </w:tcPr>
          <w:p w14:paraId="705F549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c>
          <w:tcPr>
            <w:tcW w:w="851" w:type="dxa"/>
            <w:tcBorders>
              <w:top w:val="nil"/>
              <w:left w:val="nil"/>
              <w:bottom w:val="double" w:sz="6" w:space="0" w:color="auto"/>
              <w:right w:val="single" w:sz="4" w:space="0" w:color="auto"/>
            </w:tcBorders>
            <w:shd w:val="clear" w:color="auto" w:fill="auto"/>
            <w:vAlign w:val="center"/>
            <w:hideMark/>
          </w:tcPr>
          <w:p w14:paraId="143D517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Weight</w:t>
            </w:r>
          </w:p>
        </w:tc>
        <w:tc>
          <w:tcPr>
            <w:tcW w:w="3685" w:type="dxa"/>
            <w:tcBorders>
              <w:top w:val="single" w:sz="4" w:space="0" w:color="auto"/>
              <w:left w:val="nil"/>
              <w:bottom w:val="double" w:sz="6" w:space="0" w:color="auto"/>
              <w:right w:val="single" w:sz="4" w:space="0" w:color="auto"/>
            </w:tcBorders>
            <w:shd w:val="clear" w:color="auto" w:fill="auto"/>
            <w:vAlign w:val="center"/>
            <w:hideMark/>
          </w:tcPr>
          <w:p w14:paraId="0F6C156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w:t>
            </w:r>
          </w:p>
        </w:tc>
      </w:tr>
      <w:tr w:rsidR="001D16E7" w:rsidRPr="001D16E7" w14:paraId="2F33680A" w14:textId="77777777" w:rsidTr="001D16E7">
        <w:trPr>
          <w:trHeight w:val="283"/>
        </w:trPr>
        <w:tc>
          <w:tcPr>
            <w:tcW w:w="1173" w:type="dxa"/>
            <w:tcBorders>
              <w:top w:val="nil"/>
              <w:left w:val="single" w:sz="4" w:space="0" w:color="auto"/>
              <w:bottom w:val="single" w:sz="4" w:space="0" w:color="auto"/>
              <w:right w:val="single" w:sz="4" w:space="0" w:color="auto"/>
            </w:tcBorders>
            <w:shd w:val="clear" w:color="000000" w:fill="000000"/>
            <w:noWrap/>
            <w:vAlign w:val="center"/>
            <w:hideMark/>
          </w:tcPr>
          <w:p w14:paraId="63757522"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Domain</w:t>
            </w:r>
          </w:p>
        </w:tc>
        <w:tc>
          <w:tcPr>
            <w:tcW w:w="5059" w:type="dxa"/>
            <w:gridSpan w:val="3"/>
            <w:tcBorders>
              <w:top w:val="nil"/>
              <w:left w:val="nil"/>
              <w:bottom w:val="single" w:sz="4" w:space="0" w:color="auto"/>
              <w:right w:val="single" w:sz="4" w:space="0" w:color="000000"/>
            </w:tcBorders>
            <w:shd w:val="clear" w:color="000000" w:fill="000000"/>
            <w:noWrap/>
            <w:vAlign w:val="center"/>
            <w:hideMark/>
          </w:tcPr>
          <w:p w14:paraId="2C1B7AC3" w14:textId="77777777" w:rsidR="001D16E7" w:rsidRPr="001D16E7" w:rsidRDefault="001D16E7" w:rsidP="001D16E7">
            <w:pPr>
              <w:widowControl/>
              <w:spacing w:after="0" w:line="240" w:lineRule="auto"/>
              <w:jc w:val="left"/>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Signalling question</w:t>
            </w:r>
          </w:p>
        </w:tc>
        <w:tc>
          <w:tcPr>
            <w:tcW w:w="851" w:type="dxa"/>
            <w:tcBorders>
              <w:top w:val="nil"/>
              <w:left w:val="nil"/>
              <w:bottom w:val="single" w:sz="4" w:space="0" w:color="auto"/>
              <w:right w:val="single" w:sz="4" w:space="0" w:color="auto"/>
            </w:tcBorders>
            <w:shd w:val="clear" w:color="000000" w:fill="000000"/>
            <w:noWrap/>
            <w:vAlign w:val="center"/>
            <w:hideMark/>
          </w:tcPr>
          <w:p w14:paraId="35414369"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Response</w:t>
            </w:r>
          </w:p>
        </w:tc>
        <w:tc>
          <w:tcPr>
            <w:tcW w:w="3685" w:type="dxa"/>
            <w:tcBorders>
              <w:top w:val="nil"/>
              <w:left w:val="nil"/>
              <w:bottom w:val="single" w:sz="4" w:space="0" w:color="auto"/>
              <w:right w:val="single" w:sz="4" w:space="0" w:color="auto"/>
            </w:tcBorders>
            <w:shd w:val="clear" w:color="000000" w:fill="000000"/>
            <w:noWrap/>
            <w:vAlign w:val="center"/>
            <w:hideMark/>
          </w:tcPr>
          <w:p w14:paraId="23C3F24E" w14:textId="77777777" w:rsidR="001D16E7" w:rsidRPr="001D16E7" w:rsidRDefault="001D16E7" w:rsidP="001D16E7">
            <w:pPr>
              <w:widowControl/>
              <w:spacing w:after="0" w:line="240" w:lineRule="auto"/>
              <w:jc w:val="center"/>
              <w:rPr>
                <w:rFonts w:ascii="Arial" w:eastAsia="Times New Roman" w:hAnsi="Arial" w:cs="Arial"/>
                <w:b/>
                <w:bCs/>
                <w:color w:val="FFFFFF"/>
                <w:kern w:val="0"/>
                <w:sz w:val="14"/>
                <w:szCs w:val="14"/>
                <w14:ligatures w14:val="none"/>
              </w:rPr>
            </w:pPr>
            <w:r w:rsidRPr="001D16E7">
              <w:rPr>
                <w:rFonts w:ascii="Arial" w:eastAsia="Times New Roman" w:hAnsi="Arial" w:cs="Arial"/>
                <w:b/>
                <w:bCs/>
                <w:color w:val="FFFFFF"/>
                <w:kern w:val="0"/>
                <w:sz w:val="14"/>
                <w:szCs w:val="14"/>
                <w14:ligatures w14:val="none"/>
              </w:rPr>
              <w:t>Comments</w:t>
            </w:r>
          </w:p>
        </w:tc>
      </w:tr>
      <w:tr w:rsidR="001D16E7" w:rsidRPr="001D16E7" w14:paraId="6C2F37D2"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622B08F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arising from the randomization process</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803FAE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1.1 Was the allocation sequence random?</w:t>
            </w:r>
          </w:p>
        </w:tc>
        <w:tc>
          <w:tcPr>
            <w:tcW w:w="851" w:type="dxa"/>
            <w:tcBorders>
              <w:top w:val="nil"/>
              <w:left w:val="nil"/>
              <w:bottom w:val="single" w:sz="4" w:space="0" w:color="auto"/>
              <w:right w:val="single" w:sz="4" w:space="0" w:color="auto"/>
            </w:tcBorders>
            <w:shd w:val="clear" w:color="000000" w:fill="E7E6E6"/>
            <w:noWrap/>
            <w:vAlign w:val="center"/>
            <w:hideMark/>
          </w:tcPr>
          <w:p w14:paraId="3BBDE7A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7F6BF8A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In the study, we successfully recruited 65 patients. These subjects were randomly assigned to the Guardian RT (i.e., RT-CGM) or SMBG groups by a random number table (Fig. 1). The allocation process was concealed so the participants were unable to influence one another. </w:t>
            </w:r>
          </w:p>
        </w:tc>
      </w:tr>
      <w:tr w:rsidR="001D16E7" w:rsidRPr="001D16E7" w14:paraId="6A8AA59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A7D579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5972AA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1.2 Was the allocation sequence concealed until participants were enrolled and assigned to interventions?</w:t>
            </w:r>
          </w:p>
        </w:tc>
        <w:tc>
          <w:tcPr>
            <w:tcW w:w="851" w:type="dxa"/>
            <w:tcBorders>
              <w:top w:val="nil"/>
              <w:left w:val="nil"/>
              <w:bottom w:val="single" w:sz="4" w:space="0" w:color="auto"/>
              <w:right w:val="single" w:sz="4" w:space="0" w:color="auto"/>
            </w:tcBorders>
            <w:shd w:val="clear" w:color="000000" w:fill="E7E6E6"/>
            <w:noWrap/>
            <w:vAlign w:val="center"/>
            <w:hideMark/>
          </w:tcPr>
          <w:p w14:paraId="734B415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vMerge/>
            <w:tcBorders>
              <w:top w:val="nil"/>
              <w:left w:val="single" w:sz="4" w:space="0" w:color="auto"/>
              <w:bottom w:val="single" w:sz="4" w:space="0" w:color="000000"/>
              <w:right w:val="single" w:sz="4" w:space="0" w:color="auto"/>
            </w:tcBorders>
            <w:vAlign w:val="center"/>
            <w:hideMark/>
          </w:tcPr>
          <w:p w14:paraId="2916CB8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123A910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3FEE6B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4E522E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1.3 Did baseline differences between intervention groups suggest a problem with the randomization process?</w:t>
            </w:r>
          </w:p>
        </w:tc>
        <w:tc>
          <w:tcPr>
            <w:tcW w:w="851" w:type="dxa"/>
            <w:tcBorders>
              <w:top w:val="nil"/>
              <w:left w:val="nil"/>
              <w:bottom w:val="single" w:sz="4" w:space="0" w:color="auto"/>
              <w:right w:val="single" w:sz="4" w:space="0" w:color="auto"/>
            </w:tcBorders>
            <w:shd w:val="clear" w:color="000000" w:fill="E7E6E6"/>
            <w:noWrap/>
            <w:vAlign w:val="center"/>
            <w:hideMark/>
          </w:tcPr>
          <w:p w14:paraId="257851B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13E34E2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There were no significant differences of baseline characteristics between the two groups.</w:t>
            </w:r>
          </w:p>
        </w:tc>
      </w:tr>
      <w:tr w:rsidR="001D16E7" w:rsidRPr="001D16E7" w14:paraId="6D7BAE8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BDB79D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DDEDA7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496FF6A6"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67561BF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334BBBD"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3CE2EB5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deviations from intended interventions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86B96A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2.1.Were participants aware of their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027FCFBA"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7C50CF7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In the study, we successfully recruited 65 patients. These subjects were randomly assigned to the Guardian RT (i.e., RT-CGM) or SMBG groups by a random number table (Fig. 1). The allocation process was concealed so the participants were unable to influence one another. </w:t>
            </w:r>
          </w:p>
        </w:tc>
      </w:tr>
      <w:tr w:rsidR="001D16E7" w:rsidRPr="001D16E7" w14:paraId="7295D08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9131D9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4D634B8D"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2.2.Were carers and people delivering the interventions aware of participants' assigned intervention during the trial?</w:t>
            </w:r>
          </w:p>
        </w:tc>
        <w:tc>
          <w:tcPr>
            <w:tcW w:w="851" w:type="dxa"/>
            <w:tcBorders>
              <w:top w:val="nil"/>
              <w:left w:val="nil"/>
              <w:bottom w:val="single" w:sz="4" w:space="0" w:color="auto"/>
              <w:right w:val="single" w:sz="4" w:space="0" w:color="auto"/>
            </w:tcBorders>
            <w:shd w:val="clear" w:color="auto" w:fill="auto"/>
            <w:noWrap/>
            <w:vAlign w:val="center"/>
            <w:hideMark/>
          </w:tcPr>
          <w:p w14:paraId="7556394F"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07E18AC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343029C9"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86DBBE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4CDBC3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2.3. If Y/PY/NI to 2.1 or 2.2: Were there deviations from the intended intervention that arose because of the experimental context?</w:t>
            </w:r>
          </w:p>
        </w:tc>
        <w:tc>
          <w:tcPr>
            <w:tcW w:w="851" w:type="dxa"/>
            <w:tcBorders>
              <w:top w:val="nil"/>
              <w:left w:val="nil"/>
              <w:bottom w:val="single" w:sz="4" w:space="0" w:color="auto"/>
              <w:right w:val="single" w:sz="4" w:space="0" w:color="auto"/>
            </w:tcBorders>
            <w:shd w:val="clear" w:color="auto" w:fill="auto"/>
            <w:noWrap/>
            <w:vAlign w:val="center"/>
            <w:hideMark/>
          </w:tcPr>
          <w:p w14:paraId="03BA9893"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nil"/>
              <w:right w:val="single" w:sz="4" w:space="0" w:color="auto"/>
            </w:tcBorders>
            <w:shd w:val="clear" w:color="auto" w:fill="auto"/>
            <w:vAlign w:val="center"/>
            <w:hideMark/>
          </w:tcPr>
          <w:p w14:paraId="287BE5E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3297551"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36BFCD7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77398EE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2.4 If Y/PY to 2.3: Were these deviations likely to have affected the outcome?</w:t>
            </w:r>
          </w:p>
        </w:tc>
        <w:tc>
          <w:tcPr>
            <w:tcW w:w="851" w:type="dxa"/>
            <w:tcBorders>
              <w:top w:val="nil"/>
              <w:left w:val="nil"/>
              <w:bottom w:val="single" w:sz="4" w:space="0" w:color="auto"/>
              <w:right w:val="single" w:sz="4" w:space="0" w:color="auto"/>
            </w:tcBorders>
            <w:shd w:val="clear" w:color="auto" w:fill="auto"/>
            <w:noWrap/>
            <w:vAlign w:val="center"/>
            <w:hideMark/>
          </w:tcPr>
          <w:p w14:paraId="762C948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14:paraId="274BD4A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084203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88660D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63D1B3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2.5. If Y/PY/NI to 2.4: Were these deviations from intended intervention balanced between groups?</w:t>
            </w:r>
          </w:p>
        </w:tc>
        <w:tc>
          <w:tcPr>
            <w:tcW w:w="851" w:type="dxa"/>
            <w:tcBorders>
              <w:top w:val="nil"/>
              <w:left w:val="nil"/>
              <w:bottom w:val="single" w:sz="4" w:space="0" w:color="auto"/>
              <w:right w:val="single" w:sz="4" w:space="0" w:color="auto"/>
            </w:tcBorders>
            <w:shd w:val="clear" w:color="auto" w:fill="auto"/>
            <w:noWrap/>
            <w:vAlign w:val="center"/>
            <w:hideMark/>
          </w:tcPr>
          <w:p w14:paraId="1149553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NA</w:t>
            </w:r>
          </w:p>
        </w:tc>
        <w:tc>
          <w:tcPr>
            <w:tcW w:w="3685" w:type="dxa"/>
            <w:tcBorders>
              <w:top w:val="nil"/>
              <w:left w:val="nil"/>
              <w:bottom w:val="single" w:sz="4" w:space="0" w:color="auto"/>
              <w:right w:val="single" w:sz="4" w:space="0" w:color="auto"/>
            </w:tcBorders>
            <w:shd w:val="clear" w:color="auto" w:fill="auto"/>
            <w:vAlign w:val="center"/>
            <w:hideMark/>
          </w:tcPr>
          <w:p w14:paraId="4557B33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A41750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77D413B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E05A03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2.6 Was an appropriate analysis used to estimate the effect of assignment to intervention?</w:t>
            </w:r>
          </w:p>
        </w:tc>
        <w:tc>
          <w:tcPr>
            <w:tcW w:w="851" w:type="dxa"/>
            <w:tcBorders>
              <w:top w:val="nil"/>
              <w:left w:val="nil"/>
              <w:bottom w:val="single" w:sz="4" w:space="0" w:color="auto"/>
              <w:right w:val="single" w:sz="4" w:space="0" w:color="auto"/>
            </w:tcBorders>
            <w:shd w:val="clear" w:color="auto" w:fill="auto"/>
            <w:noWrap/>
            <w:vAlign w:val="center"/>
            <w:hideMark/>
          </w:tcPr>
          <w:p w14:paraId="58DF0E34"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0030C6A6"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For demographic and baseline characteristics, continuous and categorical variables were summarized as the means ± standard deviation (S.D.) and frequency with percentile, respectively, in each group. Differences in demographic and baseline variables between the Guardian RT and SMBG groups were tested using the Wilcoxon rank sum test for continuous variables and the Fisher's exact test for categorical variables. To compare mean changes in anthropometric, biochemical variables, and life style habits between the Guardian RT and SMBG groups over time, repeated measures ANOVA was used. All statistical analyses were performed using SPSS for Windows (version 10.0; SPSS, Inc., Chicago, IL, USA).</w:t>
            </w:r>
          </w:p>
        </w:tc>
      </w:tr>
      <w:tr w:rsidR="001D16E7" w:rsidRPr="001D16E7" w14:paraId="28DA1DE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C33FD50"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189D7E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2.7 If N/PN/NI to 2.6: Was there potential for a substantial impact (on the result) of the failure to analyse participants in the group to which they were randomized?</w:t>
            </w:r>
          </w:p>
        </w:tc>
        <w:tc>
          <w:tcPr>
            <w:tcW w:w="851" w:type="dxa"/>
            <w:tcBorders>
              <w:top w:val="nil"/>
              <w:left w:val="nil"/>
              <w:bottom w:val="single" w:sz="4" w:space="0" w:color="auto"/>
              <w:right w:val="single" w:sz="4" w:space="0" w:color="auto"/>
            </w:tcBorders>
            <w:shd w:val="clear" w:color="auto" w:fill="auto"/>
            <w:noWrap/>
            <w:vAlign w:val="center"/>
            <w:hideMark/>
          </w:tcPr>
          <w:p w14:paraId="402BA948"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PN</w:t>
            </w:r>
          </w:p>
        </w:tc>
        <w:tc>
          <w:tcPr>
            <w:tcW w:w="3685" w:type="dxa"/>
            <w:tcBorders>
              <w:top w:val="nil"/>
              <w:left w:val="nil"/>
              <w:bottom w:val="single" w:sz="4" w:space="0" w:color="auto"/>
              <w:right w:val="single" w:sz="4" w:space="0" w:color="auto"/>
            </w:tcBorders>
            <w:shd w:val="clear" w:color="auto" w:fill="auto"/>
            <w:vAlign w:val="center"/>
            <w:hideMark/>
          </w:tcPr>
          <w:p w14:paraId="660A012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There were 32 people in the experimental group and 33 people in the control group, and 29 people and 28 people were finally included in the analysis.</w:t>
            </w:r>
          </w:p>
        </w:tc>
      </w:tr>
      <w:tr w:rsidR="001D16E7" w:rsidRPr="001D16E7" w14:paraId="2F1548EE"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2B9719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F46BB4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478BEA23"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5DA21BE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17682E5"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5E9BAE6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due to missing outcome data</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157E540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3.1 Were data for this outcome available for all, or nearly all, participants randomized?</w:t>
            </w:r>
          </w:p>
        </w:tc>
        <w:tc>
          <w:tcPr>
            <w:tcW w:w="851" w:type="dxa"/>
            <w:tcBorders>
              <w:top w:val="nil"/>
              <w:left w:val="nil"/>
              <w:bottom w:val="single" w:sz="4" w:space="0" w:color="auto"/>
              <w:right w:val="single" w:sz="4" w:space="0" w:color="auto"/>
            </w:tcBorders>
            <w:shd w:val="clear" w:color="000000" w:fill="E7E6E6"/>
            <w:noWrap/>
            <w:vAlign w:val="center"/>
            <w:hideMark/>
          </w:tcPr>
          <w:p w14:paraId="2A6A434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49A386C8"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Dropout rate is 12%.</w:t>
            </w:r>
          </w:p>
        </w:tc>
      </w:tr>
      <w:tr w:rsidR="001D16E7" w:rsidRPr="001D16E7" w14:paraId="00888B9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A8855A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B4B701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3.2 If N/PN/NI to 3.1: Is there evidence that result was not biased by missing outcome data?</w:t>
            </w:r>
          </w:p>
        </w:tc>
        <w:tc>
          <w:tcPr>
            <w:tcW w:w="851" w:type="dxa"/>
            <w:tcBorders>
              <w:top w:val="nil"/>
              <w:left w:val="nil"/>
              <w:bottom w:val="single" w:sz="4" w:space="0" w:color="auto"/>
              <w:right w:val="single" w:sz="4" w:space="0" w:color="auto"/>
            </w:tcBorders>
            <w:shd w:val="clear" w:color="000000" w:fill="E7E6E6"/>
            <w:noWrap/>
            <w:vAlign w:val="center"/>
            <w:hideMark/>
          </w:tcPr>
          <w:p w14:paraId="5817FC91"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2B413B3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2C422A5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115FC998"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22C5865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3.3 If N/PN to 3.2: Could missingness in the outcome depend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0EC08155"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0A2E460E"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ECB9339"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15F23F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39F44A9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3.4 If Y/PY/NI to 3.3: Is it likely that missingness in the outcome depended on its true value?</w:t>
            </w:r>
          </w:p>
        </w:tc>
        <w:tc>
          <w:tcPr>
            <w:tcW w:w="851" w:type="dxa"/>
            <w:tcBorders>
              <w:top w:val="nil"/>
              <w:left w:val="nil"/>
              <w:bottom w:val="single" w:sz="4" w:space="0" w:color="auto"/>
              <w:right w:val="single" w:sz="4" w:space="0" w:color="auto"/>
            </w:tcBorders>
            <w:shd w:val="clear" w:color="000000" w:fill="E7E6E6"/>
            <w:noWrap/>
            <w:vAlign w:val="center"/>
            <w:hideMark/>
          </w:tcPr>
          <w:p w14:paraId="6BDF0C83"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vMerge/>
            <w:tcBorders>
              <w:top w:val="nil"/>
              <w:left w:val="single" w:sz="4" w:space="0" w:color="auto"/>
              <w:bottom w:val="single" w:sz="4" w:space="0" w:color="000000"/>
              <w:right w:val="single" w:sz="4" w:space="0" w:color="auto"/>
            </w:tcBorders>
            <w:vAlign w:val="center"/>
            <w:hideMark/>
          </w:tcPr>
          <w:p w14:paraId="66EFF65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405AEA13"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2DBBD17"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42F1C47E"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500BE4E6"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000000" w:fill="E7E6E6"/>
            <w:vAlign w:val="center"/>
            <w:hideMark/>
          </w:tcPr>
          <w:p w14:paraId="7359353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401E0E12"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auto" w:fill="auto"/>
            <w:vAlign w:val="center"/>
            <w:hideMark/>
          </w:tcPr>
          <w:p w14:paraId="7AD2C12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measurement of the outcome</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0249D93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4.1 Was the method of measuring the outcome inappropriate?</w:t>
            </w:r>
          </w:p>
        </w:tc>
        <w:tc>
          <w:tcPr>
            <w:tcW w:w="851" w:type="dxa"/>
            <w:tcBorders>
              <w:top w:val="nil"/>
              <w:left w:val="nil"/>
              <w:bottom w:val="single" w:sz="4" w:space="0" w:color="auto"/>
              <w:right w:val="single" w:sz="4" w:space="0" w:color="auto"/>
            </w:tcBorders>
            <w:shd w:val="clear" w:color="auto" w:fill="auto"/>
            <w:noWrap/>
            <w:vAlign w:val="center"/>
            <w:hideMark/>
          </w:tcPr>
          <w:p w14:paraId="661F65E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5D9534F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xml:space="preserve">The secondary end point was the difference in the change in diet and exercise habits between the Guardian RT and SMBG groups. To assess the change in the patients’ diet and exercise habits, participants in both groups maintained diaries covering 3 days of meals and 7 days of physical activity at baseline and 3 months later. The 3-day food records were computed by one nutritionist and analyzed by Can-Pro 3.0 [11], a computerized nutrient intake assessment software program developed by the Korean Nutrition Society. Physical activity was recorded in time (min) spent for exercise during 1 week. </w:t>
            </w:r>
          </w:p>
        </w:tc>
      </w:tr>
      <w:tr w:rsidR="001D16E7" w:rsidRPr="001D16E7" w14:paraId="762438A4"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C0EABAB"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39DCA4E0"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4.2 Could measurement or ascertainment of the outcome have differed between intervention groups?</w:t>
            </w:r>
          </w:p>
        </w:tc>
        <w:tc>
          <w:tcPr>
            <w:tcW w:w="851" w:type="dxa"/>
            <w:tcBorders>
              <w:top w:val="nil"/>
              <w:left w:val="nil"/>
              <w:bottom w:val="single" w:sz="4" w:space="0" w:color="auto"/>
              <w:right w:val="single" w:sz="4" w:space="0" w:color="auto"/>
            </w:tcBorders>
            <w:shd w:val="clear" w:color="auto" w:fill="auto"/>
            <w:noWrap/>
            <w:vAlign w:val="center"/>
            <w:hideMark/>
          </w:tcPr>
          <w:p w14:paraId="60ADF27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auto" w:fill="auto"/>
            <w:vAlign w:val="center"/>
            <w:hideMark/>
          </w:tcPr>
          <w:p w14:paraId="0C3C08A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2A7E166"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669DED34"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3A1C70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4.3 Were outcome assessors aware of the intervention received by study participants?</w:t>
            </w:r>
          </w:p>
        </w:tc>
        <w:tc>
          <w:tcPr>
            <w:tcW w:w="851" w:type="dxa"/>
            <w:tcBorders>
              <w:top w:val="nil"/>
              <w:left w:val="nil"/>
              <w:bottom w:val="single" w:sz="4" w:space="0" w:color="auto"/>
              <w:right w:val="single" w:sz="4" w:space="0" w:color="auto"/>
            </w:tcBorders>
            <w:shd w:val="clear" w:color="auto" w:fill="auto"/>
            <w:noWrap/>
            <w:vAlign w:val="center"/>
            <w:hideMark/>
          </w:tcPr>
          <w:p w14:paraId="005CF093"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NI</w:t>
            </w:r>
          </w:p>
        </w:tc>
        <w:tc>
          <w:tcPr>
            <w:tcW w:w="3685" w:type="dxa"/>
            <w:tcBorders>
              <w:top w:val="nil"/>
              <w:left w:val="nil"/>
              <w:bottom w:val="single" w:sz="4" w:space="0" w:color="auto"/>
              <w:right w:val="single" w:sz="4" w:space="0" w:color="auto"/>
            </w:tcBorders>
            <w:shd w:val="clear" w:color="auto" w:fill="auto"/>
            <w:vAlign w:val="center"/>
            <w:hideMark/>
          </w:tcPr>
          <w:p w14:paraId="0885DE25"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63558D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D7ED17F"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1537E2B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4.4 If Y/PY/NI to 4.3: Could assessment of the outcome have been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1C018C74"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val="restart"/>
            <w:tcBorders>
              <w:top w:val="nil"/>
              <w:left w:val="single" w:sz="4" w:space="0" w:color="auto"/>
              <w:bottom w:val="single" w:sz="4" w:space="0" w:color="000000"/>
              <w:right w:val="single" w:sz="4" w:space="0" w:color="auto"/>
            </w:tcBorders>
            <w:shd w:val="clear" w:color="auto" w:fill="auto"/>
            <w:vAlign w:val="center"/>
            <w:hideMark/>
          </w:tcPr>
          <w:p w14:paraId="02760F4B"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0B977A5C"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79EB4A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2E848AF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4.5 If Y/PY/NI to 4.4: Is it likely that assessment of the outcome was influenced by knowledge of intervention received?</w:t>
            </w:r>
          </w:p>
        </w:tc>
        <w:tc>
          <w:tcPr>
            <w:tcW w:w="851" w:type="dxa"/>
            <w:tcBorders>
              <w:top w:val="nil"/>
              <w:left w:val="nil"/>
              <w:bottom w:val="single" w:sz="4" w:space="0" w:color="auto"/>
              <w:right w:val="single" w:sz="4" w:space="0" w:color="auto"/>
            </w:tcBorders>
            <w:shd w:val="clear" w:color="auto" w:fill="auto"/>
            <w:noWrap/>
            <w:vAlign w:val="center"/>
            <w:hideMark/>
          </w:tcPr>
          <w:p w14:paraId="2DD46519"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PY</w:t>
            </w:r>
          </w:p>
        </w:tc>
        <w:tc>
          <w:tcPr>
            <w:tcW w:w="3685" w:type="dxa"/>
            <w:vMerge/>
            <w:tcBorders>
              <w:top w:val="nil"/>
              <w:left w:val="single" w:sz="4" w:space="0" w:color="auto"/>
              <w:bottom w:val="single" w:sz="4" w:space="0" w:color="000000"/>
              <w:right w:val="single" w:sz="4" w:space="0" w:color="auto"/>
            </w:tcBorders>
            <w:vAlign w:val="center"/>
            <w:hideMark/>
          </w:tcPr>
          <w:p w14:paraId="48374679"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p>
        </w:tc>
      </w:tr>
      <w:tr w:rsidR="001D16E7" w:rsidRPr="001D16E7" w14:paraId="7F2A792F"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D3DCC33"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56CFA3E2"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76CEE965"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Some concerns</w:t>
            </w:r>
          </w:p>
        </w:tc>
        <w:tc>
          <w:tcPr>
            <w:tcW w:w="3685" w:type="dxa"/>
            <w:tcBorders>
              <w:top w:val="nil"/>
              <w:left w:val="nil"/>
              <w:bottom w:val="single" w:sz="4" w:space="0" w:color="auto"/>
              <w:right w:val="single" w:sz="4" w:space="0" w:color="auto"/>
            </w:tcBorders>
            <w:shd w:val="clear" w:color="auto" w:fill="auto"/>
            <w:vAlign w:val="center"/>
            <w:hideMark/>
          </w:tcPr>
          <w:p w14:paraId="7ADCAECA"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5D8B5183" w14:textId="77777777" w:rsidTr="001D16E7">
        <w:trPr>
          <w:trHeight w:val="283"/>
        </w:trPr>
        <w:tc>
          <w:tcPr>
            <w:tcW w:w="1173" w:type="dxa"/>
            <w:vMerge w:val="restart"/>
            <w:tcBorders>
              <w:top w:val="nil"/>
              <w:left w:val="single" w:sz="4" w:space="0" w:color="auto"/>
              <w:bottom w:val="single" w:sz="4" w:space="0" w:color="auto"/>
              <w:right w:val="single" w:sz="4" w:space="0" w:color="auto"/>
            </w:tcBorders>
            <w:shd w:val="clear" w:color="000000" w:fill="E7E6E6"/>
            <w:vAlign w:val="center"/>
            <w:hideMark/>
          </w:tcPr>
          <w:p w14:paraId="1B77FF61"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Bias in selection of the reported result</w:t>
            </w: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58CF717"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5.1 Were the data that produced this result analysed in accordance with a pre-specified analysis plan that was finalized before unblinded outcome data were available for analysis?</w:t>
            </w:r>
          </w:p>
        </w:tc>
        <w:tc>
          <w:tcPr>
            <w:tcW w:w="851" w:type="dxa"/>
            <w:tcBorders>
              <w:top w:val="nil"/>
              <w:left w:val="nil"/>
              <w:bottom w:val="single" w:sz="4" w:space="0" w:color="auto"/>
              <w:right w:val="single" w:sz="4" w:space="0" w:color="auto"/>
            </w:tcBorders>
            <w:shd w:val="clear" w:color="000000" w:fill="E7E6E6"/>
            <w:noWrap/>
            <w:vAlign w:val="center"/>
            <w:hideMark/>
          </w:tcPr>
          <w:p w14:paraId="6BF018CD"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Y</w:t>
            </w:r>
          </w:p>
        </w:tc>
        <w:tc>
          <w:tcPr>
            <w:tcW w:w="3685" w:type="dxa"/>
            <w:tcBorders>
              <w:top w:val="nil"/>
              <w:left w:val="nil"/>
              <w:bottom w:val="single" w:sz="4" w:space="0" w:color="auto"/>
              <w:right w:val="single" w:sz="4" w:space="0" w:color="auto"/>
            </w:tcBorders>
            <w:shd w:val="clear" w:color="000000" w:fill="E7E6E6"/>
            <w:vAlign w:val="center"/>
            <w:hideMark/>
          </w:tcPr>
          <w:p w14:paraId="74F45C71"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84409B7"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44C2EF2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055E49F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5.2 ... multiple eligible outcome measurements (e.g. scales, definitions, time points) within the outcome domain?</w:t>
            </w:r>
          </w:p>
        </w:tc>
        <w:tc>
          <w:tcPr>
            <w:tcW w:w="851" w:type="dxa"/>
            <w:tcBorders>
              <w:top w:val="nil"/>
              <w:left w:val="nil"/>
              <w:bottom w:val="single" w:sz="4" w:space="0" w:color="auto"/>
              <w:right w:val="single" w:sz="4" w:space="0" w:color="auto"/>
            </w:tcBorders>
            <w:shd w:val="clear" w:color="000000" w:fill="E7E6E6"/>
            <w:noWrap/>
            <w:vAlign w:val="center"/>
            <w:hideMark/>
          </w:tcPr>
          <w:p w14:paraId="0D497B67"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570FE7F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3D0C4EA"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0535706D"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6E26A8E3"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5.3 ... multiple eligible analyses of the data?</w:t>
            </w:r>
          </w:p>
        </w:tc>
        <w:tc>
          <w:tcPr>
            <w:tcW w:w="851" w:type="dxa"/>
            <w:tcBorders>
              <w:top w:val="nil"/>
              <w:left w:val="nil"/>
              <w:bottom w:val="single" w:sz="4" w:space="0" w:color="auto"/>
              <w:right w:val="single" w:sz="4" w:space="0" w:color="auto"/>
            </w:tcBorders>
            <w:shd w:val="clear" w:color="000000" w:fill="E7E6E6"/>
            <w:noWrap/>
            <w:vAlign w:val="center"/>
            <w:hideMark/>
          </w:tcPr>
          <w:p w14:paraId="5C29FB82" w14:textId="77777777" w:rsidR="001D16E7" w:rsidRPr="001D16E7" w:rsidRDefault="001D16E7" w:rsidP="001D16E7">
            <w:pPr>
              <w:widowControl/>
              <w:spacing w:after="0" w:line="240" w:lineRule="auto"/>
              <w:jc w:val="center"/>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N</w:t>
            </w:r>
          </w:p>
        </w:tc>
        <w:tc>
          <w:tcPr>
            <w:tcW w:w="3685" w:type="dxa"/>
            <w:tcBorders>
              <w:top w:val="nil"/>
              <w:left w:val="nil"/>
              <w:bottom w:val="single" w:sz="4" w:space="0" w:color="auto"/>
              <w:right w:val="single" w:sz="4" w:space="0" w:color="auto"/>
            </w:tcBorders>
            <w:shd w:val="clear" w:color="000000" w:fill="E7E6E6"/>
            <w:vAlign w:val="center"/>
            <w:hideMark/>
          </w:tcPr>
          <w:p w14:paraId="51A28B8F"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6CEFCD59" w14:textId="77777777" w:rsidTr="001D16E7">
        <w:trPr>
          <w:trHeight w:val="283"/>
        </w:trPr>
        <w:tc>
          <w:tcPr>
            <w:tcW w:w="1173" w:type="dxa"/>
            <w:vMerge/>
            <w:tcBorders>
              <w:top w:val="nil"/>
              <w:left w:val="single" w:sz="4" w:space="0" w:color="auto"/>
              <w:bottom w:val="single" w:sz="4" w:space="0" w:color="auto"/>
              <w:right w:val="single" w:sz="4" w:space="0" w:color="auto"/>
            </w:tcBorders>
            <w:vAlign w:val="center"/>
            <w:hideMark/>
          </w:tcPr>
          <w:p w14:paraId="5B1F2849"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p>
        </w:tc>
        <w:tc>
          <w:tcPr>
            <w:tcW w:w="5059" w:type="dxa"/>
            <w:gridSpan w:val="3"/>
            <w:tcBorders>
              <w:top w:val="single" w:sz="4" w:space="0" w:color="auto"/>
              <w:left w:val="nil"/>
              <w:bottom w:val="single" w:sz="4" w:space="0" w:color="auto"/>
              <w:right w:val="single" w:sz="4" w:space="0" w:color="000000"/>
            </w:tcBorders>
            <w:shd w:val="clear" w:color="000000" w:fill="E7E6E6"/>
            <w:vAlign w:val="center"/>
            <w:hideMark/>
          </w:tcPr>
          <w:p w14:paraId="55596C35"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000000" w:fill="E7E6E6"/>
            <w:noWrap/>
            <w:vAlign w:val="center"/>
            <w:hideMark/>
          </w:tcPr>
          <w:p w14:paraId="62991879"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Low</w:t>
            </w:r>
          </w:p>
        </w:tc>
        <w:tc>
          <w:tcPr>
            <w:tcW w:w="3685" w:type="dxa"/>
            <w:tcBorders>
              <w:top w:val="nil"/>
              <w:left w:val="nil"/>
              <w:bottom w:val="single" w:sz="4" w:space="0" w:color="auto"/>
              <w:right w:val="single" w:sz="4" w:space="0" w:color="auto"/>
            </w:tcBorders>
            <w:shd w:val="clear" w:color="000000" w:fill="E7E6E6"/>
            <w:vAlign w:val="center"/>
            <w:hideMark/>
          </w:tcPr>
          <w:p w14:paraId="264CD764"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r w:rsidR="001D16E7" w:rsidRPr="001D16E7" w14:paraId="13E2E08A" w14:textId="77777777" w:rsidTr="001D16E7">
        <w:trPr>
          <w:trHeight w:val="283"/>
        </w:trPr>
        <w:tc>
          <w:tcPr>
            <w:tcW w:w="1173" w:type="dxa"/>
            <w:tcBorders>
              <w:top w:val="nil"/>
              <w:left w:val="single" w:sz="4" w:space="0" w:color="auto"/>
              <w:bottom w:val="single" w:sz="4" w:space="0" w:color="auto"/>
              <w:right w:val="single" w:sz="4" w:space="0" w:color="auto"/>
            </w:tcBorders>
            <w:shd w:val="clear" w:color="auto" w:fill="auto"/>
            <w:noWrap/>
            <w:vAlign w:val="center"/>
            <w:hideMark/>
          </w:tcPr>
          <w:p w14:paraId="46A5CE1C"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Overall bias</w:t>
            </w:r>
          </w:p>
        </w:tc>
        <w:tc>
          <w:tcPr>
            <w:tcW w:w="5059" w:type="dxa"/>
            <w:gridSpan w:val="3"/>
            <w:tcBorders>
              <w:top w:val="single" w:sz="4" w:space="0" w:color="auto"/>
              <w:left w:val="nil"/>
              <w:bottom w:val="single" w:sz="4" w:space="0" w:color="auto"/>
              <w:right w:val="single" w:sz="4" w:space="0" w:color="000000"/>
            </w:tcBorders>
            <w:shd w:val="clear" w:color="auto" w:fill="auto"/>
            <w:vAlign w:val="center"/>
            <w:hideMark/>
          </w:tcPr>
          <w:p w14:paraId="61E0EEE6" w14:textId="77777777" w:rsidR="001D16E7" w:rsidRPr="001D16E7" w:rsidRDefault="001D16E7" w:rsidP="001D16E7">
            <w:pPr>
              <w:widowControl/>
              <w:spacing w:after="0" w:line="240" w:lineRule="auto"/>
              <w:jc w:val="left"/>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Risk of bias judgement</w:t>
            </w:r>
          </w:p>
        </w:tc>
        <w:tc>
          <w:tcPr>
            <w:tcW w:w="851" w:type="dxa"/>
            <w:tcBorders>
              <w:top w:val="nil"/>
              <w:left w:val="nil"/>
              <w:bottom w:val="single" w:sz="4" w:space="0" w:color="auto"/>
              <w:right w:val="single" w:sz="4" w:space="0" w:color="auto"/>
            </w:tcBorders>
            <w:shd w:val="clear" w:color="auto" w:fill="auto"/>
            <w:noWrap/>
            <w:vAlign w:val="center"/>
            <w:hideMark/>
          </w:tcPr>
          <w:p w14:paraId="0D39C885" w14:textId="77777777" w:rsidR="001D16E7" w:rsidRPr="001D16E7" w:rsidRDefault="001D16E7" w:rsidP="001D16E7">
            <w:pPr>
              <w:widowControl/>
              <w:spacing w:after="0" w:line="240" w:lineRule="auto"/>
              <w:jc w:val="center"/>
              <w:rPr>
                <w:rFonts w:ascii="Arial" w:eastAsia="Times New Roman" w:hAnsi="Arial" w:cs="Arial"/>
                <w:b/>
                <w:bCs/>
                <w:color w:val="000000"/>
                <w:kern w:val="0"/>
                <w:sz w:val="14"/>
                <w:szCs w:val="14"/>
                <w14:ligatures w14:val="none"/>
              </w:rPr>
            </w:pPr>
            <w:r w:rsidRPr="001D16E7">
              <w:rPr>
                <w:rFonts w:ascii="Arial" w:eastAsia="Times New Roman" w:hAnsi="Arial" w:cs="Arial"/>
                <w:b/>
                <w:bCs/>
                <w:color w:val="000000"/>
                <w:kern w:val="0"/>
                <w:sz w:val="14"/>
                <w:szCs w:val="14"/>
                <w14:ligatures w14:val="none"/>
              </w:rPr>
              <w:t>High</w:t>
            </w:r>
          </w:p>
        </w:tc>
        <w:tc>
          <w:tcPr>
            <w:tcW w:w="3685" w:type="dxa"/>
            <w:tcBorders>
              <w:top w:val="nil"/>
              <w:left w:val="nil"/>
              <w:bottom w:val="single" w:sz="4" w:space="0" w:color="auto"/>
              <w:right w:val="single" w:sz="4" w:space="0" w:color="auto"/>
            </w:tcBorders>
            <w:shd w:val="clear" w:color="auto" w:fill="auto"/>
            <w:vAlign w:val="center"/>
            <w:hideMark/>
          </w:tcPr>
          <w:p w14:paraId="7CCE5D6C" w14:textId="77777777" w:rsidR="001D16E7" w:rsidRPr="001D16E7" w:rsidRDefault="001D16E7" w:rsidP="001D16E7">
            <w:pPr>
              <w:widowControl/>
              <w:spacing w:after="0" w:line="240" w:lineRule="auto"/>
              <w:jc w:val="left"/>
              <w:rPr>
                <w:rFonts w:ascii="Arial" w:eastAsia="Times New Roman" w:hAnsi="Arial" w:cs="Arial"/>
                <w:color w:val="000000"/>
                <w:kern w:val="0"/>
                <w:sz w:val="14"/>
                <w:szCs w:val="14"/>
                <w14:ligatures w14:val="none"/>
              </w:rPr>
            </w:pPr>
            <w:r w:rsidRPr="001D16E7">
              <w:rPr>
                <w:rFonts w:ascii="Arial" w:eastAsia="Times New Roman" w:hAnsi="Arial" w:cs="Arial"/>
                <w:color w:val="000000"/>
                <w:kern w:val="0"/>
                <w:sz w:val="14"/>
                <w:szCs w:val="14"/>
                <w14:ligatures w14:val="none"/>
              </w:rPr>
              <w:t> </w:t>
            </w:r>
          </w:p>
        </w:tc>
      </w:tr>
    </w:tbl>
    <w:p w14:paraId="4BF9E10B" w14:textId="77777777" w:rsidR="001D16E7" w:rsidRDefault="001D16E7">
      <w:pPr>
        <w:rPr>
          <w:rFonts w:hint="eastAsia"/>
        </w:rPr>
      </w:pPr>
    </w:p>
    <w:sectPr w:rsidR="001D16E7" w:rsidSect="001D16E7">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F123C" w14:textId="77777777" w:rsidR="005171FA" w:rsidRDefault="005171FA" w:rsidP="001D16E7">
      <w:pPr>
        <w:spacing w:after="0" w:line="240" w:lineRule="auto"/>
        <w:rPr>
          <w:rFonts w:hint="eastAsia"/>
        </w:rPr>
      </w:pPr>
      <w:r>
        <w:separator/>
      </w:r>
    </w:p>
  </w:endnote>
  <w:endnote w:type="continuationSeparator" w:id="0">
    <w:p w14:paraId="083D8C72" w14:textId="77777777" w:rsidR="005171FA" w:rsidRDefault="005171FA" w:rsidP="001D16E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5A4C3" w14:textId="77777777" w:rsidR="005171FA" w:rsidRDefault="005171FA" w:rsidP="001D16E7">
      <w:pPr>
        <w:spacing w:after="0" w:line="240" w:lineRule="auto"/>
        <w:rPr>
          <w:rFonts w:hint="eastAsia"/>
        </w:rPr>
      </w:pPr>
      <w:r>
        <w:separator/>
      </w:r>
    </w:p>
  </w:footnote>
  <w:footnote w:type="continuationSeparator" w:id="0">
    <w:p w14:paraId="4501C3F4" w14:textId="77777777" w:rsidR="005171FA" w:rsidRDefault="005171FA" w:rsidP="001D16E7">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86F7E"/>
    <w:rsid w:val="00147166"/>
    <w:rsid w:val="00164B64"/>
    <w:rsid w:val="001D16E7"/>
    <w:rsid w:val="001D615C"/>
    <w:rsid w:val="002E2B7E"/>
    <w:rsid w:val="005020C2"/>
    <w:rsid w:val="005171FA"/>
    <w:rsid w:val="006449CF"/>
    <w:rsid w:val="008904B2"/>
    <w:rsid w:val="009C04CC"/>
    <w:rsid w:val="00A123CE"/>
    <w:rsid w:val="00A474AC"/>
    <w:rsid w:val="00B86F7E"/>
    <w:rsid w:val="00E142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C2081"/>
  <w15:chartTrackingRefBased/>
  <w15:docId w15:val="{F80FC628-6494-4740-96A6-C0CFD1EB2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86F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86F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86F7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86F7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86F7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86F7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86F7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86F7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86F7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86F7E"/>
    <w:rPr>
      <w:rFonts w:asciiTheme="majorHAnsi" w:eastAsiaTheme="majorEastAsia" w:hAnsiTheme="majorHAnsi" w:cstheme="majorBidi"/>
      <w:color w:val="2F5496" w:themeColor="accent1" w:themeShade="BF"/>
      <w:sz w:val="40"/>
      <w:szCs w:val="40"/>
    </w:rPr>
  </w:style>
  <w:style w:type="character" w:customStyle="1" w:styleId="20">
    <w:name w:val="标题 2 字符"/>
    <w:basedOn w:val="a0"/>
    <w:link w:val="2"/>
    <w:uiPriority w:val="9"/>
    <w:semiHidden/>
    <w:rsid w:val="00B86F7E"/>
    <w:rPr>
      <w:rFonts w:asciiTheme="majorHAnsi" w:eastAsiaTheme="majorEastAsia" w:hAnsiTheme="majorHAnsi" w:cstheme="majorBidi"/>
      <w:color w:val="2F5496" w:themeColor="accent1" w:themeShade="BF"/>
      <w:sz w:val="32"/>
      <w:szCs w:val="32"/>
    </w:rPr>
  </w:style>
  <w:style w:type="character" w:customStyle="1" w:styleId="30">
    <w:name w:val="标题 3 字符"/>
    <w:basedOn w:val="a0"/>
    <w:link w:val="3"/>
    <w:uiPriority w:val="9"/>
    <w:semiHidden/>
    <w:rsid w:val="00B86F7E"/>
    <w:rPr>
      <w:rFonts w:eastAsiaTheme="majorEastAsia" w:cstheme="majorBidi"/>
      <w:color w:val="2F5496" w:themeColor="accent1" w:themeShade="BF"/>
      <w:sz w:val="28"/>
      <w:szCs w:val="28"/>
    </w:rPr>
  </w:style>
  <w:style w:type="character" w:customStyle="1" w:styleId="40">
    <w:name w:val="标题 4 字符"/>
    <w:basedOn w:val="a0"/>
    <w:link w:val="4"/>
    <w:uiPriority w:val="9"/>
    <w:semiHidden/>
    <w:rsid w:val="00B86F7E"/>
    <w:rPr>
      <w:rFonts w:eastAsiaTheme="majorEastAsia" w:cstheme="majorBidi"/>
      <w:i/>
      <w:iCs/>
      <w:color w:val="2F5496" w:themeColor="accent1" w:themeShade="BF"/>
    </w:rPr>
  </w:style>
  <w:style w:type="character" w:customStyle="1" w:styleId="50">
    <w:name w:val="标题 5 字符"/>
    <w:basedOn w:val="a0"/>
    <w:link w:val="5"/>
    <w:uiPriority w:val="9"/>
    <w:semiHidden/>
    <w:rsid w:val="00B86F7E"/>
    <w:rPr>
      <w:rFonts w:eastAsiaTheme="majorEastAsia" w:cstheme="majorBidi"/>
      <w:color w:val="2F5496" w:themeColor="accent1" w:themeShade="BF"/>
    </w:rPr>
  </w:style>
  <w:style w:type="character" w:customStyle="1" w:styleId="60">
    <w:name w:val="标题 6 字符"/>
    <w:basedOn w:val="a0"/>
    <w:link w:val="6"/>
    <w:uiPriority w:val="9"/>
    <w:semiHidden/>
    <w:rsid w:val="00B86F7E"/>
    <w:rPr>
      <w:rFonts w:eastAsiaTheme="majorEastAsia" w:cstheme="majorBidi"/>
      <w:i/>
      <w:iCs/>
      <w:color w:val="595959" w:themeColor="text1" w:themeTint="A6"/>
    </w:rPr>
  </w:style>
  <w:style w:type="character" w:customStyle="1" w:styleId="70">
    <w:name w:val="标题 7 字符"/>
    <w:basedOn w:val="a0"/>
    <w:link w:val="7"/>
    <w:uiPriority w:val="9"/>
    <w:semiHidden/>
    <w:rsid w:val="00B86F7E"/>
    <w:rPr>
      <w:rFonts w:eastAsiaTheme="majorEastAsia" w:cstheme="majorBidi"/>
      <w:color w:val="595959" w:themeColor="text1" w:themeTint="A6"/>
    </w:rPr>
  </w:style>
  <w:style w:type="character" w:customStyle="1" w:styleId="80">
    <w:name w:val="标题 8 字符"/>
    <w:basedOn w:val="a0"/>
    <w:link w:val="8"/>
    <w:uiPriority w:val="9"/>
    <w:semiHidden/>
    <w:rsid w:val="00B86F7E"/>
    <w:rPr>
      <w:rFonts w:eastAsiaTheme="majorEastAsia" w:cstheme="majorBidi"/>
      <w:i/>
      <w:iCs/>
      <w:color w:val="272727" w:themeColor="text1" w:themeTint="D8"/>
    </w:rPr>
  </w:style>
  <w:style w:type="character" w:customStyle="1" w:styleId="90">
    <w:name w:val="标题 9 字符"/>
    <w:basedOn w:val="a0"/>
    <w:link w:val="9"/>
    <w:uiPriority w:val="9"/>
    <w:semiHidden/>
    <w:rsid w:val="00B86F7E"/>
    <w:rPr>
      <w:rFonts w:eastAsiaTheme="majorEastAsia" w:cstheme="majorBidi"/>
      <w:color w:val="272727" w:themeColor="text1" w:themeTint="D8"/>
    </w:rPr>
  </w:style>
  <w:style w:type="paragraph" w:styleId="a3">
    <w:name w:val="Title"/>
    <w:basedOn w:val="a"/>
    <w:next w:val="a"/>
    <w:link w:val="a4"/>
    <w:uiPriority w:val="10"/>
    <w:qFormat/>
    <w:rsid w:val="00B86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86F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6F7E"/>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B86F7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86F7E"/>
    <w:pPr>
      <w:spacing w:before="160"/>
      <w:jc w:val="center"/>
    </w:pPr>
    <w:rPr>
      <w:i/>
      <w:iCs/>
      <w:color w:val="404040" w:themeColor="text1" w:themeTint="BF"/>
    </w:rPr>
  </w:style>
  <w:style w:type="character" w:customStyle="1" w:styleId="a8">
    <w:name w:val="引用 字符"/>
    <w:basedOn w:val="a0"/>
    <w:link w:val="a7"/>
    <w:uiPriority w:val="29"/>
    <w:rsid w:val="00B86F7E"/>
    <w:rPr>
      <w:i/>
      <w:iCs/>
      <w:color w:val="404040" w:themeColor="text1" w:themeTint="BF"/>
    </w:rPr>
  </w:style>
  <w:style w:type="paragraph" w:styleId="a9">
    <w:name w:val="List Paragraph"/>
    <w:basedOn w:val="a"/>
    <w:uiPriority w:val="34"/>
    <w:qFormat/>
    <w:rsid w:val="00B86F7E"/>
    <w:pPr>
      <w:ind w:left="720"/>
      <w:contextualSpacing/>
    </w:pPr>
  </w:style>
  <w:style w:type="character" w:styleId="aa">
    <w:name w:val="Intense Emphasis"/>
    <w:basedOn w:val="a0"/>
    <w:uiPriority w:val="21"/>
    <w:qFormat/>
    <w:rsid w:val="00B86F7E"/>
    <w:rPr>
      <w:i/>
      <w:iCs/>
      <w:color w:val="2F5496" w:themeColor="accent1" w:themeShade="BF"/>
    </w:rPr>
  </w:style>
  <w:style w:type="paragraph" w:styleId="ab">
    <w:name w:val="Intense Quote"/>
    <w:basedOn w:val="a"/>
    <w:next w:val="a"/>
    <w:link w:val="ac"/>
    <w:uiPriority w:val="30"/>
    <w:qFormat/>
    <w:rsid w:val="00B86F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86F7E"/>
    <w:rPr>
      <w:i/>
      <w:iCs/>
      <w:color w:val="2F5496" w:themeColor="accent1" w:themeShade="BF"/>
    </w:rPr>
  </w:style>
  <w:style w:type="character" w:styleId="ad">
    <w:name w:val="Intense Reference"/>
    <w:basedOn w:val="a0"/>
    <w:uiPriority w:val="32"/>
    <w:qFormat/>
    <w:rsid w:val="00B86F7E"/>
    <w:rPr>
      <w:b/>
      <w:bCs/>
      <w:smallCaps/>
      <w:color w:val="2F5496" w:themeColor="accent1" w:themeShade="BF"/>
      <w:spacing w:val="5"/>
    </w:rPr>
  </w:style>
  <w:style w:type="paragraph" w:styleId="ae">
    <w:name w:val="header"/>
    <w:basedOn w:val="a"/>
    <w:link w:val="af"/>
    <w:uiPriority w:val="99"/>
    <w:unhideWhenUsed/>
    <w:rsid w:val="001D16E7"/>
    <w:pPr>
      <w:tabs>
        <w:tab w:val="center" w:pos="4153"/>
        <w:tab w:val="right" w:pos="8306"/>
      </w:tabs>
      <w:spacing w:after="0" w:line="240" w:lineRule="auto"/>
    </w:pPr>
  </w:style>
  <w:style w:type="character" w:customStyle="1" w:styleId="af">
    <w:name w:val="页眉 字符"/>
    <w:basedOn w:val="a0"/>
    <w:link w:val="ae"/>
    <w:uiPriority w:val="99"/>
    <w:rsid w:val="001D16E7"/>
  </w:style>
  <w:style w:type="paragraph" w:styleId="af0">
    <w:name w:val="footer"/>
    <w:basedOn w:val="a"/>
    <w:link w:val="af1"/>
    <w:uiPriority w:val="99"/>
    <w:unhideWhenUsed/>
    <w:rsid w:val="001D16E7"/>
    <w:pPr>
      <w:tabs>
        <w:tab w:val="center" w:pos="4153"/>
        <w:tab w:val="right" w:pos="8306"/>
      </w:tabs>
      <w:spacing w:after="0" w:line="240" w:lineRule="auto"/>
    </w:pPr>
  </w:style>
  <w:style w:type="character" w:customStyle="1" w:styleId="af1">
    <w:name w:val="页脚 字符"/>
    <w:basedOn w:val="a0"/>
    <w:link w:val="af0"/>
    <w:uiPriority w:val="99"/>
    <w:rsid w:val="001D16E7"/>
  </w:style>
  <w:style w:type="character" w:styleId="af2">
    <w:name w:val="Hyperlink"/>
    <w:basedOn w:val="a0"/>
    <w:uiPriority w:val="99"/>
    <w:semiHidden/>
    <w:unhideWhenUsed/>
    <w:rsid w:val="001D16E7"/>
    <w:rPr>
      <w:color w:val="0563C1"/>
      <w:u w:val="single"/>
    </w:rPr>
  </w:style>
  <w:style w:type="character" w:styleId="af3">
    <w:name w:val="FollowedHyperlink"/>
    <w:basedOn w:val="a0"/>
    <w:uiPriority w:val="99"/>
    <w:semiHidden/>
    <w:unhideWhenUsed/>
    <w:rsid w:val="001D16E7"/>
    <w:rPr>
      <w:color w:val="954F72"/>
      <w:u w:val="single"/>
    </w:rPr>
  </w:style>
  <w:style w:type="paragraph" w:customStyle="1" w:styleId="msonormal0">
    <w:name w:val="msonormal"/>
    <w:basedOn w:val="a"/>
    <w:rsid w:val="001D16E7"/>
    <w:pPr>
      <w:widowControl/>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customStyle="1" w:styleId="xl65">
    <w:name w:val="xl65"/>
    <w:basedOn w:val="a"/>
    <w:rsid w:val="001D16E7"/>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66">
    <w:name w:val="xl66"/>
    <w:basedOn w:val="a"/>
    <w:rsid w:val="001D16E7"/>
    <w:pPr>
      <w:widowControl/>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67">
    <w:name w:val="xl67"/>
    <w:basedOn w:val="a"/>
    <w:rsid w:val="001D16E7"/>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Arial" w:eastAsia="Times New Roman" w:hAnsi="Arial" w:cs="Arial"/>
      <w:b/>
      <w:bCs/>
      <w:kern w:val="0"/>
      <w:sz w:val="24"/>
      <w:szCs w:val="24"/>
    </w:rPr>
  </w:style>
  <w:style w:type="paragraph" w:customStyle="1" w:styleId="xl68">
    <w:name w:val="xl68"/>
    <w:basedOn w:val="a"/>
    <w:rsid w:val="001D16E7"/>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24"/>
      <w:szCs w:val="24"/>
    </w:rPr>
  </w:style>
  <w:style w:type="paragraph" w:customStyle="1" w:styleId="xl69">
    <w:name w:val="xl69"/>
    <w:basedOn w:val="a"/>
    <w:rsid w:val="001D16E7"/>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70">
    <w:name w:val="xl70"/>
    <w:basedOn w:val="a"/>
    <w:rsid w:val="001D16E7"/>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71">
    <w:name w:val="xl71"/>
    <w:basedOn w:val="a"/>
    <w:rsid w:val="001D16E7"/>
    <w:pPr>
      <w:widowControl/>
      <w:pBdr>
        <w:left w:val="single" w:sz="4" w:space="0" w:color="auto"/>
        <w:bottom w:val="single" w:sz="4" w:space="0" w:color="auto"/>
        <w:right w:val="single" w:sz="4" w:space="0" w:color="auto"/>
      </w:pBdr>
      <w:shd w:val="clear" w:color="000000" w:fill="000000"/>
      <w:spacing w:before="100" w:beforeAutospacing="1" w:after="100" w:afterAutospacing="1" w:line="240" w:lineRule="auto"/>
      <w:jc w:val="left"/>
      <w:textAlignment w:val="center"/>
    </w:pPr>
    <w:rPr>
      <w:rFonts w:ascii="Arial" w:eastAsia="Times New Roman" w:hAnsi="Arial" w:cs="Arial"/>
      <w:b/>
      <w:bCs/>
      <w:color w:val="FFFFFF"/>
      <w:kern w:val="0"/>
      <w:sz w:val="24"/>
      <w:szCs w:val="24"/>
    </w:rPr>
  </w:style>
  <w:style w:type="paragraph" w:customStyle="1" w:styleId="xl72">
    <w:name w:val="xl72"/>
    <w:basedOn w:val="a"/>
    <w:rsid w:val="001D16E7"/>
    <w:pPr>
      <w:widowControl/>
      <w:pBdr>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kern w:val="0"/>
      <w:sz w:val="24"/>
      <w:szCs w:val="24"/>
    </w:rPr>
  </w:style>
  <w:style w:type="paragraph" w:customStyle="1" w:styleId="xl73">
    <w:name w:val="xl73"/>
    <w:basedOn w:val="a"/>
    <w:rsid w:val="001D16E7"/>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74">
    <w:name w:val="xl74"/>
    <w:basedOn w:val="a"/>
    <w:rsid w:val="001D16E7"/>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75">
    <w:name w:val="xl75"/>
    <w:basedOn w:val="a"/>
    <w:rsid w:val="001D16E7"/>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Arial" w:eastAsia="Times New Roman" w:hAnsi="Arial" w:cs="Arial"/>
      <w:kern w:val="0"/>
      <w:sz w:val="24"/>
      <w:szCs w:val="24"/>
    </w:rPr>
  </w:style>
  <w:style w:type="paragraph" w:customStyle="1" w:styleId="xl76">
    <w:name w:val="xl76"/>
    <w:basedOn w:val="a"/>
    <w:rsid w:val="001D16E7"/>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rPr>
  </w:style>
  <w:style w:type="paragraph" w:customStyle="1" w:styleId="xl77">
    <w:name w:val="xl77"/>
    <w:basedOn w:val="a"/>
    <w:rsid w:val="001D16E7"/>
    <w:pPr>
      <w:widowControl/>
      <w:pBdr>
        <w:left w:val="single" w:sz="4" w:space="0" w:color="auto"/>
        <w:bottom w:val="double" w:sz="6"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78">
    <w:name w:val="xl78"/>
    <w:basedOn w:val="a"/>
    <w:rsid w:val="001D16E7"/>
    <w:pPr>
      <w:widowControl/>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79">
    <w:name w:val="xl79"/>
    <w:basedOn w:val="a"/>
    <w:rsid w:val="001D16E7"/>
    <w:pPr>
      <w:widowControl/>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80">
    <w:name w:val="xl80"/>
    <w:basedOn w:val="a"/>
    <w:rsid w:val="001D16E7"/>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kern w:val="0"/>
      <w:sz w:val="24"/>
      <w:szCs w:val="24"/>
    </w:rPr>
  </w:style>
  <w:style w:type="paragraph" w:customStyle="1" w:styleId="xl81">
    <w:name w:val="xl81"/>
    <w:basedOn w:val="a"/>
    <w:rsid w:val="001D16E7"/>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82">
    <w:name w:val="xl82"/>
    <w:basedOn w:val="a"/>
    <w:rsid w:val="001D16E7"/>
    <w:pPr>
      <w:widowControl/>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83">
    <w:name w:val="xl83"/>
    <w:basedOn w:val="a"/>
    <w:rsid w:val="001D16E7"/>
    <w:pPr>
      <w:widowControl/>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kern w:val="0"/>
      <w:sz w:val="24"/>
      <w:szCs w:val="24"/>
    </w:rPr>
  </w:style>
  <w:style w:type="paragraph" w:customStyle="1" w:styleId="xl84">
    <w:name w:val="xl84"/>
    <w:basedOn w:val="a"/>
    <w:rsid w:val="001D16E7"/>
    <w:pPr>
      <w:widowControl/>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85">
    <w:name w:val="xl85"/>
    <w:basedOn w:val="a"/>
    <w:rsid w:val="001D16E7"/>
    <w:pPr>
      <w:widowControl/>
      <w:spacing w:before="100" w:beforeAutospacing="1" w:after="100" w:afterAutospacing="1" w:line="240" w:lineRule="auto"/>
      <w:jc w:val="left"/>
      <w:textAlignment w:val="center"/>
    </w:pPr>
    <w:rPr>
      <w:rFonts w:ascii="Arial" w:eastAsia="Times New Roman" w:hAnsi="Arial" w:cs="Arial"/>
      <w:b/>
      <w:bCs/>
      <w:kern w:val="0"/>
      <w:sz w:val="16"/>
      <w:szCs w:val="16"/>
    </w:rPr>
  </w:style>
  <w:style w:type="paragraph" w:customStyle="1" w:styleId="xl86">
    <w:name w:val="xl86"/>
    <w:basedOn w:val="a"/>
    <w:rsid w:val="001D16E7"/>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87">
    <w:name w:val="xl87"/>
    <w:basedOn w:val="a"/>
    <w:rsid w:val="001D16E7"/>
    <w:pPr>
      <w:widowControl/>
      <w:pBdr>
        <w:top w:val="single" w:sz="4" w:space="0" w:color="auto"/>
        <w:left w:val="single" w:sz="4" w:space="0" w:color="auto"/>
        <w:bottom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88">
    <w:name w:val="xl88"/>
    <w:basedOn w:val="a"/>
    <w:rsid w:val="001D16E7"/>
    <w:pPr>
      <w:widowControl/>
      <w:pBdr>
        <w:top w:val="single" w:sz="4" w:space="0" w:color="auto"/>
        <w:bottom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89">
    <w:name w:val="xl89"/>
    <w:basedOn w:val="a"/>
    <w:rsid w:val="001D16E7"/>
    <w:pPr>
      <w:widowControl/>
      <w:pBdr>
        <w:top w:val="single" w:sz="4" w:space="0" w:color="auto"/>
        <w:bottom w:val="single" w:sz="4" w:space="0" w:color="auto"/>
        <w:right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90">
    <w:name w:val="xl90"/>
    <w:basedOn w:val="a"/>
    <w:rsid w:val="001D16E7"/>
    <w:pPr>
      <w:widowControl/>
      <w:pBdr>
        <w:top w:val="single" w:sz="4" w:space="0" w:color="auto"/>
        <w:left w:val="single" w:sz="4" w:space="0" w:color="auto"/>
        <w:bottom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91">
    <w:name w:val="xl91"/>
    <w:basedOn w:val="a"/>
    <w:rsid w:val="001D16E7"/>
    <w:pPr>
      <w:widowControl/>
      <w:pBdr>
        <w:top w:val="single" w:sz="4" w:space="0" w:color="auto"/>
        <w:bottom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92">
    <w:name w:val="xl92"/>
    <w:basedOn w:val="a"/>
    <w:rsid w:val="001D16E7"/>
    <w:pPr>
      <w:widowControl/>
      <w:pBdr>
        <w:top w:val="single" w:sz="4" w:space="0" w:color="auto"/>
        <w:bottom w:val="single" w:sz="4" w:space="0" w:color="auto"/>
        <w:right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93">
    <w:name w:val="xl93"/>
    <w:basedOn w:val="a"/>
    <w:rsid w:val="001D16E7"/>
    <w:pPr>
      <w:widowControl/>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94">
    <w:name w:val="xl94"/>
    <w:basedOn w:val="a"/>
    <w:rsid w:val="001D16E7"/>
    <w:pPr>
      <w:widowControl/>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95">
    <w:name w:val="xl95"/>
    <w:basedOn w:val="a"/>
    <w:rsid w:val="001D16E7"/>
    <w:pPr>
      <w:widowControl/>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kern w:val="0"/>
      <w:sz w:val="24"/>
      <w:szCs w:val="24"/>
    </w:rPr>
  </w:style>
  <w:style w:type="paragraph" w:customStyle="1" w:styleId="xl96">
    <w:name w:val="xl96"/>
    <w:basedOn w:val="a"/>
    <w:rsid w:val="001D16E7"/>
    <w:pPr>
      <w:widowControl/>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97">
    <w:name w:val="xl97"/>
    <w:basedOn w:val="a"/>
    <w:rsid w:val="001D16E7"/>
    <w:pPr>
      <w:widowControl/>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98">
    <w:name w:val="xl98"/>
    <w:basedOn w:val="a"/>
    <w:rsid w:val="001D16E7"/>
    <w:pPr>
      <w:widowControl/>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99">
    <w:name w:val="xl99"/>
    <w:basedOn w:val="a"/>
    <w:rsid w:val="001D16E7"/>
    <w:pPr>
      <w:widowControl/>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100">
    <w:name w:val="xl100"/>
    <w:basedOn w:val="a"/>
    <w:rsid w:val="001D16E7"/>
    <w:pPr>
      <w:widowControl/>
      <w:pBdr>
        <w:top w:val="single" w:sz="4" w:space="0" w:color="auto"/>
        <w:left w:val="single" w:sz="4" w:space="0" w:color="auto"/>
        <w:right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101">
    <w:name w:val="xl101"/>
    <w:basedOn w:val="a"/>
    <w:rsid w:val="001D16E7"/>
    <w:pPr>
      <w:widowControl/>
      <w:pBdr>
        <w:left w:val="single" w:sz="4" w:space="0" w:color="auto"/>
        <w:bottom w:val="single" w:sz="4" w:space="0" w:color="auto"/>
        <w:right w:val="single" w:sz="4" w:space="0" w:color="auto"/>
      </w:pBdr>
      <w:shd w:val="clear" w:color="000000" w:fill="E7E6E6"/>
      <w:spacing w:before="100" w:beforeAutospacing="1" w:after="100" w:afterAutospacing="1" w:line="240" w:lineRule="auto"/>
      <w:jc w:val="left"/>
      <w:textAlignment w:val="center"/>
    </w:pPr>
    <w:rPr>
      <w:rFonts w:ascii="Arial" w:eastAsia="Times New Roman" w:hAnsi="Arial" w:cs="Arial"/>
      <w:kern w:val="0"/>
      <w:sz w:val="24"/>
      <w:szCs w:val="24"/>
    </w:rPr>
  </w:style>
  <w:style w:type="paragraph" w:customStyle="1" w:styleId="xl102">
    <w:name w:val="xl102"/>
    <w:basedOn w:val="a"/>
    <w:rsid w:val="001D16E7"/>
    <w:pPr>
      <w:widowControl/>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103">
    <w:name w:val="xl103"/>
    <w:basedOn w:val="a"/>
    <w:rsid w:val="001D16E7"/>
    <w:pPr>
      <w:widowControl/>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104">
    <w:name w:val="xl104"/>
    <w:basedOn w:val="a"/>
    <w:rsid w:val="001D16E7"/>
    <w:pPr>
      <w:widowControl/>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kern w:val="0"/>
      <w:sz w:val="20"/>
      <w:szCs w:val="20"/>
    </w:rPr>
  </w:style>
  <w:style w:type="paragraph" w:customStyle="1" w:styleId="xl105">
    <w:name w:val="xl105"/>
    <w:basedOn w:val="a"/>
    <w:rsid w:val="001D16E7"/>
    <w:pPr>
      <w:widowControl/>
      <w:pBdr>
        <w:left w:val="single" w:sz="4" w:space="0" w:color="auto"/>
        <w:bottom w:val="single" w:sz="4" w:space="0" w:color="auto"/>
      </w:pBdr>
      <w:shd w:val="clear" w:color="000000" w:fill="000000"/>
      <w:spacing w:before="100" w:beforeAutospacing="1" w:after="100" w:afterAutospacing="1" w:line="240" w:lineRule="auto"/>
      <w:jc w:val="left"/>
      <w:textAlignment w:val="center"/>
    </w:pPr>
    <w:rPr>
      <w:rFonts w:ascii="Arial" w:eastAsia="Times New Roman" w:hAnsi="Arial" w:cs="Arial"/>
      <w:b/>
      <w:bCs/>
      <w:color w:val="FFFFFF"/>
      <w:kern w:val="0"/>
      <w:sz w:val="24"/>
      <w:szCs w:val="24"/>
    </w:rPr>
  </w:style>
  <w:style w:type="paragraph" w:customStyle="1" w:styleId="xl106">
    <w:name w:val="xl106"/>
    <w:basedOn w:val="a"/>
    <w:rsid w:val="001D16E7"/>
    <w:pPr>
      <w:widowControl/>
      <w:pBdr>
        <w:bottom w:val="single" w:sz="4" w:space="0" w:color="auto"/>
      </w:pBdr>
      <w:shd w:val="clear" w:color="000000" w:fill="000000"/>
      <w:spacing w:before="100" w:beforeAutospacing="1" w:after="100" w:afterAutospacing="1" w:line="240" w:lineRule="auto"/>
      <w:jc w:val="left"/>
      <w:textAlignment w:val="center"/>
    </w:pPr>
    <w:rPr>
      <w:rFonts w:ascii="Arial" w:eastAsia="Times New Roman" w:hAnsi="Arial" w:cs="Arial"/>
      <w:b/>
      <w:bCs/>
      <w:color w:val="FFFFFF"/>
      <w:kern w:val="0"/>
      <w:sz w:val="24"/>
      <w:szCs w:val="24"/>
    </w:rPr>
  </w:style>
  <w:style w:type="paragraph" w:customStyle="1" w:styleId="xl107">
    <w:name w:val="xl107"/>
    <w:basedOn w:val="a"/>
    <w:rsid w:val="001D16E7"/>
    <w:pPr>
      <w:widowControl/>
      <w:pBdr>
        <w:bottom w:val="single" w:sz="4" w:space="0" w:color="auto"/>
        <w:right w:val="single" w:sz="4" w:space="0" w:color="auto"/>
      </w:pBdr>
      <w:shd w:val="clear" w:color="000000" w:fill="000000"/>
      <w:spacing w:before="100" w:beforeAutospacing="1" w:after="100" w:afterAutospacing="1" w:line="240" w:lineRule="auto"/>
      <w:jc w:val="left"/>
      <w:textAlignment w:val="center"/>
    </w:pPr>
    <w:rPr>
      <w:rFonts w:ascii="Arial" w:eastAsia="Times New Roman" w:hAnsi="Arial" w:cs="Arial"/>
      <w:b/>
      <w:bCs/>
      <w:color w:val="FFFFFF"/>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973518">
      <w:bodyDiv w:val="1"/>
      <w:marLeft w:val="0"/>
      <w:marRight w:val="0"/>
      <w:marTop w:val="0"/>
      <w:marBottom w:val="0"/>
      <w:divBdr>
        <w:top w:val="none" w:sz="0" w:space="0" w:color="auto"/>
        <w:left w:val="none" w:sz="0" w:space="0" w:color="auto"/>
        <w:bottom w:val="none" w:sz="0" w:space="0" w:color="auto"/>
        <w:right w:val="none" w:sz="0" w:space="0" w:color="auto"/>
      </w:divBdr>
    </w:div>
    <w:div w:id="142799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6804</Words>
  <Characters>38789</Characters>
  <Application>Microsoft Office Word</Application>
  <DocSecurity>0</DocSecurity>
  <Lines>323</Lines>
  <Paragraphs>91</Paragraphs>
  <ScaleCrop>false</ScaleCrop>
  <Company/>
  <LinksUpToDate>false</LinksUpToDate>
  <CharactersWithSpaces>45502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梦思 彭</dc:creator>
  <cp:keywords/>
  <dc:description/>
  <cp:lastModifiedBy>梦思 彭</cp:lastModifiedBy>
  <cp:revision>2</cp:revision>
  <dcterms:created xsi:type="dcterms:W3CDTF">2025-03-09T08:33:00Z</dcterms:created>
  <dcterms:modified xsi:type="dcterms:W3CDTF">2025-03-09T08:40:00Z</dcterms:modified>
</cp:coreProperties>
</file>