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A80" w:rsidRPr="00692377" w:rsidRDefault="006050F1">
      <w:pPr>
        <w:rPr>
          <w:lang w:val="en-US"/>
        </w:rPr>
      </w:pPr>
      <w:r>
        <w:rPr>
          <w:lang w:val="en-US"/>
        </w:rPr>
        <w:t>Additional</w:t>
      </w:r>
      <w:r w:rsidR="00692377" w:rsidRPr="00692377">
        <w:rPr>
          <w:lang w:val="en-US"/>
        </w:rPr>
        <w:t xml:space="preserve"> data to: </w:t>
      </w:r>
    </w:p>
    <w:p w:rsidR="00692377" w:rsidRPr="00692377" w:rsidRDefault="00692377" w:rsidP="00692377">
      <w:pPr>
        <w:spacing w:after="0" w:line="480" w:lineRule="auto"/>
        <w:jc w:val="both"/>
        <w:rPr>
          <w:b/>
          <w:sz w:val="32"/>
          <w:szCs w:val="32"/>
          <w:lang w:val="en-US"/>
        </w:rPr>
      </w:pPr>
      <w:r w:rsidRPr="00692377">
        <w:rPr>
          <w:b/>
          <w:sz w:val="32"/>
          <w:szCs w:val="32"/>
          <w:lang w:val="en-US"/>
        </w:rPr>
        <w:t>Low dose Naltrexone for induction of remission in inflammatory bowel disease patients</w:t>
      </w:r>
    </w:p>
    <w:p w:rsidR="00692377" w:rsidRPr="00692377" w:rsidRDefault="00692377" w:rsidP="00692377">
      <w:pPr>
        <w:spacing w:after="0" w:line="480" w:lineRule="auto"/>
        <w:jc w:val="both"/>
        <w:rPr>
          <w:b/>
          <w:sz w:val="24"/>
          <w:szCs w:val="24"/>
          <w:lang w:val="en-US"/>
        </w:rPr>
      </w:pPr>
    </w:p>
    <w:p w:rsidR="00692377" w:rsidRPr="00D37F27" w:rsidRDefault="00692377" w:rsidP="00692377">
      <w:pPr>
        <w:spacing w:after="0" w:line="480" w:lineRule="auto"/>
        <w:jc w:val="both"/>
        <w:rPr>
          <w:rFonts w:ascii="Calibri" w:hAnsi="Calibri" w:cs="Arial"/>
          <w:sz w:val="24"/>
          <w:szCs w:val="24"/>
        </w:rPr>
      </w:pPr>
      <w:r w:rsidRPr="00D37F27">
        <w:rPr>
          <w:rFonts w:ascii="Calibri" w:hAnsi="Calibri"/>
          <w:sz w:val="24"/>
          <w:szCs w:val="24"/>
        </w:rPr>
        <w:t>Mitchell RKL Lie</w:t>
      </w:r>
      <w:r w:rsidRPr="003E51D4">
        <w:rPr>
          <w:rFonts w:ascii="Calibri" w:hAnsi="Calibri"/>
          <w:sz w:val="24"/>
          <w:szCs w:val="24"/>
          <w:vertAlign w:val="superscript"/>
        </w:rPr>
        <w:t>*</w:t>
      </w:r>
      <w:r w:rsidRPr="00D37F27">
        <w:rPr>
          <w:rFonts w:ascii="Calibri" w:hAnsi="Calibri"/>
          <w:sz w:val="24"/>
          <w:szCs w:val="24"/>
        </w:rPr>
        <w:t xml:space="preserve">, </w:t>
      </w:r>
      <w:r>
        <w:rPr>
          <w:rFonts w:ascii="Calibri" w:hAnsi="Calibri"/>
          <w:sz w:val="24"/>
          <w:szCs w:val="24"/>
        </w:rPr>
        <w:t>Janine van der Giessen</w:t>
      </w:r>
      <w:r w:rsidRPr="004359F6">
        <w:rPr>
          <w:rFonts w:ascii="Calibri" w:hAnsi="Calibri"/>
          <w:sz w:val="24"/>
          <w:szCs w:val="24"/>
          <w:vertAlign w:val="superscript"/>
        </w:rPr>
        <w:t>*</w:t>
      </w:r>
      <w:r>
        <w:rPr>
          <w:rFonts w:ascii="Calibri" w:hAnsi="Calibri"/>
          <w:sz w:val="24"/>
          <w:szCs w:val="24"/>
        </w:rPr>
        <w:t>, Gwenny M Fuhler</w:t>
      </w:r>
      <w:r w:rsidRPr="004359F6">
        <w:rPr>
          <w:rFonts w:ascii="Calibri" w:hAnsi="Calibri"/>
          <w:sz w:val="24"/>
          <w:szCs w:val="24"/>
          <w:vertAlign w:val="superscript"/>
        </w:rPr>
        <w:t>*</w:t>
      </w:r>
      <w:r>
        <w:rPr>
          <w:rFonts w:ascii="Calibri" w:hAnsi="Calibri"/>
          <w:sz w:val="24"/>
          <w:szCs w:val="24"/>
        </w:rPr>
        <w:t xml:space="preserve">, </w:t>
      </w:r>
      <w:r w:rsidRPr="00D37F27">
        <w:rPr>
          <w:rFonts w:ascii="Calibri" w:hAnsi="Calibri"/>
          <w:sz w:val="24"/>
          <w:szCs w:val="24"/>
        </w:rPr>
        <w:t>Alison de Lima</w:t>
      </w:r>
      <w:r w:rsidRPr="00D37F27">
        <w:rPr>
          <w:rFonts w:ascii="Calibri" w:hAnsi="Calibri" w:cs="Arial"/>
          <w:sz w:val="24"/>
          <w:szCs w:val="24"/>
        </w:rPr>
        <w:t xml:space="preserve">, </w:t>
      </w:r>
      <w:r>
        <w:rPr>
          <w:rFonts w:ascii="Calibri" w:hAnsi="Calibri"/>
          <w:sz w:val="24"/>
          <w:szCs w:val="24"/>
        </w:rPr>
        <w:t>Maikel P Peppelenbosch,</w:t>
      </w:r>
      <w:r w:rsidRPr="00D37F27">
        <w:rPr>
          <w:rFonts w:ascii="Calibri" w:hAnsi="Calibri"/>
          <w:sz w:val="24"/>
          <w:szCs w:val="24"/>
        </w:rPr>
        <w:t xml:space="preserve"> Cokkie van der Ent, </w:t>
      </w:r>
      <w:r w:rsidRPr="00D37F27">
        <w:rPr>
          <w:rFonts w:ascii="Calibri" w:hAnsi="Calibri" w:cs="Arial"/>
          <w:sz w:val="24"/>
          <w:szCs w:val="24"/>
        </w:rPr>
        <w:t>C. Janneke van der Woude</w:t>
      </w:r>
      <w:r w:rsidRPr="00105D43">
        <w:rPr>
          <w:rFonts w:ascii="Calibri" w:hAnsi="Calibri" w:cs="Arial"/>
          <w:sz w:val="24"/>
          <w:szCs w:val="24"/>
          <w:vertAlign w:val="superscript"/>
        </w:rPr>
        <w:t>#</w:t>
      </w:r>
    </w:p>
    <w:p w:rsidR="00692377" w:rsidRPr="00D37F27" w:rsidRDefault="00692377" w:rsidP="00692377">
      <w:pPr>
        <w:spacing w:after="0" w:line="480" w:lineRule="auto"/>
        <w:jc w:val="both"/>
        <w:rPr>
          <w:rFonts w:ascii="Calibri" w:hAnsi="Calibri" w:cs="Arial"/>
          <w:sz w:val="24"/>
          <w:szCs w:val="24"/>
        </w:rPr>
      </w:pPr>
    </w:p>
    <w:p w:rsidR="00692377" w:rsidRPr="00692377" w:rsidRDefault="00692377" w:rsidP="00692377">
      <w:pPr>
        <w:spacing w:after="0" w:line="480" w:lineRule="auto"/>
        <w:jc w:val="both"/>
        <w:rPr>
          <w:rFonts w:ascii="Calibri" w:hAnsi="Calibri" w:cs="Arial"/>
          <w:sz w:val="24"/>
          <w:szCs w:val="24"/>
          <w:lang w:val="en-US"/>
        </w:rPr>
      </w:pPr>
      <w:r w:rsidRPr="00692377">
        <w:rPr>
          <w:rFonts w:ascii="Calibri" w:hAnsi="Calibri" w:cs="Arial"/>
          <w:sz w:val="24"/>
          <w:szCs w:val="24"/>
          <w:lang w:val="en-US"/>
        </w:rPr>
        <w:t>Erasmus MC - University Medical Centre Rotterdam, Department of Gastroenterology and Hepatology</w:t>
      </w:r>
    </w:p>
    <w:p w:rsidR="00692377" w:rsidRPr="0044183F" w:rsidRDefault="00692377" w:rsidP="00692377">
      <w:pPr>
        <w:spacing w:after="0" w:line="480" w:lineRule="auto"/>
        <w:rPr>
          <w:lang w:val="en-US"/>
        </w:rPr>
      </w:pPr>
    </w:p>
    <w:p w:rsidR="00692377" w:rsidRPr="0044183F" w:rsidRDefault="00692377" w:rsidP="00692377">
      <w:pPr>
        <w:spacing w:after="0" w:line="480" w:lineRule="auto"/>
        <w:rPr>
          <w:lang w:val="en-US"/>
        </w:rPr>
      </w:pPr>
      <w:r w:rsidRPr="0044183F">
        <w:rPr>
          <w:lang w:val="en-US"/>
        </w:rPr>
        <w:t xml:space="preserve">Material and Methods: </w:t>
      </w:r>
    </w:p>
    <w:p w:rsidR="00692377" w:rsidRPr="0044183F" w:rsidRDefault="00692377" w:rsidP="00692377">
      <w:pPr>
        <w:spacing w:after="0" w:line="480" w:lineRule="auto"/>
        <w:rPr>
          <w:u w:val="single"/>
          <w:lang w:val="en-US"/>
        </w:rPr>
      </w:pPr>
      <w:r w:rsidRPr="0044183F">
        <w:rPr>
          <w:u w:val="single"/>
          <w:lang w:val="en-US"/>
        </w:rPr>
        <w:t xml:space="preserve">Organoid culture </w:t>
      </w:r>
    </w:p>
    <w:p w:rsidR="00692377" w:rsidRDefault="0044183F" w:rsidP="00692377">
      <w:pPr>
        <w:spacing w:after="0" w:line="480" w:lineRule="auto"/>
      </w:pPr>
      <w:r>
        <w:rPr>
          <w:lang w:val="en-US"/>
        </w:rPr>
        <w:t>Non-inflamed i</w:t>
      </w:r>
      <w:r w:rsidR="00692377" w:rsidRPr="0044183F">
        <w:rPr>
          <w:lang w:val="en-US"/>
        </w:rPr>
        <w:t xml:space="preserve">ntestinal biopsies </w:t>
      </w:r>
      <w:r>
        <w:rPr>
          <w:lang w:val="en-US"/>
        </w:rPr>
        <w:t xml:space="preserve">were </w:t>
      </w:r>
      <w:r w:rsidR="00692377" w:rsidRPr="0044183F">
        <w:rPr>
          <w:lang w:val="en-US"/>
        </w:rPr>
        <w:t xml:space="preserve">collected from two IBD patients undergoing routine endoscopy for their disease. Organoids </w:t>
      </w:r>
      <w:r>
        <w:rPr>
          <w:lang w:val="en-US"/>
        </w:rPr>
        <w:t>were collected in</w:t>
      </w:r>
      <w:r w:rsidR="00692377" w:rsidRPr="0044183F">
        <w:rPr>
          <w:lang w:val="en-US"/>
        </w:rPr>
        <w:t xml:space="preserve"> PBS and transferred into a 15 mL tube containing 10 mL complete chelating solution (CCS, </w:t>
      </w:r>
      <w:proofErr w:type="spellStart"/>
      <w:r w:rsidR="00692377" w:rsidRPr="0044183F">
        <w:rPr>
          <w:lang w:val="en-US"/>
        </w:rPr>
        <w:t>MilliQ</w:t>
      </w:r>
      <w:proofErr w:type="spellEnd"/>
      <w:r w:rsidR="00692377" w:rsidRPr="0044183F">
        <w:rPr>
          <w:lang w:val="en-US"/>
        </w:rPr>
        <w:t xml:space="preserve"> </w:t>
      </w:r>
      <w:proofErr w:type="spellStart"/>
      <w:r w:rsidR="00692377" w:rsidRPr="0044183F">
        <w:rPr>
          <w:lang w:val="en-US"/>
        </w:rPr>
        <w:t>H</w:t>
      </w:r>
      <w:r w:rsidR="00692377" w:rsidRPr="0044183F">
        <w:rPr>
          <w:vertAlign w:val="subscript"/>
          <w:lang w:val="en-US"/>
        </w:rPr>
        <w:t>2</w:t>
      </w:r>
      <w:r w:rsidR="00692377" w:rsidRPr="0044183F">
        <w:rPr>
          <w:lang w:val="en-US"/>
        </w:rPr>
        <w:t>O</w:t>
      </w:r>
      <w:proofErr w:type="spellEnd"/>
      <w:r w:rsidR="00692377" w:rsidRPr="0044183F">
        <w:rPr>
          <w:lang w:val="en-US"/>
        </w:rPr>
        <w:t xml:space="preserve"> was supplemented with 1.0 g/L of Na2HPO4-2H2</w:t>
      </w:r>
      <w:bookmarkStart w:id="0" w:name="_GoBack"/>
      <w:bookmarkEnd w:id="0"/>
      <w:r w:rsidR="00692377" w:rsidRPr="0044183F">
        <w:rPr>
          <w:lang w:val="en-US"/>
        </w:rPr>
        <w:t xml:space="preserve">O, 1.08 g/L of KH2PO4, 5.6 g/L of </w:t>
      </w:r>
      <w:proofErr w:type="spellStart"/>
      <w:r w:rsidR="00692377" w:rsidRPr="0044183F">
        <w:rPr>
          <w:lang w:val="en-US"/>
        </w:rPr>
        <w:t>NaCl</w:t>
      </w:r>
      <w:proofErr w:type="spellEnd"/>
      <w:r w:rsidR="00692377" w:rsidRPr="0044183F">
        <w:rPr>
          <w:lang w:val="en-US"/>
        </w:rPr>
        <w:t xml:space="preserve">, 0.12 g/L of </w:t>
      </w:r>
      <w:proofErr w:type="spellStart"/>
      <w:r w:rsidR="00692377" w:rsidRPr="0044183F">
        <w:rPr>
          <w:lang w:val="en-US"/>
        </w:rPr>
        <w:t>KCl</w:t>
      </w:r>
      <w:proofErr w:type="spellEnd"/>
      <w:r w:rsidR="00692377" w:rsidRPr="0044183F">
        <w:rPr>
          <w:lang w:val="en-US"/>
        </w:rPr>
        <w:t xml:space="preserve">, 15 g/L of Sucrose, 10 g/L of D-Sorbitol and 80 </w:t>
      </w:r>
      <w:proofErr w:type="spellStart"/>
      <w:r w:rsidR="00692377" w:rsidRPr="0044183F">
        <w:rPr>
          <w:lang w:val="en-US"/>
        </w:rPr>
        <w:t>lg</w:t>
      </w:r>
      <w:proofErr w:type="spellEnd"/>
      <w:r w:rsidR="00692377" w:rsidRPr="0044183F">
        <w:rPr>
          <w:lang w:val="en-US"/>
        </w:rPr>
        <w:t xml:space="preserve">/L of DL-dithiothreitol). Biopsies were washed three times by pipetting up and down 8–10 times. Biopsies were transferred into a 50 mL tube with 5mL CCS and 100 </w:t>
      </w:r>
      <w:proofErr w:type="spellStart"/>
      <w:r w:rsidR="00692377" w:rsidRPr="0044183F">
        <w:rPr>
          <w:lang w:val="en-US"/>
        </w:rPr>
        <w:t>uL</w:t>
      </w:r>
      <w:proofErr w:type="spellEnd"/>
      <w:r w:rsidR="00692377" w:rsidRPr="0044183F">
        <w:rPr>
          <w:lang w:val="en-US"/>
        </w:rPr>
        <w:t xml:space="preserve"> </w:t>
      </w:r>
      <w:proofErr w:type="spellStart"/>
      <w:r w:rsidR="00692377" w:rsidRPr="0044183F">
        <w:rPr>
          <w:lang w:val="en-US"/>
        </w:rPr>
        <w:t>0.5M</w:t>
      </w:r>
      <w:proofErr w:type="spellEnd"/>
      <w:r w:rsidR="00692377" w:rsidRPr="0044183F">
        <w:rPr>
          <w:lang w:val="en-US"/>
        </w:rPr>
        <w:t xml:space="preserve"> EDTA was added, </w:t>
      </w:r>
      <w:proofErr w:type="gramStart"/>
      <w:r w:rsidR="00692377" w:rsidRPr="0044183F">
        <w:rPr>
          <w:lang w:val="en-US"/>
        </w:rPr>
        <w:t>then</w:t>
      </w:r>
      <w:proofErr w:type="gramEnd"/>
      <w:r w:rsidR="00692377" w:rsidRPr="0044183F">
        <w:rPr>
          <w:lang w:val="en-US"/>
        </w:rPr>
        <w:t xml:space="preserve"> incubated on a </w:t>
      </w:r>
      <w:proofErr w:type="spellStart"/>
      <w:r w:rsidR="00692377" w:rsidRPr="0044183F">
        <w:rPr>
          <w:lang w:val="en-US"/>
        </w:rPr>
        <w:t>rollerplate</w:t>
      </w:r>
      <w:proofErr w:type="spellEnd"/>
      <w:r w:rsidR="00692377" w:rsidRPr="0044183F">
        <w:rPr>
          <w:lang w:val="en-US"/>
        </w:rPr>
        <w:t xml:space="preserve"> for 35 minutes at 4</w:t>
      </w:r>
      <w:r w:rsidR="00692377" w:rsidRPr="0044183F">
        <w:rPr>
          <w:rFonts w:cs="Times New Roman"/>
          <w:lang w:val="en-US"/>
        </w:rPr>
        <w:t xml:space="preserve">°C. </w:t>
      </w:r>
      <w:r w:rsidR="00692377" w:rsidRPr="0044183F">
        <w:rPr>
          <w:lang w:val="en-US"/>
        </w:rPr>
        <w:t xml:space="preserve">Supernatant with EDTA was discarded and 5 ml fresh CCS solution was added. It was thoroughly suspended by pipetting up and down with 10 ml tip for 8–10 times to loosen crypts. Supernatant with crypts was transferred into a 15 ml tube and 2 ml FCS was added. Then, crypt suspension was centrifuged at 1200 RPM for 5 min. Supernatant was discarded and crypts were re-suspended in 12 ml cold advanced DMEM (Advanced DMEM/F12, 5 mL 100x </w:t>
      </w:r>
      <w:proofErr w:type="spellStart"/>
      <w:r w:rsidR="00692377" w:rsidRPr="0044183F">
        <w:rPr>
          <w:lang w:val="en-US"/>
        </w:rPr>
        <w:t>GlutaMAX</w:t>
      </w:r>
      <w:proofErr w:type="spellEnd"/>
      <w:r w:rsidR="00692377" w:rsidRPr="0044183F">
        <w:rPr>
          <w:lang w:val="en-US"/>
        </w:rPr>
        <w:t xml:space="preserve"> (GMX), 1% P/S, 500 </w:t>
      </w:r>
      <w:r w:rsidR="00692377" w:rsidRPr="0041536E">
        <w:rPr>
          <w:rFonts w:cs="Times New Roman"/>
        </w:rPr>
        <w:t>μ</w:t>
      </w:r>
      <w:r w:rsidR="00692377" w:rsidRPr="0044183F">
        <w:rPr>
          <w:rFonts w:cs="Times New Roman"/>
          <w:lang w:val="en-US"/>
        </w:rPr>
        <w:t xml:space="preserve">L Gentamicin and 5mL 1M HEPES) </w:t>
      </w:r>
      <w:r w:rsidR="00692377" w:rsidRPr="0044183F">
        <w:rPr>
          <w:lang w:val="en-US"/>
        </w:rPr>
        <w:t xml:space="preserve">and centrifuged at 800 RPM for 5 min at 4 </w:t>
      </w:r>
      <w:r w:rsidR="00692377" w:rsidRPr="0044183F">
        <w:rPr>
          <w:rFonts w:cs="Times New Roman"/>
          <w:lang w:val="en-US"/>
        </w:rPr>
        <w:t>°C.</w:t>
      </w:r>
      <w:r w:rsidR="00692377" w:rsidRPr="0044183F">
        <w:rPr>
          <w:lang w:val="en-US"/>
        </w:rPr>
        <w:t xml:space="preserve"> Crypts were suspended in 50 </w:t>
      </w:r>
      <w:r w:rsidR="00692377" w:rsidRPr="0041536E">
        <w:rPr>
          <w:rFonts w:cs="Times New Roman"/>
        </w:rPr>
        <w:t>μ</w:t>
      </w:r>
      <w:r w:rsidR="00692377" w:rsidRPr="0044183F">
        <w:rPr>
          <w:lang w:val="en-US"/>
        </w:rPr>
        <w:t xml:space="preserve">L growth factor reduced </w:t>
      </w:r>
      <w:r w:rsidR="00692377" w:rsidRPr="0044183F">
        <w:rPr>
          <w:lang w:val="en-US"/>
        </w:rPr>
        <w:lastRenderedPageBreak/>
        <w:t xml:space="preserve">phenol-red free </w:t>
      </w:r>
      <w:proofErr w:type="spellStart"/>
      <w:r w:rsidR="00692377" w:rsidRPr="0044183F">
        <w:rPr>
          <w:lang w:val="en-US"/>
        </w:rPr>
        <w:t>Matrigel</w:t>
      </w:r>
      <w:proofErr w:type="spellEnd"/>
      <w:r w:rsidR="00692377" w:rsidRPr="0044183F">
        <w:rPr>
          <w:lang w:val="en-US"/>
        </w:rPr>
        <w:t xml:space="preserve"> (Corning, Bedford, USA). Then, a 50 </w:t>
      </w:r>
      <w:r w:rsidR="00692377" w:rsidRPr="0041536E">
        <w:rPr>
          <w:rFonts w:cs="Times New Roman"/>
        </w:rPr>
        <w:t>μ</w:t>
      </w:r>
      <w:r w:rsidR="00692377" w:rsidRPr="0044183F">
        <w:rPr>
          <w:lang w:val="en-US"/>
        </w:rPr>
        <w:t xml:space="preserve">L droplet of </w:t>
      </w:r>
      <w:proofErr w:type="spellStart"/>
      <w:r w:rsidR="00692377" w:rsidRPr="0044183F">
        <w:rPr>
          <w:lang w:val="en-US"/>
        </w:rPr>
        <w:t>Matrigel</w:t>
      </w:r>
      <w:proofErr w:type="spellEnd"/>
      <w:r w:rsidR="00692377" w:rsidRPr="0044183F">
        <w:rPr>
          <w:lang w:val="en-US"/>
        </w:rPr>
        <w:t>/crypt mix was placed in the center of each well of a 24-well plate, and was subsequently incubated at 3</w:t>
      </w:r>
      <w:r w:rsidR="00692377" w:rsidRPr="0044183F">
        <w:rPr>
          <w:rFonts w:cs="Times New Roman"/>
          <w:lang w:val="en-US"/>
        </w:rPr>
        <w:t>7°</w:t>
      </w:r>
      <w:r w:rsidR="00692377" w:rsidRPr="0044183F">
        <w:rPr>
          <w:lang w:val="en-US"/>
        </w:rPr>
        <w:t xml:space="preserve">C with 5% CO2 for 15 min. 700  </w:t>
      </w:r>
      <w:r w:rsidR="00692377" w:rsidRPr="0041536E">
        <w:rPr>
          <w:rFonts w:cs="Times New Roman"/>
        </w:rPr>
        <w:t>μ</w:t>
      </w:r>
      <w:r w:rsidR="00692377" w:rsidRPr="0044183F">
        <w:rPr>
          <w:rFonts w:cs="Times New Roman"/>
          <w:lang w:val="en-US"/>
        </w:rPr>
        <w:t>L</w:t>
      </w:r>
      <w:r w:rsidR="00692377" w:rsidRPr="0044183F">
        <w:rPr>
          <w:lang w:val="en-US"/>
        </w:rPr>
        <w:t xml:space="preserve"> of culture medium was added per well. The culture medium was supplemented with CMGF-, 2%  of B-27 supplements (</w:t>
      </w:r>
      <w:proofErr w:type="spellStart"/>
      <w:r w:rsidR="00692377" w:rsidRPr="0044183F">
        <w:rPr>
          <w:lang w:val="en-US"/>
        </w:rPr>
        <w:t>Gibco</w:t>
      </w:r>
      <w:proofErr w:type="spellEnd"/>
      <w:r w:rsidR="00692377" w:rsidRPr="0044183F">
        <w:rPr>
          <w:lang w:val="en-US"/>
        </w:rPr>
        <w:t>, Grand Island, USA), 1% of N2 Supplements (</w:t>
      </w:r>
      <w:proofErr w:type="spellStart"/>
      <w:r w:rsidR="00692377" w:rsidRPr="0044183F">
        <w:rPr>
          <w:lang w:val="en-US"/>
        </w:rPr>
        <w:t>Gibco</w:t>
      </w:r>
      <w:proofErr w:type="spellEnd"/>
      <w:r w:rsidR="00692377" w:rsidRPr="0044183F">
        <w:rPr>
          <w:lang w:val="en-US"/>
        </w:rPr>
        <w:t xml:space="preserve">, Grand Island, USA), 500 pg/L of EGF, 1 mM n-Acetyl Cysteine, 10 mM Nicotinamide, 0.5 </w:t>
      </w:r>
      <w:r w:rsidR="00692377" w:rsidRPr="0041536E">
        <w:rPr>
          <w:rFonts w:cs="Times New Roman"/>
        </w:rPr>
        <w:t>μ</w:t>
      </w:r>
      <w:r w:rsidR="00692377" w:rsidRPr="0044183F">
        <w:rPr>
          <w:lang w:val="en-US"/>
        </w:rPr>
        <w:t xml:space="preserve">M A83-01 (TGF-b inhibitor), 3 </w:t>
      </w:r>
      <w:r w:rsidR="00692377" w:rsidRPr="0041536E">
        <w:rPr>
          <w:rFonts w:cs="Times New Roman"/>
        </w:rPr>
        <w:t>μ</w:t>
      </w:r>
      <w:r w:rsidR="00692377" w:rsidRPr="0044183F">
        <w:rPr>
          <w:lang w:val="en-US"/>
        </w:rPr>
        <w:t>M SB202190 (p38 inhibitor), 20% (vol/vol) of R-</w:t>
      </w:r>
      <w:proofErr w:type="spellStart"/>
      <w:r w:rsidR="00692377" w:rsidRPr="0044183F">
        <w:rPr>
          <w:lang w:val="en-US"/>
        </w:rPr>
        <w:t>Spondin</w:t>
      </w:r>
      <w:proofErr w:type="spellEnd"/>
      <w:r w:rsidR="00692377" w:rsidRPr="0044183F">
        <w:rPr>
          <w:lang w:val="en-US"/>
        </w:rPr>
        <w:t xml:space="preserve"> 1 (conditioned medium), 10% (vol/vol) of Noggin (conditioned medium) and 50% (vol/vol) of </w:t>
      </w:r>
      <w:proofErr w:type="spellStart"/>
      <w:r w:rsidR="00692377" w:rsidRPr="0044183F">
        <w:rPr>
          <w:lang w:val="en-US"/>
        </w:rPr>
        <w:t>Wnt3a</w:t>
      </w:r>
      <w:proofErr w:type="spellEnd"/>
      <w:r w:rsidR="00692377" w:rsidRPr="0044183F">
        <w:rPr>
          <w:lang w:val="en-US"/>
        </w:rPr>
        <w:t xml:space="preserve"> (conditioned medium). Culture medium was refreshed every 3 days, and organoids were passaged every 7 days. Passaging of human organoids was done by solubilizing </w:t>
      </w:r>
      <w:proofErr w:type="spellStart"/>
      <w:r w:rsidR="00692377" w:rsidRPr="0044183F">
        <w:rPr>
          <w:lang w:val="en-US"/>
        </w:rPr>
        <w:t>Matrigel</w:t>
      </w:r>
      <w:proofErr w:type="spellEnd"/>
      <w:r w:rsidR="00692377" w:rsidRPr="0044183F">
        <w:rPr>
          <w:lang w:val="en-US"/>
        </w:rPr>
        <w:t xml:space="preserve"> and mechanically breaking up the organoids by passing through a 5 ml tip inserting a 200 </w:t>
      </w:r>
      <w:r w:rsidR="00692377" w:rsidRPr="0041536E">
        <w:rPr>
          <w:rFonts w:cs="Times New Roman"/>
        </w:rPr>
        <w:t>μ</w:t>
      </w:r>
      <w:r w:rsidR="00692377" w:rsidRPr="0044183F">
        <w:rPr>
          <w:rFonts w:cs="Times New Roman"/>
          <w:lang w:val="en-US"/>
        </w:rPr>
        <w:t>L</w:t>
      </w:r>
      <w:r w:rsidR="00692377" w:rsidRPr="0044183F">
        <w:rPr>
          <w:lang w:val="en-US"/>
        </w:rPr>
        <w:t xml:space="preserve"> tip, single cells were then transferred to fresh </w:t>
      </w:r>
      <w:proofErr w:type="spellStart"/>
      <w:r w:rsidR="00692377" w:rsidRPr="0044183F">
        <w:rPr>
          <w:lang w:val="en-US"/>
        </w:rPr>
        <w:t>Matrigel</w:t>
      </w:r>
      <w:proofErr w:type="spellEnd"/>
      <w:r w:rsidR="00692377" w:rsidRPr="0044183F">
        <w:rPr>
          <w:lang w:val="en-US"/>
        </w:rPr>
        <w:t xml:space="preserve">. The passaging was performed every 5–6 days with a 1:3 split ratio. </w:t>
      </w:r>
      <w:r w:rsidR="00692377" w:rsidRPr="00F215BE">
        <w:t>Each well contains 10 or more organoids</w:t>
      </w:r>
      <w:r w:rsidR="00692377">
        <w:t>.</w:t>
      </w:r>
    </w:p>
    <w:p w:rsidR="00692377" w:rsidRDefault="00692377" w:rsidP="00692377">
      <w:pPr>
        <w:spacing w:after="0" w:line="480" w:lineRule="auto"/>
      </w:pPr>
    </w:p>
    <w:p w:rsidR="00692377" w:rsidRPr="00895101" w:rsidRDefault="00692377" w:rsidP="00692377">
      <w:pPr>
        <w:spacing w:after="0" w:line="480" w:lineRule="auto"/>
        <w:rPr>
          <w:rFonts w:cs="Times New Roman"/>
          <w:b/>
          <w:u w:val="single"/>
        </w:rPr>
      </w:pPr>
      <w:r w:rsidRPr="00895101">
        <w:rPr>
          <w:rFonts w:cs="Times New Roman"/>
          <w:u w:val="single"/>
        </w:rPr>
        <w:t>Cell viability assay</w:t>
      </w:r>
    </w:p>
    <w:p w:rsidR="00692377" w:rsidRPr="0044183F" w:rsidRDefault="00692377" w:rsidP="00692377">
      <w:pPr>
        <w:spacing w:after="0" w:line="480" w:lineRule="auto"/>
        <w:rPr>
          <w:b/>
          <w:lang w:val="en-US"/>
        </w:rPr>
      </w:pPr>
      <w:r w:rsidRPr="00692377">
        <w:rPr>
          <w:rFonts w:cs="Times New Roman"/>
          <w:lang w:val="en-US"/>
        </w:rPr>
        <w:t>Cell viability was assessed using MTT assays.</w:t>
      </w:r>
      <w:r>
        <w:rPr>
          <w:rFonts w:cs="Times New Roman"/>
          <w:lang w:val="en-US"/>
        </w:rPr>
        <w:t xml:space="preserve"> </w:t>
      </w:r>
      <w:r w:rsidRPr="00692377">
        <w:rPr>
          <w:rFonts w:cs="Times New Roman"/>
          <w:lang w:val="en-US"/>
        </w:rPr>
        <w:t xml:space="preserve"> Cells (10,000) were seeded in 96 wells plates, and upon adhesion were treated with different concentrations of Naltrexone (</w:t>
      </w:r>
      <w:bookmarkStart w:id="1" w:name="OLE_LINK1"/>
      <w:r w:rsidRPr="00692377">
        <w:rPr>
          <w:rFonts w:cs="Times New Roman"/>
          <w:lang w:val="en-US"/>
        </w:rPr>
        <w:t xml:space="preserve">Sigma Aldrich, St Louis, MA). </w:t>
      </w:r>
      <w:bookmarkEnd w:id="1"/>
      <w:r w:rsidRPr="0044183F">
        <w:rPr>
          <w:rFonts w:cs="Times New Roman"/>
          <w:lang w:val="en-US"/>
        </w:rPr>
        <w:t xml:space="preserve">After 24h 48h and 72h, cells were incubated with 5mM MTT (3-(4,5-Dimethylthiazol-2-yl)-2,5-diphenyltetrazolium bromide, Sigma Aldrich, St Louis, MA) for 3h and colorimetric changes were measured using a microplate reader (Model 680XR Bio-Rad) at 490 and 595 nm. </w:t>
      </w:r>
    </w:p>
    <w:p w:rsidR="009607B2" w:rsidRDefault="009607B2" w:rsidP="009607B2">
      <w:pPr>
        <w:pStyle w:val="NoSpacing"/>
        <w:spacing w:line="480" w:lineRule="auto"/>
        <w:jc w:val="both"/>
        <w:rPr>
          <w:rFonts w:cs="Times New Roman"/>
          <w:sz w:val="24"/>
          <w:szCs w:val="24"/>
          <w:u w:val="single"/>
        </w:rPr>
      </w:pPr>
    </w:p>
    <w:p w:rsidR="009607B2" w:rsidRPr="00895101" w:rsidRDefault="009607B2" w:rsidP="009607B2">
      <w:pPr>
        <w:pStyle w:val="NoSpacing"/>
        <w:spacing w:line="480" w:lineRule="auto"/>
        <w:jc w:val="both"/>
        <w:rPr>
          <w:rFonts w:cs="Times New Roman"/>
          <w:sz w:val="24"/>
          <w:szCs w:val="24"/>
          <w:u w:val="single"/>
        </w:rPr>
      </w:pPr>
      <w:r w:rsidRPr="00895101">
        <w:rPr>
          <w:rFonts w:cs="Times New Roman"/>
          <w:sz w:val="24"/>
          <w:szCs w:val="24"/>
          <w:u w:val="single"/>
        </w:rPr>
        <w:t>Wound healing assay</w:t>
      </w:r>
    </w:p>
    <w:p w:rsidR="009607B2" w:rsidRPr="00895101" w:rsidRDefault="009607B2" w:rsidP="009607B2">
      <w:pPr>
        <w:pStyle w:val="NoSpacing"/>
        <w:spacing w:line="480" w:lineRule="auto"/>
        <w:jc w:val="both"/>
        <w:rPr>
          <w:rFonts w:cs="Times New Roman"/>
          <w:sz w:val="24"/>
          <w:szCs w:val="24"/>
        </w:rPr>
      </w:pPr>
      <w:r w:rsidRPr="00895101">
        <w:rPr>
          <w:rFonts w:cs="Times New Roman"/>
          <w:sz w:val="24"/>
          <w:szCs w:val="24"/>
        </w:rPr>
        <w:t xml:space="preserve">In short, in scratch-wound assays, cell monolayers were scratched with a pipette tip, washed twice, and treated with 1 </w:t>
      </w:r>
      <w:proofErr w:type="spellStart"/>
      <w:r w:rsidRPr="00895101">
        <w:rPr>
          <w:rFonts w:cs="Times New Roman"/>
          <w:sz w:val="24"/>
          <w:szCs w:val="24"/>
        </w:rPr>
        <w:t>μM</w:t>
      </w:r>
      <w:proofErr w:type="spellEnd"/>
      <w:r w:rsidRPr="00895101">
        <w:rPr>
          <w:rFonts w:cs="Times New Roman"/>
          <w:sz w:val="24"/>
          <w:szCs w:val="24"/>
        </w:rPr>
        <w:t xml:space="preserve"> Naltrexone or vehicle control. Concentration Naltrexone used was based on </w:t>
      </w:r>
      <w:r w:rsidRPr="00895101">
        <w:rPr>
          <w:rFonts w:cs="Times New Roman"/>
          <w:i/>
          <w:sz w:val="24"/>
          <w:szCs w:val="24"/>
        </w:rPr>
        <w:t>in vivo</w:t>
      </w:r>
      <w:r w:rsidRPr="00895101">
        <w:rPr>
          <w:rFonts w:cs="Times New Roman"/>
          <w:sz w:val="24"/>
          <w:szCs w:val="24"/>
        </w:rPr>
        <w:t xml:space="preserve"> dosages (4.5 mg per ±60 kg bodyweight). Photographs were taken (Axiovert200 M microscope; Carl Zeiss BV, </w:t>
      </w:r>
      <w:proofErr w:type="spellStart"/>
      <w:r w:rsidRPr="00895101">
        <w:rPr>
          <w:rFonts w:cs="Times New Roman"/>
          <w:sz w:val="24"/>
          <w:szCs w:val="24"/>
        </w:rPr>
        <w:t>Sliedrecht</w:t>
      </w:r>
      <w:proofErr w:type="spellEnd"/>
      <w:r w:rsidRPr="00895101">
        <w:rPr>
          <w:rFonts w:cs="Times New Roman"/>
          <w:sz w:val="24"/>
          <w:szCs w:val="24"/>
        </w:rPr>
        <w:t xml:space="preserve">, The Netherlands) to analyze the </w:t>
      </w:r>
      <w:r w:rsidRPr="00895101">
        <w:rPr>
          <w:rFonts w:cs="Times New Roman"/>
          <w:sz w:val="24"/>
          <w:szCs w:val="24"/>
        </w:rPr>
        <w:lastRenderedPageBreak/>
        <w:t xml:space="preserve">percentage of open wound area at 24 h (ImageJ software; US National Institutes of Health, Bethesda, MD, USA). Experiments were performed thrice in duplicate, with two measure-sites per scratch. </w:t>
      </w:r>
    </w:p>
    <w:p w:rsidR="00692377" w:rsidRDefault="00692377" w:rsidP="00692377">
      <w:pPr>
        <w:jc w:val="both"/>
        <w:rPr>
          <w:lang w:val="en-US"/>
        </w:rPr>
      </w:pPr>
    </w:p>
    <w:p w:rsidR="009607B2" w:rsidRPr="00895101" w:rsidRDefault="009607B2" w:rsidP="009607B2">
      <w:pPr>
        <w:pStyle w:val="Heading2"/>
        <w:spacing w:before="0" w:line="480" w:lineRule="auto"/>
        <w:rPr>
          <w:rFonts w:asciiTheme="minorHAnsi" w:hAnsiTheme="minorHAnsi" w:cs="Times New Roman"/>
          <w:b w:val="0"/>
          <w:color w:val="auto"/>
          <w:sz w:val="24"/>
          <w:szCs w:val="24"/>
          <w:u w:val="single"/>
        </w:rPr>
      </w:pPr>
      <w:r w:rsidRPr="00895101">
        <w:rPr>
          <w:rFonts w:asciiTheme="minorHAnsi" w:hAnsiTheme="minorHAnsi" w:cs="Times New Roman"/>
          <w:b w:val="0"/>
          <w:color w:val="auto"/>
          <w:sz w:val="24"/>
          <w:szCs w:val="24"/>
          <w:u w:val="single"/>
        </w:rPr>
        <w:t>Western blotting</w:t>
      </w:r>
    </w:p>
    <w:p w:rsidR="009607B2" w:rsidRPr="009607B2" w:rsidRDefault="009607B2" w:rsidP="009607B2">
      <w:pPr>
        <w:pStyle w:val="NoSpacing"/>
        <w:spacing w:line="480" w:lineRule="auto"/>
        <w:jc w:val="both"/>
        <w:rPr>
          <w:rFonts w:cs="Times New Roman"/>
          <w:sz w:val="24"/>
          <w:szCs w:val="24"/>
        </w:rPr>
      </w:pPr>
      <w:r w:rsidRPr="009607B2">
        <w:rPr>
          <w:rFonts w:cs="Times New Roman"/>
          <w:sz w:val="24"/>
          <w:szCs w:val="24"/>
        </w:rPr>
        <w:t xml:space="preserve">Western blotting was performed as described </w:t>
      </w:r>
      <w:r w:rsidR="005F5C96" w:rsidRPr="009607B2">
        <w:rPr>
          <w:rFonts w:cs="Times New Roman"/>
          <w:sz w:val="24"/>
          <w:szCs w:val="24"/>
        </w:rPr>
        <w:fldChar w:fldCharType="begin" w:fldLock="1"/>
      </w:r>
      <w:r w:rsidRPr="009607B2">
        <w:rPr>
          <w:rFonts w:cs="Times New Roman"/>
          <w:sz w:val="24"/>
          <w:szCs w:val="24"/>
        </w:rPr>
        <w:instrText>ADDIN CSL_CITATION { "citationItems" : [ { "id" : "ITEM-1", "itemData" : { "DOI" : "10.1016/j.bbcan.2012.04.001", "ISSN" : "0006-3002", "PMID" : "22521639", "abstract" : "Colorectal cancer is one of the most common oncogenic diseases in the Western world. Several cancer associated cellular pathways have been identified, in which protein phosphorylation and dephosphorylation, especially on tyrosine residues, are one of most abundant regulatory mechanisms. The balance between these processes is under tight control by protein tyrosine kinases (PTKs) and protein tyrosine phosphatases (PTPs). Aberrant activity of oncogenic PTKs is present in a large portion of human cancers. Because of the counteracting role of PTPs on phosphorylation-based activation of signal pathways, it has long been thought that PTPs must act as tumor suppressors. This dogma is now being challenged, with recent evidence showing that dephosphorylation events induced by some PTPs may actually stimulate tumor formation. As such, PTPs might form a novel attractive target for anticancer therapy. In this review, we summarize the action of different PTPs, the consequences of their altered expression in colorectal cancer, and their potential as target for the treatment of this deadly disease.", "author" : [ { "dropping-particle" : "", "family" : "Hoekstra", "given" : "Elmer", "non-dropping-particle" : "", "parse-names" : false, "suffix" : "" }, { "dropping-particle" : "", "family" : "Peppelenbosch", "given" : "Maikel P", "non-dropping-particle" : "", "parse-names" : false, "suffix" : "" }, { "dropping-particle" : "", "family" : "Fuhler", "given" : "Gwenny M", "non-dropping-particle" : "", "parse-names" : false, "suffix" : "" } ], "container-title" : "Biochimica et biophysica acta", "id" : "ITEM-1", "issue" : "1", "issued" : { "date-parts" : [ [ "2012" ] ] }, "page" : "179-88", "publisher" : "Elsevier B.V.", "title" : "The role of protein tyrosine phosphatases in colorectal cancer.", "type" : "article-journal", "volume" : "1826" }, "uris" : [ "http://www.mendeley.com/documents/?uuid=a5174dfe-720f-45d3-bfe6-c24067f6d504" ] } ], "mendeley" : { "formattedCitation" : "[26]", "plainTextFormattedCitation" : "[26]", "previouslyFormattedCitation" : "[26]" }, "properties" : { "noteIndex" : 0 }, "schema" : "https://github.com/citation-style-language/schema/raw/master/csl-citation.json" }</w:instrText>
      </w:r>
      <w:r w:rsidR="005F5C96" w:rsidRPr="009607B2">
        <w:rPr>
          <w:rFonts w:cs="Times New Roman"/>
          <w:sz w:val="24"/>
          <w:szCs w:val="24"/>
        </w:rPr>
        <w:fldChar w:fldCharType="separate"/>
      </w:r>
      <w:r w:rsidRPr="009607B2">
        <w:rPr>
          <w:rFonts w:cs="Times New Roman"/>
          <w:noProof/>
          <w:sz w:val="24"/>
          <w:szCs w:val="24"/>
        </w:rPr>
        <w:t>[26]</w:t>
      </w:r>
      <w:r w:rsidR="005F5C96" w:rsidRPr="009607B2">
        <w:rPr>
          <w:rFonts w:cs="Times New Roman"/>
          <w:sz w:val="24"/>
          <w:szCs w:val="24"/>
        </w:rPr>
        <w:fldChar w:fldCharType="end"/>
      </w:r>
      <w:r w:rsidRPr="009607B2">
        <w:rPr>
          <w:rFonts w:cs="Times New Roman"/>
          <w:sz w:val="24"/>
          <w:szCs w:val="24"/>
        </w:rPr>
        <w:t>, with  modifications. HCT116 and CACO-2 cells were treated with Tunicamycin (</w:t>
      </w:r>
      <w:proofErr w:type="spellStart"/>
      <w:r w:rsidRPr="009607B2">
        <w:rPr>
          <w:rFonts w:cs="Times New Roman"/>
          <w:sz w:val="24"/>
          <w:szCs w:val="24"/>
        </w:rPr>
        <w:t>2μM</w:t>
      </w:r>
      <w:proofErr w:type="spellEnd"/>
      <w:r w:rsidRPr="009607B2">
        <w:rPr>
          <w:rFonts w:cs="Times New Roman"/>
          <w:sz w:val="24"/>
          <w:szCs w:val="24"/>
        </w:rPr>
        <w:t xml:space="preserve">) or </w:t>
      </w:r>
      <w:r w:rsidRPr="009607B2">
        <w:rPr>
          <w:rFonts w:cs="Times New Roman"/>
          <w:i/>
          <w:sz w:val="24"/>
          <w:szCs w:val="24"/>
        </w:rPr>
        <w:t>E. coli</w:t>
      </w:r>
      <w:r w:rsidRPr="009607B2">
        <w:rPr>
          <w:rFonts w:cs="Times New Roman"/>
          <w:sz w:val="24"/>
          <w:szCs w:val="24"/>
        </w:rPr>
        <w:t xml:space="preserve"> (paraffin-fixed DH5α, 6.25e5/mL) or </w:t>
      </w:r>
      <w:r w:rsidRPr="009607B2">
        <w:rPr>
          <w:rFonts w:cs="Arial"/>
          <w:bCs/>
          <w:color w:val="222222"/>
          <w:sz w:val="24"/>
          <w:szCs w:val="21"/>
          <w:shd w:val="clear" w:color="auto" w:fill="FFFFFF"/>
        </w:rPr>
        <w:t>Lipopolysaccharides (</w:t>
      </w:r>
      <w:r w:rsidRPr="009607B2">
        <w:rPr>
          <w:rFonts w:cs="Times New Roman"/>
          <w:sz w:val="24"/>
          <w:szCs w:val="24"/>
        </w:rPr>
        <w:t xml:space="preserve">LPS, 10μg/mL) in the presence or absence of 1 </w:t>
      </w:r>
      <w:proofErr w:type="spellStart"/>
      <w:r w:rsidRPr="009607B2">
        <w:rPr>
          <w:rFonts w:cs="Times New Roman"/>
          <w:sz w:val="24"/>
          <w:szCs w:val="24"/>
        </w:rPr>
        <w:t>μg</w:t>
      </w:r>
      <w:proofErr w:type="spellEnd"/>
      <w:r w:rsidRPr="009607B2">
        <w:rPr>
          <w:rFonts w:cs="Times New Roman"/>
          <w:sz w:val="24"/>
          <w:szCs w:val="24"/>
        </w:rPr>
        <w:t xml:space="preserve">/mL Naltrexone. Organoids were treated with LPS (10μg/mL) in the presence or absence of 1 </w:t>
      </w:r>
      <w:proofErr w:type="spellStart"/>
      <w:r w:rsidRPr="009607B2">
        <w:rPr>
          <w:rFonts w:cs="Times New Roman"/>
          <w:sz w:val="24"/>
          <w:szCs w:val="24"/>
        </w:rPr>
        <w:t>μg</w:t>
      </w:r>
      <w:proofErr w:type="spellEnd"/>
      <w:r w:rsidRPr="009607B2">
        <w:rPr>
          <w:rFonts w:cs="Times New Roman"/>
          <w:sz w:val="24"/>
          <w:szCs w:val="24"/>
        </w:rPr>
        <w:t xml:space="preserve">/mL Naltrexone.  Subsequently, cells were washed with PBS and lysed on ice in 300µL </w:t>
      </w:r>
      <w:proofErr w:type="gramStart"/>
      <w:r w:rsidRPr="009607B2">
        <w:rPr>
          <w:rFonts w:cs="Times New Roman"/>
          <w:sz w:val="24"/>
          <w:szCs w:val="24"/>
        </w:rPr>
        <w:t>2x</w:t>
      </w:r>
      <w:proofErr w:type="gramEnd"/>
      <w:r w:rsidRPr="009607B2">
        <w:rPr>
          <w:rFonts w:cs="Times New Roman"/>
          <w:sz w:val="24"/>
          <w:szCs w:val="24"/>
        </w:rPr>
        <w:t xml:space="preserve"> concentrated </w:t>
      </w:r>
      <w:proofErr w:type="spellStart"/>
      <w:r w:rsidRPr="009607B2">
        <w:rPr>
          <w:rFonts w:cs="Times New Roman"/>
          <w:sz w:val="24"/>
          <w:szCs w:val="24"/>
        </w:rPr>
        <w:t>Laemmli</w:t>
      </w:r>
      <w:proofErr w:type="spellEnd"/>
      <w:r w:rsidRPr="009607B2">
        <w:rPr>
          <w:rFonts w:cs="Times New Roman"/>
          <w:sz w:val="24"/>
          <w:szCs w:val="24"/>
        </w:rPr>
        <w:t xml:space="preserve"> buffer (</w:t>
      </w:r>
      <w:proofErr w:type="spellStart"/>
      <w:r w:rsidRPr="009607B2">
        <w:rPr>
          <w:rFonts w:cs="Times New Roman"/>
          <w:sz w:val="24"/>
          <w:szCs w:val="24"/>
        </w:rPr>
        <w:t>100mM</w:t>
      </w:r>
      <w:proofErr w:type="spellEnd"/>
      <w:r w:rsidRPr="009607B2">
        <w:rPr>
          <w:rFonts w:cs="Times New Roman"/>
          <w:sz w:val="24"/>
          <w:szCs w:val="24"/>
        </w:rPr>
        <w:t xml:space="preserve"> Tris–</w:t>
      </w:r>
      <w:proofErr w:type="spellStart"/>
      <w:r w:rsidRPr="009607B2">
        <w:rPr>
          <w:rFonts w:cs="Times New Roman"/>
          <w:sz w:val="24"/>
          <w:szCs w:val="24"/>
        </w:rPr>
        <w:t>HCl</w:t>
      </w:r>
      <w:proofErr w:type="spellEnd"/>
      <w:r w:rsidRPr="009607B2">
        <w:rPr>
          <w:rFonts w:cs="Times New Roman"/>
          <w:sz w:val="24"/>
          <w:szCs w:val="24"/>
        </w:rPr>
        <w:t xml:space="preserve"> (pH 6.8), 200mM dithiothreitol, 4% SDS, 0.1% bromophenol blue, 20% glycerol, and 2% DTT) and boiled for 5 minutes at 95°C. Organoids were also washed with PBS, </w:t>
      </w:r>
      <w:proofErr w:type="spellStart"/>
      <w:r w:rsidRPr="009607B2">
        <w:rPr>
          <w:rFonts w:cs="Times New Roman"/>
          <w:sz w:val="24"/>
          <w:szCs w:val="24"/>
        </w:rPr>
        <w:t>matrigel</w:t>
      </w:r>
      <w:proofErr w:type="spellEnd"/>
      <w:r w:rsidRPr="009607B2">
        <w:rPr>
          <w:rFonts w:cs="Times New Roman"/>
          <w:sz w:val="24"/>
          <w:szCs w:val="24"/>
        </w:rPr>
        <w:t xml:space="preserve"> was dissolved and the organoids were released. This solution was transferred to a tube and centrifuged for 8 minutes at 800 RPM. Supernatant was removed and the pellet was </w:t>
      </w:r>
      <w:proofErr w:type="spellStart"/>
      <w:r w:rsidRPr="009607B2">
        <w:rPr>
          <w:rFonts w:cs="Times New Roman"/>
          <w:sz w:val="24"/>
          <w:szCs w:val="24"/>
        </w:rPr>
        <w:t>resuspended</w:t>
      </w:r>
      <w:proofErr w:type="spellEnd"/>
      <w:r w:rsidRPr="009607B2">
        <w:rPr>
          <w:rFonts w:cs="Times New Roman"/>
          <w:sz w:val="24"/>
          <w:szCs w:val="24"/>
        </w:rPr>
        <w:t xml:space="preserve"> in </w:t>
      </w:r>
      <w:proofErr w:type="spellStart"/>
      <w:r w:rsidRPr="009607B2">
        <w:rPr>
          <w:rFonts w:cs="Times New Roman"/>
          <w:sz w:val="24"/>
          <w:szCs w:val="24"/>
        </w:rPr>
        <w:t>150μL</w:t>
      </w:r>
      <w:proofErr w:type="spellEnd"/>
      <w:r w:rsidRPr="009607B2">
        <w:rPr>
          <w:rFonts w:cs="Times New Roman"/>
          <w:sz w:val="24"/>
          <w:szCs w:val="24"/>
        </w:rPr>
        <w:t xml:space="preserve"> </w:t>
      </w:r>
      <w:proofErr w:type="spellStart"/>
      <w:r w:rsidRPr="009607B2">
        <w:rPr>
          <w:rFonts w:cs="Times New Roman"/>
          <w:sz w:val="24"/>
          <w:szCs w:val="24"/>
        </w:rPr>
        <w:t>Laemli</w:t>
      </w:r>
      <w:proofErr w:type="spellEnd"/>
      <w:r w:rsidRPr="009607B2">
        <w:rPr>
          <w:rFonts w:cs="Times New Roman"/>
          <w:sz w:val="24"/>
          <w:szCs w:val="24"/>
        </w:rPr>
        <w:t xml:space="preserve"> buffer and boiled for 5 minutes at 95°C.</w:t>
      </w:r>
    </w:p>
    <w:p w:rsidR="009607B2" w:rsidRPr="00895101" w:rsidRDefault="009607B2" w:rsidP="009607B2">
      <w:pPr>
        <w:pStyle w:val="NoSpacing"/>
        <w:spacing w:line="480" w:lineRule="auto"/>
        <w:jc w:val="both"/>
        <w:rPr>
          <w:rFonts w:cs="Times New Roman"/>
          <w:sz w:val="24"/>
          <w:szCs w:val="24"/>
        </w:rPr>
      </w:pPr>
      <w:r w:rsidRPr="009607B2">
        <w:rPr>
          <w:rFonts w:cs="Times New Roman"/>
          <w:sz w:val="24"/>
          <w:szCs w:val="24"/>
        </w:rPr>
        <w:t xml:space="preserve">Cell extracts were resolved by SDS–PAGE and transferred to polyvinylidene difluoride membranes (Merck chemicals BV, Amsterdam, the Netherlands). Membranes were blocked in 50% odyssey blocking buffer (LI-COR Biosciences, Lincoln, NE) in PBS/0.05% Tween-20 and incubated overnight at 4°C with primary antibody. After washing in PBS-T, membranes were incubated with </w:t>
      </w:r>
      <w:proofErr w:type="spellStart"/>
      <w:r w:rsidRPr="009607B2">
        <w:rPr>
          <w:rFonts w:cs="Times New Roman"/>
          <w:sz w:val="24"/>
          <w:szCs w:val="24"/>
        </w:rPr>
        <w:t>IRDye</w:t>
      </w:r>
      <w:proofErr w:type="spellEnd"/>
      <w:r w:rsidRPr="009607B2">
        <w:rPr>
          <w:rFonts w:cs="Times New Roman"/>
          <w:sz w:val="24"/>
          <w:szCs w:val="24"/>
        </w:rPr>
        <w:t>® antibodies (LI-</w:t>
      </w:r>
      <w:proofErr w:type="spellStart"/>
      <w:r w:rsidRPr="009607B2">
        <w:rPr>
          <w:rFonts w:cs="Times New Roman"/>
          <w:sz w:val="24"/>
          <w:szCs w:val="24"/>
        </w:rPr>
        <w:t>COR</w:t>
      </w:r>
      <w:proofErr w:type="spellEnd"/>
      <w:r w:rsidRPr="009607B2">
        <w:rPr>
          <w:rFonts w:cs="Times New Roman"/>
          <w:sz w:val="24"/>
          <w:szCs w:val="24"/>
        </w:rPr>
        <w:t xml:space="preserve"> Biosciences, Lincoln, NE) for 1h. Detection was performed using Odyssey reader and analyzed using manufacturers software. Experiments were performed at least twice.</w:t>
      </w:r>
      <w:r w:rsidRPr="00895101">
        <w:rPr>
          <w:rFonts w:cs="Times New Roman"/>
          <w:sz w:val="24"/>
          <w:szCs w:val="24"/>
        </w:rPr>
        <w:t xml:space="preserve"> </w:t>
      </w:r>
    </w:p>
    <w:p w:rsidR="009607B2" w:rsidRDefault="009607B2" w:rsidP="00692377">
      <w:pPr>
        <w:jc w:val="both"/>
        <w:rPr>
          <w:lang w:val="en-US"/>
        </w:rPr>
      </w:pPr>
    </w:p>
    <w:p w:rsidR="009607B2" w:rsidRPr="00895101" w:rsidRDefault="009607B2" w:rsidP="009607B2">
      <w:pPr>
        <w:pStyle w:val="Heading2"/>
        <w:spacing w:before="0" w:line="480" w:lineRule="auto"/>
        <w:rPr>
          <w:rFonts w:asciiTheme="minorHAnsi" w:hAnsiTheme="minorHAnsi" w:cs="Times New Roman"/>
          <w:b w:val="0"/>
          <w:color w:val="auto"/>
          <w:sz w:val="24"/>
          <w:szCs w:val="24"/>
          <w:u w:val="single"/>
        </w:rPr>
      </w:pPr>
      <w:r w:rsidRPr="00895101">
        <w:rPr>
          <w:rFonts w:asciiTheme="minorHAnsi" w:hAnsiTheme="minorHAnsi" w:cs="Times New Roman"/>
          <w:b w:val="0"/>
          <w:color w:val="auto"/>
          <w:sz w:val="24"/>
          <w:szCs w:val="24"/>
          <w:u w:val="single"/>
        </w:rPr>
        <w:lastRenderedPageBreak/>
        <w:t>Immunohistochemistry</w:t>
      </w:r>
    </w:p>
    <w:p w:rsidR="009607B2" w:rsidRDefault="009607B2" w:rsidP="009607B2">
      <w:pPr>
        <w:pStyle w:val="NoSpacing"/>
        <w:spacing w:line="480" w:lineRule="auto"/>
        <w:jc w:val="both"/>
        <w:rPr>
          <w:rFonts w:cs="Times New Roman"/>
          <w:sz w:val="24"/>
          <w:szCs w:val="24"/>
        </w:rPr>
      </w:pPr>
      <w:r w:rsidRPr="00895101">
        <w:rPr>
          <w:rFonts w:cs="Times New Roman"/>
          <w:sz w:val="24"/>
          <w:szCs w:val="24"/>
        </w:rPr>
        <w:t xml:space="preserve">FFPE tissue sections were immunohistologically stained for GRP78. Briefly, 5µm sections were </w:t>
      </w:r>
      <w:proofErr w:type="spellStart"/>
      <w:r w:rsidRPr="00895101">
        <w:rPr>
          <w:rFonts w:cs="Times New Roman"/>
          <w:sz w:val="24"/>
          <w:szCs w:val="24"/>
        </w:rPr>
        <w:t>deparaffinized</w:t>
      </w:r>
      <w:proofErr w:type="spellEnd"/>
      <w:r w:rsidRPr="00895101">
        <w:rPr>
          <w:rFonts w:cs="Times New Roman"/>
          <w:sz w:val="24"/>
          <w:szCs w:val="24"/>
        </w:rPr>
        <w:t xml:space="preserve"> in xylene and rinsed through graded alcohols (100% alcohols (18:1:1 100% ethanol: 100% methanol: 100% isopropanol), a 95% solution of the 100% alcohols, and </w:t>
      </w:r>
      <w:proofErr w:type="gramStart"/>
      <w:r w:rsidRPr="00895101">
        <w:rPr>
          <w:rFonts w:cs="Times New Roman"/>
          <w:sz w:val="24"/>
          <w:szCs w:val="24"/>
        </w:rPr>
        <w:t>a</w:t>
      </w:r>
      <w:proofErr w:type="gramEnd"/>
      <w:r w:rsidRPr="00895101">
        <w:rPr>
          <w:rFonts w:cs="Times New Roman"/>
          <w:sz w:val="24"/>
          <w:szCs w:val="24"/>
        </w:rPr>
        <w:t xml:space="preserve"> 80% solution of the 100% alcohols). Next, slides were rinsed several times with fresh deionized water, followed by another 5 minutes wash using fresh water. Antigen retrieval was performed by boiling the slides in 600mL of 10mM sodium citrate buffer, pH 6.0 for 15 minutes. Slides were cooled for 20 minutes and washed extensively in double-distilled H</w:t>
      </w:r>
      <w:r w:rsidRPr="00895101">
        <w:rPr>
          <w:rFonts w:cs="Times New Roman"/>
          <w:sz w:val="24"/>
          <w:szCs w:val="24"/>
          <w:vertAlign w:val="subscript"/>
        </w:rPr>
        <w:t>2</w:t>
      </w:r>
      <w:r w:rsidRPr="00895101">
        <w:rPr>
          <w:rFonts w:cs="Times New Roman"/>
          <w:sz w:val="24"/>
          <w:szCs w:val="24"/>
        </w:rPr>
        <w:t>O and PBS. Endogenous peroxides were blocked by soaking slides in a PBS/3% H</w:t>
      </w:r>
      <w:r w:rsidRPr="00895101">
        <w:rPr>
          <w:rFonts w:cs="Times New Roman"/>
          <w:sz w:val="24"/>
          <w:szCs w:val="24"/>
          <w:vertAlign w:val="subscript"/>
        </w:rPr>
        <w:t>2</w:t>
      </w:r>
      <w:r w:rsidRPr="00895101">
        <w:rPr>
          <w:rFonts w:cs="Times New Roman"/>
          <w:sz w:val="24"/>
          <w:szCs w:val="24"/>
        </w:rPr>
        <w:t>O</w:t>
      </w:r>
      <w:r w:rsidRPr="00895101">
        <w:rPr>
          <w:rFonts w:cs="Times New Roman"/>
          <w:sz w:val="24"/>
          <w:szCs w:val="24"/>
          <w:vertAlign w:val="subscript"/>
        </w:rPr>
        <w:t>2</w:t>
      </w:r>
      <w:r w:rsidRPr="00895101">
        <w:rPr>
          <w:rFonts w:cs="Times New Roman"/>
          <w:sz w:val="24"/>
          <w:szCs w:val="24"/>
        </w:rPr>
        <w:t xml:space="preserve"> solution for 10 minutes at room temperature. Subsequently, slides were rinsed in PBS and blocked by incubating in 10% goat serum in PBS at room temperature for 1h. Thereafter, tissue sections were incubated with GRP78 antibody (</w:t>
      </w:r>
      <w:proofErr w:type="spellStart"/>
      <w:r w:rsidRPr="00895101">
        <w:rPr>
          <w:rFonts w:cs="Times New Roman"/>
          <w:sz w:val="24"/>
          <w:szCs w:val="24"/>
        </w:rPr>
        <w:t>BiP</w:t>
      </w:r>
      <w:proofErr w:type="spellEnd"/>
      <w:r w:rsidRPr="00895101">
        <w:rPr>
          <w:rFonts w:cs="Times New Roman"/>
          <w:sz w:val="24"/>
          <w:szCs w:val="24"/>
        </w:rPr>
        <w:t xml:space="preserve">, Cell Signaling Technology, </w:t>
      </w:r>
      <w:proofErr w:type="gramStart"/>
      <w:r w:rsidRPr="00895101">
        <w:rPr>
          <w:rFonts w:cs="Times New Roman"/>
          <w:sz w:val="24"/>
          <w:szCs w:val="24"/>
        </w:rPr>
        <w:t>Danvers</w:t>
      </w:r>
      <w:proofErr w:type="gramEnd"/>
      <w:r w:rsidRPr="00895101">
        <w:rPr>
          <w:rFonts w:cs="Times New Roman"/>
          <w:sz w:val="24"/>
          <w:szCs w:val="24"/>
        </w:rPr>
        <w:t xml:space="preserve">, MA) diluted in blocking buffer (1:100) overnight at 4°C. Next, slides were rinsed again in PBS for 5 minutes each wash. Rabbit envision (DAKO, </w:t>
      </w:r>
      <w:proofErr w:type="spellStart"/>
      <w:r w:rsidRPr="00895101">
        <w:rPr>
          <w:rFonts w:cs="Times New Roman"/>
          <w:sz w:val="24"/>
          <w:szCs w:val="24"/>
        </w:rPr>
        <w:t>Heverlee</w:t>
      </w:r>
      <w:proofErr w:type="spellEnd"/>
      <w:r w:rsidRPr="00895101">
        <w:rPr>
          <w:rFonts w:cs="Times New Roman"/>
          <w:sz w:val="24"/>
          <w:szCs w:val="24"/>
        </w:rPr>
        <w:t xml:space="preserve">, Belgium) was used as secondary antibody. </w:t>
      </w:r>
    </w:p>
    <w:p w:rsidR="007102C9" w:rsidRPr="00895101" w:rsidRDefault="007102C9" w:rsidP="009607B2">
      <w:pPr>
        <w:pStyle w:val="NoSpacing"/>
        <w:spacing w:line="480" w:lineRule="auto"/>
        <w:jc w:val="both"/>
        <w:rPr>
          <w:rFonts w:cs="Times New Roman"/>
          <w:sz w:val="24"/>
          <w:szCs w:val="24"/>
        </w:rPr>
      </w:pPr>
    </w:p>
    <w:p w:rsidR="007102C9" w:rsidRPr="00895101" w:rsidRDefault="007102C9" w:rsidP="007102C9">
      <w:pPr>
        <w:pStyle w:val="NoSpacing"/>
        <w:spacing w:line="480" w:lineRule="auto"/>
        <w:jc w:val="both"/>
        <w:rPr>
          <w:rFonts w:cs="Times New Roman"/>
          <w:sz w:val="24"/>
          <w:szCs w:val="24"/>
          <w:u w:val="single"/>
        </w:rPr>
      </w:pPr>
      <w:r w:rsidRPr="00895101">
        <w:rPr>
          <w:rFonts w:cs="Times New Roman"/>
          <w:sz w:val="24"/>
          <w:szCs w:val="24"/>
          <w:u w:val="single"/>
        </w:rPr>
        <w:t>Reverse transcriptase polymerase chain reaction (rt-PCR)</w:t>
      </w:r>
    </w:p>
    <w:p w:rsidR="007102C9" w:rsidRPr="007102C9" w:rsidRDefault="007102C9" w:rsidP="007102C9">
      <w:pPr>
        <w:spacing w:after="0" w:line="480" w:lineRule="auto"/>
        <w:jc w:val="both"/>
        <w:rPr>
          <w:rFonts w:ascii="Calibri" w:hAnsi="Calibri" w:cs="Arial"/>
          <w:sz w:val="24"/>
          <w:szCs w:val="24"/>
          <w:lang w:val="en-US"/>
        </w:rPr>
      </w:pPr>
      <w:r w:rsidRPr="007102C9">
        <w:rPr>
          <w:rFonts w:ascii="Calibri" w:hAnsi="Calibri" w:cs="Arial"/>
          <w:sz w:val="24"/>
          <w:szCs w:val="24"/>
          <w:lang w:val="en-US"/>
        </w:rPr>
        <w:t xml:space="preserve">We used rt-PCR to determine MOR expression on the IEC cell lines. </w:t>
      </w:r>
      <w:r>
        <w:rPr>
          <w:rFonts w:ascii="Calibri" w:hAnsi="Calibri" w:cs="Arial"/>
          <w:sz w:val="24"/>
          <w:szCs w:val="24"/>
        </w:rPr>
        <w:t xml:space="preserve">RNA was isolated as described previously </w:t>
      </w:r>
      <w:r w:rsidR="005F5C96">
        <w:rPr>
          <w:rFonts w:ascii="Calibri" w:hAnsi="Calibri" w:cs="Arial"/>
          <w:sz w:val="24"/>
          <w:szCs w:val="24"/>
        </w:rPr>
        <w:fldChar w:fldCharType="begin" w:fldLock="1"/>
      </w:r>
      <w:r>
        <w:rPr>
          <w:rFonts w:ascii="Calibri" w:hAnsi="Calibri" w:cs="Arial"/>
          <w:sz w:val="24"/>
          <w:szCs w:val="24"/>
        </w:rPr>
        <w:instrText>ADDIN CSL_CITATION { "citationItems" : [ { "id" : "ITEM-1", "itemData" : { "DOI" : "10.1016/j.antiviral.2016.07.017", "ISSN" : "01663542", "abstract" : "Rotavirus infection has emerged as an important cause of complications in organ transplantation recipients. Immunosuppressants used to prevent alloreactivity can also interfere with virus infection, but the direct effects of the specific type of immunosuppressants on rotavirus infection are still unclear. Here we profiled the effects of different immunosuppressants on rotavirus using a 2D culture model of Caco2 human intestinal cell line and a 3D model of human primary intestinal organoids inoculated with laboratory and patient-derived rotavirus strains. We found that the responsiveness of rotavirus to Cyclosporine A treatment was moderate and strictly regulated in an opposite direction by its cellular targets cyclophilin A and B. Treatment with mycophenolic acid (MPA) resulted in a 99% inhibition of viral RNA production at the clinically relevant concentration (10\u00a0\u03bcg/ml) in Caco2 cells. This effect was further confirmed in organoids. Importantly, continuous treatment with MPA for 30 passages did not attenuate its antiviral potency, indicating a high barrier to drug resistance development. Mechanistically, the antiviral effects of MPA act via inhibiting the IMPDH enzyme and resulting in guanosine nucleotide depletion. Thus for transplantation patients at risk for rotavirus infection, the choice of MPA as an immunosuppressive agent appears rational.", "author" : [ { "dropping-particle" : "", "family" : "Yin", "given" : "Yuebang", "non-dropping-particle" : "", "parse-names" : false, "suffix" : "" }, { "dropping-particle" : "", "family" : "Wang", "given" : "Yijin", "non-dropping-particle" : "", "parse-names" : false, "suffix" : "" }, { "dropping-particle" : "", "family" : "Dang", "given" : "Wen", "non-dropping-particle" : "", "parse-names" : false, "suffix" : "" }, { "dropping-particle" : "", "family" : "Xu", "given" : "Lei", "non-dropping-particle" : "", "parse-names" : false, "suffix" : "" }, { "dropping-particle" : "", "family" : "Su", "given" : "Junhong", "non-dropping-particle" : "", "parse-names" : false, "suffix" : "" }, { "dropping-particle" : "", "family" : "Zhou", "given" : "Xinying", "non-dropping-particle" : "", "parse-names" : false, "suffix" : "" }, { "dropping-particle" : "", "family" : "Wang", "given" : "Wenshi", "non-dropping-particle" : "", "parse-names" : false, "suffix" : "" }, { "dropping-particle" : "", "family" : "Felczak", "given" : "Krzysztof", "non-dropping-particle" : "", "parse-names" : false, "suffix" : "" }, { "dropping-particle" : "", "family" : "Laan", "given" : "Luc J.W.", "non-dropping-particle" : "van der", "parse-names" : false, "suffix" : "" }, { "dropping-particle" : "", "family" : "Pankiewicz", "given" : "Krzysztof W.", "non-dropping-particle" : "", "parse-names" : false, "suffix" : "" }, { "dropping-particle" : "", "family" : "Eijk", "given" : "Annemiek A.", "non-dropping-particle" : "van der", "parse-names" : false, "suffix" : "" }, { "dropping-particle" : "", "family" : "Bijvelds", "given" : "Marcel", "non-dropping-particle" : "", "parse-names" : false, "suffix" : "</w:instrText>
      </w:r>
      <w:r w:rsidRPr="007102C9">
        <w:rPr>
          <w:rFonts w:ascii="Calibri" w:hAnsi="Calibri" w:cs="Arial"/>
          <w:sz w:val="24"/>
          <w:szCs w:val="24"/>
          <w:lang w:val="en-US"/>
        </w:rPr>
        <w:instrText>" }, { "dropping-particle" : "", "family" : "Sprengers", "given" : "Dave", "non-dropping-particle" : "", "parse-names" : false, "suffix" : "" }, { "dropping-particle" : "", "family" : "Jonge", "given" : "Hugo", "non-dropping-particle" : "de", "parse-names" : false, "suffix" : "" }, { "dropping-particle" : "", "family" : "Koopmans", "given" : "Marion P.G.", "non-dropping-particle" : "", "parse-names" : false, "suffix" : "" }, { "dropping-particle" : "", "family" : "Metselaar", "given" : "Herold J.", "non-dropping-particle" : "", "parse-names" : false, "suffix" : "" }, { "dropping-particle" : "", "family" : "Peppelenbosch", "given" : "Maikel P.", "non-dropping-particle" : "", "parse-names" : false, "suffix" : "" }, { "dropping-particle" : "", "family" : "Pan", "given" : "Qiuwei", "non-dropping-particle" : "", "parse-names" : false, "suffix" : "" } ], "container-title" : "Antiviral Research", "id" : "ITEM-1", "issued" : { "date-parts" : [ [ "2016" ] ] }, "page" : "41-49", "title" : "Mycophenolic acid potently inhibits rotavirus infection with a high barrier to resistance development", "type" : "article-journal", "volume" : "133" }, "uris" : [ "http://www.mendeley.com/documents/?uuid=ef6e70cb-1c28-3644-b537-ff2ce1ad10d1" ] } ], "mendeley" : { "formattedCitation" : "[29]", "plainTextFormattedCitation" : "[29]", "previouslyFormattedCitation" : "[29]" }, "properties" : { "noteIndex" : 0 }, "schema" : "https://github.com/citation-style-language/schema/raw/master/csl-citation.json" }</w:instrText>
      </w:r>
      <w:r w:rsidR="005F5C96">
        <w:rPr>
          <w:rFonts w:ascii="Calibri" w:hAnsi="Calibri" w:cs="Arial"/>
          <w:sz w:val="24"/>
          <w:szCs w:val="24"/>
        </w:rPr>
        <w:fldChar w:fldCharType="separate"/>
      </w:r>
      <w:r w:rsidRPr="007102C9">
        <w:rPr>
          <w:rFonts w:ascii="Calibri" w:hAnsi="Calibri" w:cs="Arial"/>
          <w:noProof/>
          <w:sz w:val="24"/>
          <w:szCs w:val="24"/>
          <w:lang w:val="en-US"/>
        </w:rPr>
        <w:t>[29]</w:t>
      </w:r>
      <w:r w:rsidR="005F5C96">
        <w:rPr>
          <w:rFonts w:ascii="Calibri" w:hAnsi="Calibri" w:cs="Arial"/>
          <w:sz w:val="24"/>
          <w:szCs w:val="24"/>
        </w:rPr>
        <w:fldChar w:fldCharType="end"/>
      </w:r>
      <w:r w:rsidRPr="007102C9">
        <w:rPr>
          <w:rFonts w:ascii="Calibri" w:hAnsi="Calibri" w:cs="Arial"/>
          <w:sz w:val="24"/>
          <w:szCs w:val="24"/>
          <w:lang w:val="en-US"/>
        </w:rPr>
        <w:t xml:space="preserve">. Briefly, RNA was isolated using a </w:t>
      </w:r>
      <w:proofErr w:type="spellStart"/>
      <w:r w:rsidRPr="007102C9">
        <w:rPr>
          <w:rFonts w:ascii="Calibri" w:hAnsi="Calibri" w:cs="Arial"/>
          <w:sz w:val="24"/>
          <w:szCs w:val="24"/>
          <w:lang w:val="en-US"/>
        </w:rPr>
        <w:t>NucleoSpin</w:t>
      </w:r>
      <w:proofErr w:type="spellEnd"/>
      <w:r w:rsidRPr="007102C9">
        <w:rPr>
          <w:rFonts w:ascii="Calibri" w:hAnsi="Calibri" w:cs="Arial"/>
          <w:sz w:val="24"/>
          <w:szCs w:val="24"/>
          <w:lang w:val="en-US"/>
        </w:rPr>
        <w:t xml:space="preserve">® RNA kit (MACHEREY-NAGEL, </w:t>
      </w:r>
      <w:proofErr w:type="spellStart"/>
      <w:r w:rsidRPr="007102C9">
        <w:rPr>
          <w:rFonts w:ascii="Calibri" w:hAnsi="Calibri" w:cs="Arial"/>
          <w:sz w:val="24"/>
          <w:szCs w:val="24"/>
          <w:lang w:val="en-US"/>
        </w:rPr>
        <w:t>Düren</w:t>
      </w:r>
      <w:proofErr w:type="spellEnd"/>
      <w:r w:rsidRPr="007102C9">
        <w:rPr>
          <w:rFonts w:ascii="Calibri" w:hAnsi="Calibri" w:cs="Arial"/>
          <w:sz w:val="24"/>
          <w:szCs w:val="24"/>
          <w:lang w:val="en-US"/>
        </w:rPr>
        <w:t>, Germany) and cDNA was synthesized using the TAKARA reverse transcription system (TAKARA BIO INC, Shiga, Japan) PCR was performed in a 25</w:t>
      </w:r>
      <w:r>
        <w:rPr>
          <w:rFonts w:ascii="Calibri" w:hAnsi="Calibri" w:cs="Arial"/>
          <w:sz w:val="24"/>
          <w:szCs w:val="24"/>
        </w:rPr>
        <w:t>μ</w:t>
      </w:r>
      <w:r w:rsidRPr="007102C9">
        <w:rPr>
          <w:rFonts w:ascii="Calibri" w:hAnsi="Calibri" w:cs="Arial"/>
          <w:sz w:val="24"/>
          <w:szCs w:val="24"/>
          <w:lang w:val="en-US"/>
        </w:rPr>
        <w:t xml:space="preserve">L reaction, using </w:t>
      </w:r>
      <w:proofErr w:type="spellStart"/>
      <w:r w:rsidRPr="007102C9">
        <w:rPr>
          <w:rFonts w:ascii="Calibri" w:hAnsi="Calibri" w:cs="Arial"/>
          <w:sz w:val="24"/>
          <w:szCs w:val="24"/>
          <w:lang w:val="en-US"/>
        </w:rPr>
        <w:t>GoTaq</w:t>
      </w:r>
      <w:proofErr w:type="spellEnd"/>
      <w:r w:rsidRPr="007102C9">
        <w:rPr>
          <w:rFonts w:ascii="Calibri" w:hAnsi="Calibri" w:cs="Arial"/>
          <w:sz w:val="24"/>
          <w:szCs w:val="24"/>
          <w:lang w:val="en-US"/>
        </w:rPr>
        <w:t xml:space="preserve"> polymerase and </w:t>
      </w:r>
      <w:proofErr w:type="spellStart"/>
      <w:r w:rsidRPr="007102C9">
        <w:rPr>
          <w:rFonts w:ascii="Calibri" w:hAnsi="Calibri" w:cs="Arial"/>
          <w:sz w:val="24"/>
          <w:szCs w:val="24"/>
          <w:lang w:val="en-US"/>
        </w:rPr>
        <w:t>GoTaq</w:t>
      </w:r>
      <w:proofErr w:type="spellEnd"/>
      <w:r w:rsidRPr="007102C9">
        <w:rPr>
          <w:rFonts w:ascii="Calibri" w:hAnsi="Calibri" w:cs="Arial"/>
          <w:sz w:val="24"/>
          <w:szCs w:val="24"/>
          <w:lang w:val="en-US"/>
        </w:rPr>
        <w:t xml:space="preserve"> Flexi buffer, 2 mM </w:t>
      </w:r>
      <w:proofErr w:type="spellStart"/>
      <w:r w:rsidRPr="007102C9">
        <w:rPr>
          <w:rFonts w:ascii="Calibri" w:hAnsi="Calibri" w:cs="Arial"/>
          <w:sz w:val="24"/>
          <w:szCs w:val="24"/>
          <w:lang w:val="en-US"/>
        </w:rPr>
        <w:t>MgCl2</w:t>
      </w:r>
      <w:proofErr w:type="spellEnd"/>
      <w:r w:rsidRPr="007102C9">
        <w:rPr>
          <w:rFonts w:ascii="Calibri" w:hAnsi="Calibri" w:cs="Arial"/>
          <w:sz w:val="24"/>
          <w:szCs w:val="24"/>
          <w:lang w:val="en-US"/>
        </w:rPr>
        <w:t xml:space="preserve"> (Promega, Madison, WI), dNTP (0.5mM each, Roche), 50 ng template and 0.5nM of the following primers: </w:t>
      </w:r>
      <w:r w:rsidRPr="007102C9">
        <w:rPr>
          <w:lang w:val="en-US"/>
        </w:rPr>
        <w:t>Forward: 5’-</w:t>
      </w:r>
      <w:r w:rsidRPr="007102C9">
        <w:rPr>
          <w:rFonts w:ascii="Calibri" w:hAnsi="Calibri" w:cs="Arial"/>
          <w:sz w:val="24"/>
          <w:szCs w:val="24"/>
          <w:lang w:val="en-US"/>
        </w:rPr>
        <w:t>GGAAGCCCTCCAGGTTCATT, Reverse 5’-</w:t>
      </w:r>
      <w:r w:rsidRPr="007102C9">
        <w:rPr>
          <w:lang w:val="en-US"/>
        </w:rPr>
        <w:t xml:space="preserve"> </w:t>
      </w:r>
      <w:r w:rsidRPr="007102C9">
        <w:rPr>
          <w:rFonts w:ascii="Calibri" w:hAnsi="Calibri" w:cs="Arial"/>
          <w:sz w:val="24"/>
          <w:szCs w:val="24"/>
          <w:lang w:val="en-US"/>
        </w:rPr>
        <w:t>GGTCTCTTCACTGGGCACTC. Ribosomal protein (</w:t>
      </w:r>
      <w:r w:rsidRPr="007102C9">
        <w:rPr>
          <w:rFonts w:ascii="Calibri" w:hAnsi="Calibri" w:cs="Arial"/>
          <w:i/>
          <w:sz w:val="24"/>
          <w:szCs w:val="24"/>
          <w:lang w:val="en-US"/>
        </w:rPr>
        <w:t>RP2</w:t>
      </w:r>
      <w:r w:rsidRPr="007102C9">
        <w:rPr>
          <w:rFonts w:ascii="Calibri" w:hAnsi="Calibri" w:cs="Arial"/>
          <w:sz w:val="24"/>
          <w:szCs w:val="24"/>
          <w:lang w:val="en-US"/>
        </w:rPr>
        <w:t xml:space="preserve">) primers were used as control: 5’-AAGCTGAGGATGCTCAAAGG, 5’-CCCATTAAACTCCAAGGCAA. </w:t>
      </w:r>
    </w:p>
    <w:p w:rsidR="009607B2" w:rsidRPr="00692377" w:rsidRDefault="009607B2" w:rsidP="00692377">
      <w:pPr>
        <w:jc w:val="both"/>
        <w:rPr>
          <w:lang w:val="en-US"/>
        </w:rPr>
      </w:pPr>
    </w:p>
    <w:sectPr w:rsidR="009607B2" w:rsidRPr="00692377" w:rsidSect="005F5C9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0F1" w:rsidRDefault="006050F1" w:rsidP="006050F1">
      <w:pPr>
        <w:spacing w:after="0" w:line="240" w:lineRule="auto"/>
      </w:pPr>
      <w:r>
        <w:separator/>
      </w:r>
    </w:p>
  </w:endnote>
  <w:endnote w:type="continuationSeparator" w:id="0">
    <w:p w:rsidR="006050F1" w:rsidRDefault="006050F1" w:rsidP="006050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0F1" w:rsidRDefault="006050F1" w:rsidP="006050F1">
      <w:pPr>
        <w:spacing w:after="0" w:line="240" w:lineRule="auto"/>
      </w:pPr>
      <w:r>
        <w:separator/>
      </w:r>
    </w:p>
  </w:footnote>
  <w:footnote w:type="continuationSeparator" w:id="0">
    <w:p w:rsidR="006050F1" w:rsidRDefault="006050F1" w:rsidP="006050F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692377"/>
    <w:rsid w:val="0044183F"/>
    <w:rsid w:val="005F5C96"/>
    <w:rsid w:val="006050F1"/>
    <w:rsid w:val="00692377"/>
    <w:rsid w:val="006A4DA7"/>
    <w:rsid w:val="007102C9"/>
    <w:rsid w:val="009607B2"/>
    <w:rsid w:val="00976A8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C96"/>
  </w:style>
  <w:style w:type="paragraph" w:styleId="Heading2">
    <w:name w:val="heading 2"/>
    <w:basedOn w:val="Normal"/>
    <w:next w:val="Normal"/>
    <w:link w:val="Heading2Char"/>
    <w:uiPriority w:val="9"/>
    <w:unhideWhenUsed/>
    <w:qFormat/>
    <w:rsid w:val="00692377"/>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377"/>
    <w:rPr>
      <w:rFonts w:asciiTheme="majorHAnsi" w:eastAsiaTheme="majorEastAsia" w:hAnsiTheme="majorHAnsi" w:cstheme="majorBidi"/>
      <w:b/>
      <w:bCs/>
      <w:color w:val="4F81BD" w:themeColor="accent1"/>
      <w:sz w:val="26"/>
      <w:szCs w:val="26"/>
      <w:lang w:val="en-US"/>
    </w:rPr>
  </w:style>
  <w:style w:type="paragraph" w:styleId="NoSpacing">
    <w:name w:val="No Spacing"/>
    <w:link w:val="NoSpacingChar"/>
    <w:uiPriority w:val="1"/>
    <w:qFormat/>
    <w:rsid w:val="00692377"/>
    <w:pPr>
      <w:spacing w:after="0" w:line="240" w:lineRule="auto"/>
    </w:pPr>
    <w:rPr>
      <w:lang w:val="en-US"/>
    </w:rPr>
  </w:style>
  <w:style w:type="character" w:customStyle="1" w:styleId="NoSpacingChar">
    <w:name w:val="No Spacing Char"/>
    <w:basedOn w:val="DefaultParagraphFont"/>
    <w:link w:val="NoSpacing"/>
    <w:uiPriority w:val="1"/>
    <w:rsid w:val="00692377"/>
    <w:rPr>
      <w:lang w:val="en-US"/>
    </w:rPr>
  </w:style>
  <w:style w:type="paragraph" w:styleId="Header">
    <w:name w:val="header"/>
    <w:basedOn w:val="Normal"/>
    <w:link w:val="HeaderChar"/>
    <w:uiPriority w:val="99"/>
    <w:semiHidden/>
    <w:unhideWhenUsed/>
    <w:rsid w:val="006050F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050F1"/>
  </w:style>
  <w:style w:type="paragraph" w:styleId="Footer">
    <w:name w:val="footer"/>
    <w:basedOn w:val="Normal"/>
    <w:link w:val="FooterChar"/>
    <w:uiPriority w:val="99"/>
    <w:semiHidden/>
    <w:unhideWhenUsed/>
    <w:rsid w:val="006050F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050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92377"/>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2377"/>
    <w:rPr>
      <w:rFonts w:asciiTheme="majorHAnsi" w:eastAsiaTheme="majorEastAsia" w:hAnsiTheme="majorHAnsi" w:cstheme="majorBidi"/>
      <w:b/>
      <w:bCs/>
      <w:color w:val="4F81BD" w:themeColor="accent1"/>
      <w:sz w:val="26"/>
      <w:szCs w:val="26"/>
      <w:lang w:val="en-US"/>
    </w:rPr>
  </w:style>
  <w:style w:type="paragraph" w:styleId="NoSpacing">
    <w:name w:val="No Spacing"/>
    <w:link w:val="NoSpacingChar"/>
    <w:uiPriority w:val="1"/>
    <w:qFormat/>
    <w:rsid w:val="00692377"/>
    <w:pPr>
      <w:spacing w:after="0" w:line="240" w:lineRule="auto"/>
    </w:pPr>
    <w:rPr>
      <w:lang w:val="en-US"/>
    </w:rPr>
  </w:style>
  <w:style w:type="character" w:customStyle="1" w:styleId="NoSpacingChar">
    <w:name w:val="No Spacing Char"/>
    <w:basedOn w:val="DefaultParagraphFont"/>
    <w:link w:val="NoSpacing"/>
    <w:uiPriority w:val="1"/>
    <w:rsid w:val="00692377"/>
    <w:rPr>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3CF56D-4DB3-4B01-9092-06EDEBBE2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2125</Words>
  <Characters>12113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Erasmus MC</Company>
  <LinksUpToDate>false</LinksUpToDate>
  <CharactersWithSpaces>14210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 Fuhler</dc:creator>
  <cp:lastModifiedBy>0012761</cp:lastModifiedBy>
  <cp:revision>3</cp:revision>
  <dcterms:created xsi:type="dcterms:W3CDTF">2017-12-08T10:26:00Z</dcterms:created>
  <dcterms:modified xsi:type="dcterms:W3CDTF">2018-02-27T13:34:00Z</dcterms:modified>
</cp:coreProperties>
</file>