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C54" w:rsidRPr="00507896" w:rsidRDefault="005E7C54" w:rsidP="005E7C54">
      <w:pPr>
        <w:tabs>
          <w:tab w:val="left" w:pos="1440"/>
        </w:tabs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 w:rsidRPr="00507896">
        <w:rPr>
          <w:rFonts w:ascii="Times New Roman" w:hAnsi="Times New Roman" w:cs="Times New Roman"/>
          <w:b/>
          <w:sz w:val="20"/>
          <w:szCs w:val="20"/>
        </w:rPr>
        <w:t>Source and preparation of MSCs</w:t>
      </w:r>
    </w:p>
    <w:p w:rsidR="009F51D0" w:rsidRDefault="005E7C54" w:rsidP="005E7C54">
      <w:pPr>
        <w:rPr>
          <w:rFonts w:ascii="Times New Roman" w:hAnsi="Times New Roman" w:cs="Times New Roman"/>
          <w:sz w:val="20"/>
          <w:szCs w:val="20"/>
        </w:rPr>
      </w:pPr>
      <w:r w:rsidRPr="00507896">
        <w:rPr>
          <w:rFonts w:ascii="Times New Roman" w:hAnsi="Times New Roman" w:cs="Times New Roman"/>
          <w:sz w:val="20"/>
          <w:szCs w:val="20"/>
        </w:rPr>
        <w:t xml:space="preserve">The allogeneic freshly cultured umbilical cord-derived human MSCs were </w:t>
      </w:r>
      <w:r w:rsidRPr="00507896">
        <w:rPr>
          <w:rFonts w:ascii="Times New Roman" w:hAnsi="Times New Roman" w:cs="Times New Roman" w:hint="eastAsia"/>
          <w:sz w:val="20"/>
          <w:szCs w:val="20"/>
        </w:rPr>
        <w:t xml:space="preserve">all </w:t>
      </w:r>
      <w:r w:rsidRPr="00507896">
        <w:rPr>
          <w:rFonts w:ascii="Times New Roman" w:hAnsi="Times New Roman" w:cs="Times New Roman"/>
          <w:sz w:val="20"/>
          <w:szCs w:val="20"/>
        </w:rPr>
        <w:t>prepared from umbilical cord obtained from healthy full-term women aged 2</w:t>
      </w:r>
      <w:r>
        <w:rPr>
          <w:rFonts w:ascii="Times New Roman" w:hAnsi="Times New Roman" w:cs="Times New Roman" w:hint="eastAsia"/>
          <w:sz w:val="20"/>
          <w:szCs w:val="20"/>
        </w:rPr>
        <w:t>3</w:t>
      </w:r>
      <w:r w:rsidRPr="00507896">
        <w:rPr>
          <w:rFonts w:ascii="Times New Roman" w:hAnsi="Times New Roman" w:cs="Times New Roman"/>
          <w:sz w:val="20"/>
          <w:szCs w:val="20"/>
        </w:rPr>
        <w:t>, who underwent a physical examination and laboratory testing, including infectious disease testing, such as routine blood test, liver function and renal function tests, urinalysis and routine stool examination, T-spot test for tuberculosis</w:t>
      </w:r>
      <w:r w:rsidRPr="00507896">
        <w:rPr>
          <w:rFonts w:ascii="Times New Roman" w:hAnsi="Times New Roman" w:cs="Times New Roman" w:hint="eastAsia"/>
          <w:sz w:val="20"/>
          <w:szCs w:val="20"/>
        </w:rPr>
        <w:t>,</w:t>
      </w:r>
      <w:r w:rsidRPr="00507896">
        <w:rPr>
          <w:rFonts w:ascii="Times New Roman" w:hAnsi="Times New Roman" w:cs="Times New Roman"/>
          <w:sz w:val="20"/>
          <w:szCs w:val="20"/>
        </w:rPr>
        <w:t xml:space="preserve"> toxoplasma test</w:t>
      </w:r>
      <w:r w:rsidRPr="00507896">
        <w:rPr>
          <w:rFonts w:ascii="Times New Roman" w:hAnsi="Times New Roman" w:cs="Times New Roman" w:hint="eastAsia"/>
          <w:sz w:val="20"/>
          <w:szCs w:val="20"/>
        </w:rPr>
        <w:t>, t</w:t>
      </w:r>
      <w:r w:rsidRPr="00507896">
        <w:rPr>
          <w:rFonts w:ascii="Times New Roman" w:hAnsi="Times New Roman" w:cs="Times New Roman"/>
          <w:sz w:val="20"/>
          <w:szCs w:val="20"/>
        </w:rPr>
        <w:t>reponema pallidum antibody test</w:t>
      </w:r>
      <w:r w:rsidRPr="00507896">
        <w:rPr>
          <w:rFonts w:ascii="Times New Roman" w:hAnsi="Times New Roman" w:cs="Times New Roman" w:hint="eastAsia"/>
          <w:sz w:val="20"/>
          <w:szCs w:val="20"/>
        </w:rPr>
        <w:t>, m</w:t>
      </w:r>
      <w:r w:rsidRPr="00507896">
        <w:rPr>
          <w:rFonts w:ascii="Times New Roman" w:hAnsi="Times New Roman" w:cs="Times New Roman"/>
          <w:sz w:val="20"/>
          <w:szCs w:val="20"/>
        </w:rPr>
        <w:t xml:space="preserve">ycoplasma </w:t>
      </w:r>
      <w:r w:rsidRPr="00507896">
        <w:rPr>
          <w:rFonts w:ascii="Times New Roman" w:hAnsi="Times New Roman" w:cs="Times New Roman" w:hint="eastAsia"/>
          <w:sz w:val="20"/>
          <w:szCs w:val="20"/>
        </w:rPr>
        <w:t>and c</w:t>
      </w:r>
      <w:r w:rsidRPr="00507896">
        <w:rPr>
          <w:rFonts w:ascii="Times New Roman" w:hAnsi="Times New Roman" w:cs="Times New Roman"/>
          <w:sz w:val="20"/>
          <w:szCs w:val="20"/>
        </w:rPr>
        <w:t>hlamydia</w:t>
      </w:r>
      <w:r w:rsidRPr="00507896">
        <w:rPr>
          <w:rFonts w:ascii="Times New Roman" w:hAnsi="Times New Roman" w:cs="Times New Roman" w:hint="eastAsia"/>
          <w:sz w:val="20"/>
          <w:szCs w:val="20"/>
        </w:rPr>
        <w:t xml:space="preserve"> test,</w:t>
      </w:r>
      <w:r w:rsidRPr="00507896">
        <w:rPr>
          <w:rFonts w:ascii="Times New Roman" w:hAnsi="Times New Roman" w:cs="Times New Roman"/>
          <w:sz w:val="20"/>
          <w:szCs w:val="20"/>
        </w:rPr>
        <w:t xml:space="preserve"> HIV test</w:t>
      </w:r>
      <w:r w:rsidRPr="00507896">
        <w:rPr>
          <w:rFonts w:ascii="Times New Roman" w:hAnsi="Times New Roman" w:cs="Times New Roman" w:hint="eastAsia"/>
          <w:sz w:val="20"/>
          <w:szCs w:val="20"/>
        </w:rPr>
        <w:t>,</w:t>
      </w:r>
      <w:r w:rsidRPr="0050789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and </w:t>
      </w:r>
      <w:r w:rsidRPr="00507896">
        <w:rPr>
          <w:rFonts w:ascii="Times New Roman" w:hAnsi="Times New Roman" w:cs="Times New Roman"/>
          <w:sz w:val="20"/>
          <w:szCs w:val="20"/>
        </w:rPr>
        <w:t>virus test</w:t>
      </w:r>
      <w:r w:rsidRPr="00507896">
        <w:rPr>
          <w:rFonts w:ascii="Times New Roman" w:hAnsi="Times New Roman" w:cs="Times New Roman" w:hint="eastAsia"/>
          <w:sz w:val="20"/>
          <w:szCs w:val="20"/>
        </w:rPr>
        <w:t xml:space="preserve"> including</w:t>
      </w:r>
      <w:r w:rsidRPr="00507896">
        <w:rPr>
          <w:rFonts w:ascii="Times New Roman" w:hAnsi="Times New Roman" w:cs="Times New Roman"/>
          <w:sz w:val="20"/>
          <w:szCs w:val="20"/>
        </w:rPr>
        <w:t xml:space="preserve"> hepatitis virus</w:t>
      </w:r>
      <w:r w:rsidRPr="00507896">
        <w:rPr>
          <w:rFonts w:ascii="Times New Roman" w:hAnsi="Times New Roman" w:cs="Times New Roman" w:hint="eastAsia"/>
          <w:sz w:val="20"/>
          <w:szCs w:val="20"/>
        </w:rPr>
        <w:t>, h</w:t>
      </w:r>
      <w:r w:rsidRPr="00507896">
        <w:rPr>
          <w:rFonts w:ascii="Times New Roman" w:hAnsi="Times New Roman" w:cs="Times New Roman"/>
          <w:sz w:val="20"/>
          <w:szCs w:val="20"/>
        </w:rPr>
        <w:t xml:space="preserve">erpes simplex virus, </w:t>
      </w:r>
      <w:r w:rsidRPr="00507896">
        <w:rPr>
          <w:rFonts w:ascii="Times New Roman" w:hAnsi="Times New Roman" w:cs="Times New Roman" w:hint="eastAsia"/>
          <w:sz w:val="20"/>
          <w:szCs w:val="20"/>
        </w:rPr>
        <w:t>c</w:t>
      </w:r>
      <w:r w:rsidRPr="00507896">
        <w:rPr>
          <w:rFonts w:ascii="Times New Roman" w:hAnsi="Times New Roman" w:cs="Times New Roman"/>
          <w:sz w:val="20"/>
          <w:szCs w:val="20"/>
        </w:rPr>
        <w:t>ytomegalovirus</w:t>
      </w:r>
      <w:r w:rsidRPr="00507896">
        <w:rPr>
          <w:rFonts w:ascii="Times New Roman" w:hAnsi="Times New Roman" w:cs="Times New Roman" w:hint="eastAsia"/>
          <w:sz w:val="20"/>
          <w:szCs w:val="20"/>
        </w:rPr>
        <w:t>, r</w:t>
      </w:r>
      <w:r w:rsidRPr="00507896">
        <w:rPr>
          <w:rFonts w:ascii="Times New Roman" w:hAnsi="Times New Roman" w:cs="Times New Roman"/>
          <w:sz w:val="20"/>
          <w:szCs w:val="20"/>
        </w:rPr>
        <w:t>ubella virus</w:t>
      </w:r>
      <w:r w:rsidRPr="00507896"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Pr="00507896">
        <w:rPr>
          <w:rFonts w:ascii="Times New Roman" w:hAnsi="Times New Roman" w:cs="Times New Roman"/>
          <w:sz w:val="20"/>
          <w:szCs w:val="20"/>
        </w:rPr>
        <w:t>Epstein-Barr virus</w:t>
      </w:r>
      <w:r w:rsidRPr="00507896">
        <w:rPr>
          <w:rFonts w:ascii="Times New Roman" w:hAnsi="Times New Roman" w:cs="Times New Roman" w:hint="eastAsia"/>
          <w:sz w:val="20"/>
          <w:szCs w:val="20"/>
        </w:rPr>
        <w:t xml:space="preserve"> and h</w:t>
      </w:r>
      <w:r w:rsidRPr="00507896">
        <w:rPr>
          <w:rFonts w:ascii="Times New Roman" w:hAnsi="Times New Roman" w:cs="Times New Roman"/>
          <w:sz w:val="20"/>
          <w:szCs w:val="20"/>
        </w:rPr>
        <w:t>uman papillomavirus</w:t>
      </w:r>
      <w:r w:rsidRPr="00507896">
        <w:rPr>
          <w:rFonts w:ascii="Times New Roman" w:hAnsi="Times New Roman" w:cs="Times New Roman" w:hint="eastAsia"/>
          <w:sz w:val="20"/>
          <w:szCs w:val="20"/>
        </w:rPr>
        <w:t>,</w:t>
      </w:r>
      <w:r w:rsidRPr="00507896">
        <w:rPr>
          <w:rFonts w:ascii="Times New Roman" w:hAnsi="Times New Roman" w:cs="Times New Roman"/>
          <w:sz w:val="20"/>
          <w:szCs w:val="20"/>
        </w:rPr>
        <w:t xml:space="preserve"> and no abnormalities were found. A 10-15 cm fresh cord was obtained</w:t>
      </w:r>
      <w:r w:rsidRPr="00507896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507896">
        <w:rPr>
          <w:rFonts w:ascii="Times New Roman" w:hAnsi="Times New Roman" w:cs="Times New Roman"/>
          <w:sz w:val="20"/>
          <w:szCs w:val="20"/>
        </w:rPr>
        <w:t>immediately after caesarean section at the Gynaecology Department of Third Affiliated Hospital, Third Military Medical University, after approval was obtained from the Institutional Ethics Committee. The samples were transferred to a class 10 000 cGMP</w:t>
      </w:r>
      <w:r>
        <w:rPr>
          <w:rFonts w:ascii="Times New Roman" w:hAnsi="Times New Roman" w:cs="Times New Roman"/>
          <w:sz w:val="20"/>
          <w:szCs w:val="20"/>
        </w:rPr>
        <w:t>-</w:t>
      </w:r>
      <w:r w:rsidRPr="00507896">
        <w:rPr>
          <w:rFonts w:ascii="Times New Roman" w:hAnsi="Times New Roman" w:cs="Times New Roman"/>
          <w:sz w:val="20"/>
          <w:szCs w:val="20"/>
        </w:rPr>
        <w:t>compliant clean room facility located at Daping Hospital of Third Military Medical University. After vessel removal, every 3-5 cm cord was cut into pieces</w:t>
      </w:r>
      <w:r w:rsidRPr="00507896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507896">
        <w:rPr>
          <w:rFonts w:ascii="Times New Roman" w:hAnsi="Times New Roman" w:cs="Times New Roman"/>
          <w:sz w:val="20"/>
          <w:szCs w:val="20"/>
        </w:rPr>
        <w:t>(1-3</w:t>
      </w:r>
      <w:r w:rsidRPr="00507896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507896">
        <w:rPr>
          <w:rFonts w:ascii="Times New Roman" w:hAnsi="Times New Roman" w:cs="Times New Roman"/>
          <w:sz w:val="20"/>
          <w:szCs w:val="20"/>
        </w:rPr>
        <w:t>mm in diameter) with scissors and cultured in UltraCULTURE (Lonza</w:t>
      </w:r>
      <w:r>
        <w:rPr>
          <w:rFonts w:ascii="Times New Roman" w:hAnsi="Times New Roman" w:cs="Times New Roman" w:hint="eastAsia"/>
          <w:sz w:val="20"/>
          <w:szCs w:val="20"/>
        </w:rPr>
        <w:t>, Walkersville, MD USA</w:t>
      </w:r>
      <w:r w:rsidRPr="00507896">
        <w:rPr>
          <w:rFonts w:ascii="Times New Roman" w:hAnsi="Times New Roman" w:cs="Times New Roman"/>
          <w:sz w:val="20"/>
          <w:szCs w:val="20"/>
        </w:rPr>
        <w:t>) (ULtroser G (Life Sciences</w:t>
      </w:r>
      <w:r>
        <w:rPr>
          <w:rFonts w:ascii="Times New Roman" w:hAnsi="Times New Roman" w:cs="Times New Roman" w:hint="eastAsia"/>
          <w:sz w:val="20"/>
          <w:szCs w:val="20"/>
        </w:rPr>
        <w:t>, Port Washington, NY, USA</w:t>
      </w:r>
      <w:r w:rsidRPr="00507896">
        <w:rPr>
          <w:rFonts w:ascii="Times New Roman" w:hAnsi="Times New Roman" w:cs="Times New Roman"/>
          <w:sz w:val="20"/>
          <w:szCs w:val="20"/>
        </w:rPr>
        <w:t>), 2 mM L-</w:t>
      </w:r>
      <w:r>
        <w:rPr>
          <w:rFonts w:ascii="Times New Roman" w:hAnsi="Times New Roman" w:cs="Times New Roman"/>
          <w:sz w:val="20"/>
          <w:szCs w:val="20"/>
        </w:rPr>
        <w:t>g</w:t>
      </w:r>
      <w:r w:rsidRPr="00507896">
        <w:rPr>
          <w:rFonts w:ascii="Times New Roman" w:hAnsi="Times New Roman" w:cs="Times New Roman"/>
          <w:sz w:val="20"/>
          <w:szCs w:val="20"/>
        </w:rPr>
        <w:t>lutamine)</w:t>
      </w:r>
      <w:r w:rsidRPr="00507896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507896">
        <w:rPr>
          <w:rFonts w:ascii="Times New Roman" w:hAnsi="Times New Roman" w:cs="Times New Roman"/>
          <w:sz w:val="20"/>
          <w:szCs w:val="20"/>
        </w:rPr>
        <w:t>in a 25 cm</w:t>
      </w:r>
      <w:r w:rsidRPr="00507896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507896">
        <w:rPr>
          <w:rFonts w:ascii="Times New Roman" w:hAnsi="Times New Roman" w:cs="Times New Roman"/>
          <w:sz w:val="20"/>
          <w:szCs w:val="20"/>
        </w:rPr>
        <w:t xml:space="preserve"> cell culture flask (Corning</w:t>
      </w:r>
      <w:r>
        <w:rPr>
          <w:rFonts w:ascii="Times New Roman" w:hAnsi="Times New Roman" w:cs="Times New Roman" w:hint="eastAsia"/>
          <w:sz w:val="20"/>
          <w:szCs w:val="20"/>
        </w:rPr>
        <w:t>, China</w:t>
      </w:r>
      <w:r w:rsidRPr="00507896">
        <w:rPr>
          <w:rFonts w:ascii="Times New Roman" w:hAnsi="Times New Roman" w:cs="Times New Roman"/>
          <w:sz w:val="20"/>
          <w:szCs w:val="20"/>
        </w:rPr>
        <w:t>). The adherent cells were detached enzymatically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507896">
        <w:rPr>
          <w:rFonts w:ascii="Times New Roman" w:hAnsi="Times New Roman" w:cs="Times New Roman"/>
          <w:sz w:val="20"/>
          <w:szCs w:val="20"/>
        </w:rPr>
        <w:t xml:space="preserve"> re-plated into a cell culture flask and incubated at 37°C in a humidified atmosphere containing 5% CO</w:t>
      </w:r>
      <w:r w:rsidRPr="00CD06E6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507896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507896">
        <w:rPr>
          <w:rFonts w:ascii="Times New Roman" w:hAnsi="Times New Roman" w:cs="Times New Roman"/>
          <w:sz w:val="20"/>
          <w:szCs w:val="20"/>
        </w:rPr>
        <w:t>to yield 500 to 900 million MSCs, which were cryopreserved at 5×10</w:t>
      </w:r>
      <w:r w:rsidRPr="00507896">
        <w:rPr>
          <w:rFonts w:ascii="Times New Roman" w:hAnsi="Times New Roman" w:cs="Times New Roman"/>
          <w:sz w:val="20"/>
          <w:szCs w:val="20"/>
          <w:vertAlign w:val="superscript"/>
        </w:rPr>
        <w:t>6</w:t>
      </w:r>
      <w:r w:rsidRPr="00507896">
        <w:rPr>
          <w:rFonts w:ascii="Times New Roman" w:hAnsi="Times New Roman" w:cs="Times New Roman"/>
          <w:sz w:val="20"/>
          <w:szCs w:val="20"/>
        </w:rPr>
        <w:t xml:space="preserve"> cells/mL to generate a master cell bank (MCB). These MSCs were limited to </w:t>
      </w:r>
      <w:r w:rsidRPr="00507896">
        <w:rPr>
          <w:rFonts w:ascii="Times New Roman" w:hAnsi="Times New Roman" w:cs="Times New Roman" w:hint="eastAsia"/>
          <w:sz w:val="20"/>
          <w:szCs w:val="20"/>
        </w:rPr>
        <w:t>no more than 5</w:t>
      </w:r>
      <w:r w:rsidRPr="00507896">
        <w:rPr>
          <w:rFonts w:ascii="Times New Roman" w:hAnsi="Times New Roman" w:cs="Times New Roman"/>
          <w:sz w:val="20"/>
          <w:szCs w:val="20"/>
        </w:rPr>
        <w:t xml:space="preserve"> population doublings, had greater than 90% viability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507896">
        <w:rPr>
          <w:rFonts w:ascii="Times New Roman" w:hAnsi="Times New Roman" w:cs="Times New Roman"/>
          <w:sz w:val="20"/>
          <w:szCs w:val="20"/>
        </w:rPr>
        <w:t xml:space="preserve"> were characterized</w:t>
      </w:r>
      <w:r w:rsidRPr="00507896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507896">
        <w:rPr>
          <w:rFonts w:ascii="Times New Roman" w:hAnsi="Times New Roman" w:cs="Times New Roman"/>
          <w:sz w:val="20"/>
          <w:szCs w:val="20"/>
        </w:rPr>
        <w:t>according to spindle-shaped morphology, were positive (&gt;95% expression) for CD</w:t>
      </w:r>
      <w:r w:rsidRPr="00507896">
        <w:rPr>
          <w:rFonts w:ascii="Times New Roman" w:hAnsi="Times New Roman" w:cs="Times New Roman" w:hint="eastAsia"/>
          <w:sz w:val="20"/>
          <w:szCs w:val="20"/>
        </w:rPr>
        <w:t>29</w:t>
      </w:r>
      <w:r w:rsidRPr="00507896">
        <w:rPr>
          <w:rFonts w:ascii="Times New Roman" w:hAnsi="Times New Roman" w:cs="Times New Roman"/>
          <w:sz w:val="20"/>
          <w:szCs w:val="20"/>
        </w:rPr>
        <w:t xml:space="preserve">, </w:t>
      </w:r>
      <w:r w:rsidRPr="00507896">
        <w:rPr>
          <w:rFonts w:ascii="Times New Roman" w:hAnsi="Times New Roman" w:cs="Times New Roman" w:hint="eastAsia"/>
          <w:sz w:val="20"/>
          <w:szCs w:val="20"/>
        </w:rPr>
        <w:t xml:space="preserve">CD44, </w:t>
      </w:r>
      <w:r w:rsidRPr="00507896">
        <w:rPr>
          <w:rFonts w:ascii="Times New Roman" w:hAnsi="Times New Roman" w:cs="Times New Roman"/>
          <w:sz w:val="20"/>
          <w:szCs w:val="20"/>
        </w:rPr>
        <w:t>CD90 and CD105 and negative (&lt;5% expression) for CD34, CD45, and HLA-DR</w:t>
      </w:r>
      <w:r>
        <w:rPr>
          <w:rFonts w:ascii="Times New Roman" w:hAnsi="Times New Roman" w:cs="Times New Roman"/>
          <w:sz w:val="20"/>
          <w:szCs w:val="20"/>
        </w:rPr>
        <w:t xml:space="preserve"> and were</w:t>
      </w:r>
      <w:r w:rsidRPr="00507896">
        <w:rPr>
          <w:rFonts w:ascii="Times New Roman" w:hAnsi="Times New Roman" w:cs="Times New Roman"/>
          <w:sz w:val="20"/>
          <w:szCs w:val="20"/>
        </w:rPr>
        <w:t xml:space="preserve"> able to differentiate into adi</w:t>
      </w:r>
      <w:r>
        <w:rPr>
          <w:rFonts w:ascii="Times New Roman" w:hAnsi="Times New Roman" w:cs="Times New Roman"/>
          <w:sz w:val="20"/>
          <w:szCs w:val="20"/>
        </w:rPr>
        <w:t>p</w:t>
      </w:r>
      <w:r w:rsidRPr="00507896">
        <w:rPr>
          <w:rFonts w:ascii="Times New Roman" w:hAnsi="Times New Roman" w:cs="Times New Roman"/>
          <w:sz w:val="20"/>
          <w:szCs w:val="20"/>
        </w:rPr>
        <w:t>ogenic, osteogenic and chondrogenic lineages. The</w:t>
      </w:r>
      <w:r>
        <w:rPr>
          <w:rFonts w:ascii="Times New Roman" w:hAnsi="Times New Roman" w:cs="Times New Roman"/>
          <w:sz w:val="20"/>
          <w:szCs w:val="20"/>
        </w:rPr>
        <w:t xml:space="preserve"> MSCs</w:t>
      </w:r>
      <w:r w:rsidRPr="00507896">
        <w:rPr>
          <w:rFonts w:ascii="Times New Roman" w:hAnsi="Times New Roman" w:cs="Times New Roman"/>
          <w:sz w:val="20"/>
          <w:szCs w:val="20"/>
        </w:rPr>
        <w:t xml:space="preserve"> also tested negative for sterility, </w:t>
      </w:r>
      <w:r w:rsidRPr="00507896">
        <w:rPr>
          <w:rFonts w:ascii="Times New Roman" w:hAnsi="Times New Roman" w:cs="Times New Roman" w:hint="eastAsia"/>
          <w:sz w:val="20"/>
          <w:szCs w:val="20"/>
        </w:rPr>
        <w:t>e</w:t>
      </w:r>
      <w:r w:rsidRPr="00507896">
        <w:rPr>
          <w:rFonts w:ascii="Times New Roman" w:hAnsi="Times New Roman" w:cs="Times New Roman"/>
          <w:sz w:val="20"/>
          <w:szCs w:val="20"/>
        </w:rPr>
        <w:t>ndotoxin</w:t>
      </w:r>
      <w:r w:rsidRPr="00507896">
        <w:rPr>
          <w:rFonts w:ascii="Times New Roman" w:hAnsi="Times New Roman" w:cs="Times New Roman" w:hint="eastAsia"/>
          <w:sz w:val="20"/>
          <w:szCs w:val="20"/>
        </w:rPr>
        <w:t>, c</w:t>
      </w:r>
      <w:r w:rsidRPr="00507896">
        <w:rPr>
          <w:rFonts w:ascii="Times New Roman" w:hAnsi="Times New Roman" w:cs="Times New Roman"/>
          <w:sz w:val="20"/>
          <w:szCs w:val="20"/>
        </w:rPr>
        <w:t>hlamydia and mycoplasma</w:t>
      </w:r>
      <w:r w:rsidRPr="00507896">
        <w:rPr>
          <w:rFonts w:ascii="Times New Roman" w:hAnsi="Times New Roman" w:cs="Times New Roman" w:hint="eastAsia"/>
          <w:sz w:val="20"/>
          <w:szCs w:val="20"/>
        </w:rPr>
        <w:t>.</w:t>
      </w:r>
      <w:r w:rsidRPr="00507896">
        <w:rPr>
          <w:rFonts w:ascii="Times New Roman" w:hAnsi="Times New Roman" w:cs="Times New Roman"/>
          <w:sz w:val="20"/>
          <w:szCs w:val="20"/>
        </w:rPr>
        <w:t xml:space="preserve"> We have proposed that non</w:t>
      </w:r>
      <w:r>
        <w:rPr>
          <w:rFonts w:ascii="Times New Roman" w:hAnsi="Times New Roman" w:cs="Times New Roman"/>
          <w:sz w:val="20"/>
          <w:szCs w:val="20"/>
        </w:rPr>
        <w:t>-</w:t>
      </w:r>
      <w:r w:rsidRPr="00507896">
        <w:rPr>
          <w:rFonts w:ascii="Times New Roman" w:hAnsi="Times New Roman" w:cs="Times New Roman"/>
          <w:sz w:val="20"/>
          <w:szCs w:val="20"/>
        </w:rPr>
        <w:t>cryopreserved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507896">
        <w:rPr>
          <w:rFonts w:ascii="Times New Roman" w:hAnsi="Times New Roman" w:cs="Times New Roman"/>
          <w:sz w:val="20"/>
          <w:szCs w:val="20"/>
        </w:rPr>
        <w:t xml:space="preserve"> actively growing mesenchymal stromal cells would provide the best therapeutic effect unhindered by cryo</w:t>
      </w:r>
      <w:r>
        <w:rPr>
          <w:rFonts w:ascii="Times New Roman" w:hAnsi="Times New Roman" w:cs="Times New Roman"/>
          <w:sz w:val="20"/>
          <w:szCs w:val="20"/>
        </w:rPr>
        <w:t>-</w:t>
      </w:r>
      <w:r w:rsidRPr="00507896">
        <w:rPr>
          <w:rFonts w:ascii="Times New Roman" w:hAnsi="Times New Roman" w:cs="Times New Roman"/>
          <w:sz w:val="20"/>
          <w:szCs w:val="20"/>
        </w:rPr>
        <w:t>injury</w:t>
      </w:r>
      <w:r w:rsidRPr="00507896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9967CD" w:rsidRPr="00507896">
        <w:rPr>
          <w:rFonts w:ascii="Times New Roman" w:hAnsi="Times New Roman" w:cs="Times New Roman"/>
          <w:sz w:val="20"/>
          <w:szCs w:val="20"/>
        </w:rPr>
        <w:fldChar w:fldCharType="begin"/>
      </w:r>
      <w:r>
        <w:rPr>
          <w:rFonts w:ascii="Times New Roman" w:hAnsi="Times New Roman" w:cs="Times New Roman"/>
          <w:sz w:val="20"/>
          <w:szCs w:val="20"/>
        </w:rPr>
        <w:instrText xml:space="preserve"> ADDIN EN.CITE &lt;EndNote&gt;&lt;Cite&gt;&lt;Author&gt;Galipeau&lt;/Author&gt;&lt;Year&gt;2013&lt;/Year&gt;&lt;RecNum&gt;4258&lt;/RecNum&gt;&lt;DisplayText&gt;[1]&lt;/DisplayText&gt;&lt;record&gt;&lt;rec-number&gt;4258&lt;/rec-number&gt;&lt;foreign-keys&gt;&lt;key app="EN" db-id="avarvr2am0wztme02ep5svr92z55ztzf9efd" timestamp="1512804362"&gt;4258&lt;/key&gt;&lt;/foreign-keys&gt;&lt;ref-type name="Journal Article"&gt;17&lt;/ref-type&gt;&lt;contributors&gt;&lt;authors&gt;&lt;author&gt;Galipeau, J.&lt;/author&gt;&lt;/authors&gt;&lt;/contributors&gt;&lt;auth-address&gt;Department of Hematology &amp;amp; Medical Oncology, Emory University Winship Cancer Institute, Atlanta, GA, USA. jgalipe@emory.edu&lt;/auth-address&gt;&lt;titles&gt;&lt;title&gt;The mesenchymal stromal cells dilemma--does a negative phase III trial of random donor mesenchymal stromal cells in steroid-resistant graft-versus-host disease represent a death knell or a bump in the road?&lt;/title&gt;&lt;secondary-title&gt;Cytotherapy&lt;/secondary-title&gt;&lt;alt-title&gt;Cytotherapy&lt;/alt-title&gt;&lt;/titles&gt;&lt;periodical&gt;&lt;full-title&gt;Cytotherapy&lt;/full-title&gt;&lt;abbr-1&gt;Cytotherapy&lt;/abbr-1&gt;&lt;/periodical&gt;&lt;alt-periodical&gt;&lt;full-title&gt;Cytotherapy&lt;/full-title&gt;&lt;abbr-1&gt;Cytotherapy&lt;/abbr-1&gt;&lt;/alt-periodical&gt;&lt;pages&gt;2-8&lt;/pages&gt;&lt;volume&gt;15&lt;/volume&gt;&lt;number&gt;1&lt;/number&gt;&lt;keywords&gt;&lt;keyword&gt;Clinical Trials, Phase III as Topic&lt;/keyword&gt;&lt;keyword&gt;Graft vs Host Disease/*drug therapy/*therapy&lt;/keyword&gt;&lt;keyword&gt;Humans&lt;/keyword&gt;&lt;keyword&gt;Mesenchymal Stem Cell Transplantation&lt;/keyword&gt;&lt;keyword&gt;Mesenchymal Stromal Cells/*cytology&lt;/keyword&gt;&lt;keyword&gt;Steroids/*therapeutic use&lt;/keyword&gt;&lt;/keywords&gt;&lt;dates&gt;&lt;year&gt;2013&lt;/year&gt;&lt;pub-dates&gt;&lt;date&gt;Jan&lt;/date&gt;&lt;/pub-dates&gt;&lt;/dates&gt;&lt;isbn&gt;1477-2566 (Electronic)&amp;#xD;1465-3249 (Linking)&lt;/isbn&gt;&lt;accession-num&gt;23260081&lt;/accession-num&gt;&lt;urls&gt;&lt;related-urls&gt;&lt;url&gt;http://www.ncbi.nlm.nih.gov/pubmed/23260081&lt;/url&gt;&lt;/related-urls&gt;&lt;/urls&gt;&lt;electronic-resource-num&gt;10.1016/j.jcyt.2012.10.002&lt;/electronic-resource-num&gt;&lt;/record&gt;&lt;/Cite&gt;&lt;/EndNote&gt;</w:instrText>
      </w:r>
      <w:r w:rsidR="009967CD" w:rsidRPr="00507896">
        <w:rPr>
          <w:rFonts w:ascii="Times New Roman" w:hAnsi="Times New Roman" w:cs="Times New Roman"/>
          <w:sz w:val="20"/>
          <w:szCs w:val="20"/>
        </w:rPr>
        <w:fldChar w:fldCharType="separate"/>
      </w:r>
      <w:r>
        <w:rPr>
          <w:rFonts w:ascii="Times New Roman" w:hAnsi="Times New Roman" w:cs="Times New Roman"/>
          <w:noProof/>
          <w:sz w:val="20"/>
          <w:szCs w:val="20"/>
        </w:rPr>
        <w:t>[1]</w:t>
      </w:r>
      <w:r w:rsidR="009967CD" w:rsidRPr="00507896">
        <w:rPr>
          <w:rFonts w:ascii="Times New Roman" w:hAnsi="Times New Roman" w:cs="Times New Roman"/>
          <w:sz w:val="20"/>
          <w:szCs w:val="20"/>
        </w:rPr>
        <w:fldChar w:fldCharType="end"/>
      </w:r>
      <w:r w:rsidRPr="00507896">
        <w:rPr>
          <w:rFonts w:ascii="Times New Roman" w:hAnsi="Times New Roman" w:cs="Times New Roman"/>
          <w:sz w:val="20"/>
          <w:szCs w:val="20"/>
        </w:rPr>
        <w:t xml:space="preserve">. Therefore, the MSCs for use in the </w:t>
      </w:r>
      <w:r>
        <w:rPr>
          <w:rFonts w:ascii="Times New Roman" w:hAnsi="Times New Roman" w:cs="Times New Roman" w:hint="eastAsia"/>
          <w:sz w:val="20"/>
          <w:szCs w:val="20"/>
        </w:rPr>
        <w:t>p</w:t>
      </w:r>
      <w:r w:rsidRPr="00507896">
        <w:rPr>
          <w:rFonts w:ascii="Times New Roman" w:hAnsi="Times New Roman" w:cs="Times New Roman"/>
          <w:sz w:val="20"/>
          <w:szCs w:val="20"/>
        </w:rPr>
        <w:t>hase I trial were thawed from the MCB and propagated in culture (for a period of 5 to 10 days) on a weekly basis to constitute a single batch. These cells were collected enzymatically, washed, counted and prepared for patient infusion.</w:t>
      </w:r>
      <w:r w:rsidRPr="00507896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507896">
        <w:rPr>
          <w:rFonts w:ascii="Times New Roman" w:hAnsi="Times New Roman" w:cs="Times New Roman"/>
          <w:sz w:val="20"/>
          <w:szCs w:val="20"/>
        </w:rPr>
        <w:t>Patients received 1×10</w:t>
      </w:r>
      <w:r w:rsidRPr="00507896">
        <w:rPr>
          <w:rFonts w:ascii="Times New Roman" w:hAnsi="Times New Roman" w:cs="Times New Roman"/>
          <w:sz w:val="20"/>
          <w:szCs w:val="20"/>
          <w:vertAlign w:val="superscript"/>
        </w:rPr>
        <w:t>6</w:t>
      </w:r>
      <w:r w:rsidRPr="00507896">
        <w:rPr>
          <w:rFonts w:ascii="Times New Roman" w:hAnsi="Times New Roman" w:cs="Times New Roman"/>
          <w:sz w:val="20"/>
          <w:szCs w:val="20"/>
        </w:rPr>
        <w:t xml:space="preserve"> cells/kg of body weight in 50 mL </w:t>
      </w:r>
      <w:r>
        <w:rPr>
          <w:rFonts w:ascii="Times New Roman" w:hAnsi="Times New Roman" w:cs="Times New Roman"/>
          <w:sz w:val="20"/>
          <w:szCs w:val="20"/>
        </w:rPr>
        <w:t xml:space="preserve">of </w:t>
      </w:r>
      <w:r w:rsidRPr="00507896">
        <w:rPr>
          <w:rFonts w:ascii="Times New Roman" w:hAnsi="Times New Roman" w:cs="Times New Roman"/>
          <w:sz w:val="20"/>
          <w:szCs w:val="20"/>
        </w:rPr>
        <w:t xml:space="preserve">1% albumin </w:t>
      </w:r>
      <w:r>
        <w:rPr>
          <w:rFonts w:ascii="Times New Roman" w:hAnsi="Times New Roman" w:cs="Times New Roman"/>
          <w:sz w:val="20"/>
          <w:szCs w:val="20"/>
        </w:rPr>
        <w:t>in</w:t>
      </w:r>
      <w:r w:rsidRPr="00507896">
        <w:rPr>
          <w:rFonts w:ascii="Times New Roman" w:hAnsi="Times New Roman" w:cs="Times New Roman"/>
          <w:sz w:val="20"/>
          <w:szCs w:val="20"/>
        </w:rPr>
        <w:t xml:space="preserve"> physiological saline as treatment. The final MSC product underwent an assessment of morphology and growth, </w:t>
      </w:r>
      <w:r>
        <w:rPr>
          <w:rFonts w:ascii="Times New Roman" w:hAnsi="Times New Roman" w:cs="Times New Roman"/>
          <w:sz w:val="20"/>
          <w:szCs w:val="20"/>
        </w:rPr>
        <w:t xml:space="preserve">showing </w:t>
      </w:r>
      <w:r w:rsidRPr="00507896">
        <w:rPr>
          <w:rFonts w:ascii="Times New Roman" w:hAnsi="Times New Roman" w:cs="Times New Roman"/>
          <w:sz w:val="20"/>
          <w:szCs w:val="20"/>
        </w:rPr>
        <w:t>greater than 90% viability with Trypan Blue staining and sterility through</w:t>
      </w:r>
      <w:r>
        <w:rPr>
          <w:rFonts w:ascii="Times New Roman" w:hAnsi="Times New Roman" w:cs="Times New Roman"/>
          <w:sz w:val="20"/>
          <w:szCs w:val="20"/>
        </w:rPr>
        <w:t xml:space="preserve"> an</w:t>
      </w:r>
      <w:r w:rsidRPr="00507896">
        <w:rPr>
          <w:rFonts w:ascii="Times New Roman" w:hAnsi="Times New Roman" w:cs="Times New Roman"/>
          <w:sz w:val="20"/>
          <w:szCs w:val="20"/>
        </w:rPr>
        <w:t xml:space="preserve"> endotoxin measurement of less than 2 EU.</w:t>
      </w:r>
      <w:r w:rsidRPr="00507896"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Based on</w:t>
      </w:r>
      <w:r w:rsidRPr="00B22CC5">
        <w:rPr>
          <w:rFonts w:ascii="Times New Roman" w:hAnsi="Times New Roman" w:cs="Times New Roman"/>
          <w:sz w:val="20"/>
          <w:szCs w:val="20"/>
        </w:rPr>
        <w:t xml:space="preserve"> </w:t>
      </w:r>
      <w:r w:rsidRPr="00507896">
        <w:rPr>
          <w:rFonts w:ascii="Times New Roman" w:hAnsi="Times New Roman" w:cs="Times New Roman"/>
          <w:sz w:val="20"/>
          <w:szCs w:val="20"/>
        </w:rPr>
        <w:t>Trypan Blue staining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50789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t</w:t>
      </w:r>
      <w:r w:rsidRPr="00507896">
        <w:rPr>
          <w:rFonts w:ascii="Times New Roman" w:hAnsi="Times New Roman" w:cs="Times New Roman"/>
          <w:sz w:val="20"/>
          <w:szCs w:val="20"/>
        </w:rPr>
        <w:t>he viability of</w:t>
      </w:r>
      <w:bookmarkStart w:id="0" w:name="_GoBack"/>
      <w:bookmarkEnd w:id="0"/>
      <w:r w:rsidRPr="00507896">
        <w:rPr>
          <w:rFonts w:ascii="Times New Roman" w:hAnsi="Times New Roman" w:cs="Times New Roman"/>
          <w:sz w:val="20"/>
          <w:szCs w:val="20"/>
        </w:rPr>
        <w:t xml:space="preserve"> the final cell product for the 15 MSC doses administered</w:t>
      </w:r>
      <w:r w:rsidRPr="00507896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507896">
        <w:rPr>
          <w:rFonts w:ascii="Times New Roman" w:hAnsi="Times New Roman" w:cs="Times New Roman"/>
          <w:sz w:val="20"/>
          <w:szCs w:val="20"/>
        </w:rPr>
        <w:t>ranged from 9</w:t>
      </w:r>
      <w:r w:rsidRPr="00507896">
        <w:rPr>
          <w:rFonts w:ascii="Times New Roman" w:hAnsi="Times New Roman" w:cs="Times New Roman" w:hint="eastAsia"/>
          <w:sz w:val="20"/>
          <w:szCs w:val="20"/>
        </w:rPr>
        <w:t>0</w:t>
      </w:r>
      <w:r w:rsidRPr="00507896">
        <w:rPr>
          <w:rFonts w:ascii="Times New Roman" w:hAnsi="Times New Roman" w:cs="Times New Roman"/>
          <w:sz w:val="20"/>
          <w:szCs w:val="20"/>
        </w:rPr>
        <w:t>-9</w:t>
      </w:r>
      <w:r w:rsidRPr="00507896">
        <w:rPr>
          <w:rFonts w:ascii="Times New Roman" w:hAnsi="Times New Roman" w:cs="Times New Roman" w:hint="eastAsia"/>
          <w:sz w:val="20"/>
          <w:szCs w:val="20"/>
        </w:rPr>
        <w:t>5</w:t>
      </w:r>
      <w:r w:rsidRPr="00507896">
        <w:rPr>
          <w:rFonts w:ascii="Times New Roman" w:hAnsi="Times New Roman" w:cs="Times New Roman"/>
          <w:sz w:val="20"/>
          <w:szCs w:val="20"/>
        </w:rPr>
        <w:t>% (mean 9</w:t>
      </w:r>
      <w:r w:rsidRPr="00507896">
        <w:rPr>
          <w:rFonts w:ascii="Times New Roman" w:hAnsi="Times New Roman" w:cs="Times New Roman" w:hint="eastAsia"/>
          <w:sz w:val="20"/>
          <w:szCs w:val="20"/>
        </w:rPr>
        <w:t>3</w:t>
      </w:r>
      <w:r w:rsidRPr="00507896">
        <w:rPr>
          <w:rFonts w:ascii="Times New Roman" w:hAnsi="Times New Roman" w:cs="Times New Roman"/>
          <w:sz w:val="20"/>
          <w:szCs w:val="20"/>
        </w:rPr>
        <w:t>%).</w:t>
      </w:r>
    </w:p>
    <w:p w:rsidR="005E7C54" w:rsidRDefault="005E7C54" w:rsidP="005E7C54">
      <w:pPr>
        <w:rPr>
          <w:rFonts w:ascii="Times New Roman" w:hAnsi="Times New Roman" w:cs="Times New Roman"/>
          <w:sz w:val="20"/>
          <w:szCs w:val="20"/>
        </w:rPr>
      </w:pPr>
    </w:p>
    <w:p w:rsidR="005E7C54" w:rsidRPr="00507896" w:rsidRDefault="005E7C54" w:rsidP="005E7C54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 w:rsidRPr="00507896">
        <w:rPr>
          <w:rFonts w:ascii="Times New Roman" w:hAnsi="Times New Roman" w:cs="Times New Roman"/>
          <w:b/>
          <w:sz w:val="20"/>
          <w:szCs w:val="20"/>
        </w:rPr>
        <w:t>References</w:t>
      </w:r>
    </w:p>
    <w:p w:rsidR="005E7C54" w:rsidRPr="005E7C54" w:rsidRDefault="009967CD" w:rsidP="005E7C54">
      <w:pPr>
        <w:pStyle w:val="EndNoteBibliography"/>
      </w:pPr>
      <w:r w:rsidRPr="009967CD">
        <w:fldChar w:fldCharType="begin"/>
      </w:r>
      <w:r w:rsidR="005E7C54">
        <w:instrText xml:space="preserve"> ADDIN EN.REFLIST </w:instrText>
      </w:r>
      <w:r w:rsidRPr="009967CD">
        <w:fldChar w:fldCharType="separate"/>
      </w:r>
      <w:r w:rsidR="005E7C54" w:rsidRPr="005E7C54">
        <w:t>[1] Galipeau J. The mesenchymal stromal cells dilemma--does a negative phase III trial of random donor mesenchymal stromal cells in steroid-resistant graft-versus-host disease represent a death knell or a bump in the road? Cytotherapy. 2013;15:2-8.</w:t>
      </w:r>
    </w:p>
    <w:p w:rsidR="005E7C54" w:rsidRDefault="009967CD" w:rsidP="005E7C54">
      <w:r>
        <w:fldChar w:fldCharType="end"/>
      </w:r>
    </w:p>
    <w:sectPr w:rsidR="005E7C54" w:rsidSect="009967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41EC" w:rsidRDefault="007141EC" w:rsidP="005E7C54">
      <w:r>
        <w:separator/>
      </w:r>
    </w:p>
  </w:endnote>
  <w:endnote w:type="continuationSeparator" w:id="1">
    <w:p w:rsidR="007141EC" w:rsidRDefault="007141EC" w:rsidP="005E7C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41EC" w:rsidRDefault="007141EC" w:rsidP="005E7C54">
      <w:r>
        <w:separator/>
      </w:r>
    </w:p>
  </w:footnote>
  <w:footnote w:type="continuationSeparator" w:id="1">
    <w:p w:rsidR="007141EC" w:rsidRDefault="007141EC" w:rsidP="005E7C5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EN.Layout" w:val="&lt;ENLayout&gt;&lt;Style&gt;Translational Research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varvr2am0wztme02ep5svr92z55ztzf9efd&quot;&gt;MSC&lt;record-ids&gt;&lt;item&gt;4258&lt;/item&gt;&lt;/record-ids&gt;&lt;/item&gt;&lt;/Libraries&gt;"/>
  </w:docVars>
  <w:rsids>
    <w:rsidRoot w:val="00A37302"/>
    <w:rsid w:val="000F0638"/>
    <w:rsid w:val="005E7C54"/>
    <w:rsid w:val="007141EC"/>
    <w:rsid w:val="009967CD"/>
    <w:rsid w:val="009F0BA4"/>
    <w:rsid w:val="009F51D0"/>
    <w:rsid w:val="00A37302"/>
    <w:rsid w:val="00E34B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C5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E7C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E7C5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E7C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E7C54"/>
    <w:rPr>
      <w:sz w:val="18"/>
      <w:szCs w:val="18"/>
    </w:rPr>
  </w:style>
  <w:style w:type="paragraph" w:customStyle="1" w:styleId="EndNoteBibliography">
    <w:name w:val="EndNote Bibliography"/>
    <w:basedOn w:val="a"/>
    <w:link w:val="EndNoteBibliographyChar"/>
    <w:rsid w:val="005E7C54"/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5E7C54"/>
    <w:rPr>
      <w:rFonts w:ascii="Calibri" w:hAnsi="Calibri" w:cs="Calibri"/>
      <w:noProof/>
      <w:sz w:val="20"/>
    </w:rPr>
  </w:style>
  <w:style w:type="paragraph" w:customStyle="1" w:styleId="EndNoteBibliographyTitle">
    <w:name w:val="EndNote Bibliography Title"/>
    <w:basedOn w:val="a"/>
    <w:link w:val="EndNoteBibliographyTitleChar"/>
    <w:rsid w:val="005E7C54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5E7C54"/>
    <w:rPr>
      <w:rFonts w:ascii="Calibri" w:hAnsi="Calibri" w:cs="Calibri"/>
      <w:noProof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C54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E7C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E7C5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E7C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E7C54"/>
    <w:rPr>
      <w:sz w:val="18"/>
      <w:szCs w:val="18"/>
    </w:rPr>
  </w:style>
  <w:style w:type="paragraph" w:customStyle="1" w:styleId="EndNoteBibliography">
    <w:name w:val="EndNote Bibliography"/>
    <w:basedOn w:val="a"/>
    <w:link w:val="EndNoteBibliographyChar"/>
    <w:rsid w:val="005E7C54"/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5E7C54"/>
    <w:rPr>
      <w:rFonts w:ascii="Calibri" w:hAnsi="Calibri" w:cs="Calibri"/>
      <w:noProof/>
      <w:sz w:val="20"/>
    </w:rPr>
  </w:style>
  <w:style w:type="paragraph" w:customStyle="1" w:styleId="EndNoteBibliographyTitle">
    <w:name w:val="EndNote Bibliography Title"/>
    <w:basedOn w:val="a"/>
    <w:link w:val="EndNoteBibliographyTitleChar"/>
    <w:rsid w:val="005E7C54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5E7C54"/>
    <w:rPr>
      <w:rFonts w:ascii="Calibri" w:hAnsi="Calibri" w:cs="Calibri"/>
      <w:noProof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748</Words>
  <Characters>4270</Characters>
  <Application>Microsoft Office Word</Application>
  <DocSecurity>0</DocSecurity>
  <Lines>35</Lines>
  <Paragraphs>10</Paragraphs>
  <ScaleCrop>false</ScaleCrop>
  <Company/>
  <LinksUpToDate>false</LinksUpToDate>
  <CharactersWithSpaces>5008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Xiao He</dc:creator>
  <cp:lastModifiedBy>xuxiang</cp:lastModifiedBy>
  <cp:revision>2</cp:revision>
  <dcterms:created xsi:type="dcterms:W3CDTF">2018-06-08T07:29:00Z</dcterms:created>
  <dcterms:modified xsi:type="dcterms:W3CDTF">2018-06-08T07:29:00Z</dcterms:modified>
</cp:coreProperties>
</file>