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0CB38A" w14:textId="77777777" w:rsidR="007435EE" w:rsidRDefault="009D0647" w:rsidP="009D0647">
      <w:pPr>
        <w:spacing w:afterLines="50" w:after="156" w:line="480" w:lineRule="auto"/>
        <w:rPr>
          <w:rFonts w:ascii="Times New Roman" w:hAnsi="Times New Roman" w:cs="Times New Roman" w:hint="eastAsia"/>
          <w:b/>
          <w:bCs/>
          <w:kern w:val="0"/>
        </w:rPr>
      </w:pPr>
      <w:r w:rsidRPr="009D0647">
        <w:rPr>
          <w:rFonts w:ascii="Times New Roman" w:hAnsi="Times New Roman" w:cs="Times New Roman"/>
          <w:b/>
          <w:bCs/>
          <w:kern w:val="0"/>
        </w:rPr>
        <w:t>Experimental protocols</w:t>
      </w:r>
    </w:p>
    <w:p w14:paraId="6F50A1A0" w14:textId="77777777" w:rsidR="00F60562" w:rsidRPr="00F60562" w:rsidRDefault="00F60562" w:rsidP="00F60562">
      <w:pPr>
        <w:spacing w:afterLines="100" w:after="312" w:line="480" w:lineRule="auto"/>
        <w:rPr>
          <w:rFonts w:ascii="Times New Roman" w:hAnsi="Times New Roman"/>
          <w:b/>
        </w:rPr>
      </w:pPr>
      <w:r>
        <w:rPr>
          <w:rFonts w:ascii="Times New Roman" w:hAnsi="Times New Roman" w:cs="Times New Roman" w:hint="eastAsia"/>
          <w:b/>
          <w:bCs/>
          <w:kern w:val="0"/>
        </w:rPr>
        <w:t xml:space="preserve">1. </w:t>
      </w:r>
      <w:r w:rsidRPr="00F60562">
        <w:rPr>
          <w:rFonts w:ascii="Times New Roman" w:hAnsi="Times New Roman"/>
          <w:b/>
        </w:rPr>
        <w:t>SDS-PAGE</w:t>
      </w:r>
    </w:p>
    <w:p w14:paraId="035577EE" w14:textId="77777777" w:rsidR="00F60562" w:rsidRDefault="00F60562" w:rsidP="00F60562">
      <w:pPr>
        <w:spacing w:afterLines="100" w:after="312" w:line="480" w:lineRule="auto"/>
        <w:rPr>
          <w:rFonts w:ascii="Times New Roman" w:eastAsia="宋体" w:hAnsi="Times New Roman" w:cs="Times New Roman" w:hint="eastAsia"/>
          <w:color w:val="000000" w:themeColor="text1"/>
          <w:kern w:val="0"/>
        </w:rPr>
      </w:pPr>
      <w:r>
        <w:rPr>
          <w:rFonts w:ascii="Times New Roman" w:hAnsi="Times New Roman"/>
        </w:rPr>
        <w:t>The salivary protein concentration was estimated using the Bradford protein assay (Bio-Rad, Hercules, California, USA). Whole saliva proteins were then analyzed using SDS-PAGE</w:t>
      </w:r>
      <w:r>
        <w:rPr>
          <w:rFonts w:ascii="Times New Roman" w:hAnsi="Times New Roman" w:hint="eastAsia"/>
        </w:rPr>
        <w:t xml:space="preserve"> </w:t>
      </w:r>
      <w:r>
        <w:rPr>
          <w:rFonts w:ascii="Times New Roman" w:hAnsi="Times New Roman"/>
        </w:rPr>
        <w:t>(sodium dodecyl sulfate-polyacrylamide gel electrophoresis). 10</w:t>
      </w:r>
      <w:r>
        <w:rPr>
          <w:rFonts w:ascii="Times New Roman" w:eastAsia="宋体" w:hAnsi="Times New Roman" w:cs="Times New Roman"/>
          <w:color w:val="000000" w:themeColor="text1"/>
          <w:kern w:val="0"/>
        </w:rPr>
        <w:t xml:space="preserve">µl of each sample was mixed with loading buffer, boiled at 95°C for 8min, and applied onto a discontinuous 10% polyacrylamide gel. After SDS-PAGE, the bands on the gels were visualized via </w:t>
      </w:r>
      <w:proofErr w:type="spellStart"/>
      <w:r>
        <w:rPr>
          <w:rFonts w:ascii="Times New Roman" w:eastAsia="宋体" w:hAnsi="Times New Roman" w:cs="Times New Roman"/>
          <w:color w:val="000000" w:themeColor="text1"/>
          <w:kern w:val="0"/>
        </w:rPr>
        <w:t>Coomassie</w:t>
      </w:r>
      <w:proofErr w:type="spellEnd"/>
      <w:r>
        <w:rPr>
          <w:rFonts w:ascii="Times New Roman" w:eastAsia="宋体" w:hAnsi="Times New Roman" w:cs="Times New Roman"/>
          <w:color w:val="000000" w:themeColor="text1"/>
          <w:kern w:val="0"/>
        </w:rPr>
        <w:t xml:space="preserve"> brilliant blue staining.</w:t>
      </w:r>
    </w:p>
    <w:p w14:paraId="00E6A23B" w14:textId="77777777" w:rsidR="00F60562" w:rsidRDefault="00F60562" w:rsidP="00F60562">
      <w:pPr>
        <w:spacing w:afterLines="100" w:after="312" w:line="480" w:lineRule="auto"/>
        <w:rPr>
          <w:rFonts w:ascii="Times New Roman" w:hAnsi="Times New Roman" w:cs="Times New Roman" w:hint="eastAsia"/>
          <w:b/>
          <w:sz w:val="22"/>
        </w:rPr>
      </w:pPr>
      <w:r>
        <w:rPr>
          <w:rFonts w:ascii="Times New Roman" w:eastAsia="宋体" w:hAnsi="Times New Roman" w:cs="Times New Roman" w:hint="eastAsia"/>
          <w:color w:val="000000" w:themeColor="text1"/>
          <w:kern w:val="0"/>
        </w:rPr>
        <w:t xml:space="preserve">2. </w:t>
      </w:r>
      <w:r w:rsidRPr="00361EE7">
        <w:rPr>
          <w:rFonts w:ascii="Times New Roman" w:hAnsi="Times New Roman" w:cs="Times New Roman"/>
          <w:b/>
          <w:sz w:val="22"/>
        </w:rPr>
        <w:t>SCX fractionation</w:t>
      </w:r>
    </w:p>
    <w:p w14:paraId="2AEA70D3" w14:textId="77777777" w:rsidR="00F60562" w:rsidRPr="00F60562" w:rsidRDefault="00F60562" w:rsidP="00F60562">
      <w:pPr>
        <w:spacing w:afterLines="100" w:after="312" w:line="480" w:lineRule="auto"/>
        <w:rPr>
          <w:rFonts w:ascii="Times New Roman" w:hAnsi="Times New Roman" w:hint="eastAsia"/>
        </w:rPr>
      </w:pPr>
      <w:r>
        <w:rPr>
          <w:rFonts w:ascii="Times New Roman" w:hAnsi="Times New Roman"/>
        </w:rPr>
        <w:t>The pooled peptides were dissolved in buffer A (10mM KH</w:t>
      </w:r>
      <w:r>
        <w:rPr>
          <w:rFonts w:ascii="Times New Roman" w:hAnsi="Times New Roman"/>
          <w:vertAlign w:val="subscript"/>
        </w:rPr>
        <w:t>2</w:t>
      </w:r>
      <w:r>
        <w:rPr>
          <w:rFonts w:ascii="Times New Roman" w:hAnsi="Times New Roman"/>
        </w:rPr>
        <w:t>PO</w:t>
      </w:r>
      <w:r>
        <w:rPr>
          <w:rFonts w:ascii="Times New Roman" w:hAnsi="Times New Roman"/>
          <w:vertAlign w:val="subscript"/>
        </w:rPr>
        <w:t>4</w:t>
      </w:r>
      <w:r>
        <w:rPr>
          <w:rFonts w:ascii="Times New Roman" w:hAnsi="Times New Roman"/>
        </w:rPr>
        <w:t xml:space="preserve"> in 25% ACN at pH 2.8). After adjusting the pH to 3 with H</w:t>
      </w:r>
      <w:r>
        <w:rPr>
          <w:rFonts w:ascii="Times New Roman" w:hAnsi="Times New Roman"/>
          <w:vertAlign w:val="subscript"/>
        </w:rPr>
        <w:t>3</w:t>
      </w:r>
      <w:r>
        <w:rPr>
          <w:rFonts w:ascii="Times New Roman" w:hAnsi="Times New Roman"/>
        </w:rPr>
        <w:t>PO</w:t>
      </w:r>
      <w:r>
        <w:rPr>
          <w:rFonts w:ascii="Times New Roman" w:hAnsi="Times New Roman"/>
          <w:vertAlign w:val="subscript"/>
        </w:rPr>
        <w:t>4</w:t>
      </w:r>
      <w:r>
        <w:rPr>
          <w:rFonts w:ascii="Times New Roman" w:hAnsi="Times New Roman"/>
        </w:rPr>
        <w:t xml:space="preserve">, the sample was fractionated using strong </w:t>
      </w:r>
      <w:proofErr w:type="spellStart"/>
      <w:r>
        <w:rPr>
          <w:rFonts w:ascii="Times New Roman" w:hAnsi="Times New Roman"/>
        </w:rPr>
        <w:t>cation</w:t>
      </w:r>
      <w:proofErr w:type="spellEnd"/>
      <w:r>
        <w:rPr>
          <w:rFonts w:ascii="Times New Roman" w:hAnsi="Times New Roman"/>
        </w:rPr>
        <w:t>-exchange chromatography (SCX) on a HPLC (Shimadzu, Kyoto, Japan) equipped with a silica-based SCX column (250mm</w:t>
      </w:r>
      <w:r>
        <w:rPr>
          <w:rFonts w:ascii="Times New Roman" w:hAnsi="Times New Roman" w:hint="eastAsia"/>
        </w:rPr>
        <w:t>×</w:t>
      </w:r>
      <w:r>
        <w:rPr>
          <w:rFonts w:ascii="Times New Roman" w:hAnsi="Times New Roman"/>
        </w:rPr>
        <w:t xml:space="preserve">4.6mm, </w:t>
      </w:r>
      <w:proofErr w:type="spellStart"/>
      <w:r>
        <w:rPr>
          <w:rFonts w:ascii="Times New Roman" w:hAnsi="Times New Roman"/>
        </w:rPr>
        <w:t>Phenomenex</w:t>
      </w:r>
      <w:proofErr w:type="spellEnd"/>
      <w:r>
        <w:rPr>
          <w:rFonts w:ascii="Times New Roman" w:hAnsi="Times New Roman"/>
        </w:rPr>
        <w:t>, Torrance, CA, USA). The fractions were collected every 1min with a buffer B (10mM KH</w:t>
      </w:r>
      <w:r>
        <w:rPr>
          <w:rFonts w:ascii="Times New Roman" w:hAnsi="Times New Roman"/>
          <w:vertAlign w:val="subscript"/>
        </w:rPr>
        <w:t>2</w:t>
      </w:r>
      <w:r>
        <w:rPr>
          <w:rFonts w:ascii="Times New Roman" w:hAnsi="Times New Roman"/>
        </w:rPr>
        <w:t>PO</w:t>
      </w:r>
      <w:r>
        <w:rPr>
          <w:rFonts w:ascii="Times New Roman" w:hAnsi="Times New Roman"/>
          <w:vertAlign w:val="subscript"/>
        </w:rPr>
        <w:t xml:space="preserve">4 </w:t>
      </w:r>
      <w:r>
        <w:rPr>
          <w:rFonts w:ascii="Times New Roman" w:hAnsi="Times New Roman"/>
        </w:rPr>
        <w:t xml:space="preserve">and 2M </w:t>
      </w:r>
      <w:proofErr w:type="spellStart"/>
      <w:r>
        <w:rPr>
          <w:rFonts w:ascii="Times New Roman" w:hAnsi="Times New Roman"/>
        </w:rPr>
        <w:t>KCl</w:t>
      </w:r>
      <w:proofErr w:type="spellEnd"/>
      <w:r>
        <w:rPr>
          <w:rFonts w:ascii="Times New Roman" w:hAnsi="Times New Roman"/>
        </w:rPr>
        <w:t xml:space="preserve"> in 25% ACN, pH 2.8) gradient for 91min. A total of 16 fractions were desalted with a Strata-X 33</w:t>
      </w:r>
      <w:r>
        <w:rPr>
          <w:rFonts w:ascii="Times New Roman" w:eastAsia="宋体" w:hAnsi="Times New Roman" w:cs="Times New Roman"/>
          <w:color w:val="000000" w:themeColor="text1"/>
          <w:kern w:val="0"/>
        </w:rPr>
        <w:t xml:space="preserve">µm </w:t>
      </w:r>
      <w:proofErr w:type="spellStart"/>
      <w:r>
        <w:rPr>
          <w:rFonts w:ascii="Times New Roman" w:eastAsia="宋体" w:hAnsi="Times New Roman" w:cs="Times New Roman"/>
          <w:color w:val="000000" w:themeColor="text1"/>
          <w:kern w:val="0"/>
        </w:rPr>
        <w:t>PolyRevStage</w:t>
      </w:r>
      <w:proofErr w:type="spellEnd"/>
      <w:r>
        <w:rPr>
          <w:rFonts w:ascii="Times New Roman" w:eastAsia="宋体" w:hAnsi="Times New Roman" w:cs="Times New Roman"/>
          <w:color w:val="000000" w:themeColor="text1"/>
          <w:kern w:val="0"/>
        </w:rPr>
        <w:t xml:space="preserve"> SPE (</w:t>
      </w:r>
      <w:proofErr w:type="spellStart"/>
      <w:r>
        <w:rPr>
          <w:rFonts w:ascii="Times New Roman" w:eastAsia="宋体" w:hAnsi="Times New Roman" w:cs="Times New Roman"/>
          <w:color w:val="000000" w:themeColor="text1"/>
          <w:kern w:val="0"/>
        </w:rPr>
        <w:t>Phenomenex</w:t>
      </w:r>
      <w:proofErr w:type="spellEnd"/>
      <w:r>
        <w:rPr>
          <w:rFonts w:ascii="Times New Roman" w:eastAsia="宋体" w:hAnsi="Times New Roman" w:cs="Times New Roman"/>
          <w:color w:val="000000" w:themeColor="text1"/>
          <w:kern w:val="0"/>
        </w:rPr>
        <w:t xml:space="preserve">) following the manufacturer’s instructions and dried in </w:t>
      </w:r>
      <w:r>
        <w:rPr>
          <w:rFonts w:ascii="Times New Roman" w:hAnsi="Times New Roman"/>
        </w:rPr>
        <w:t xml:space="preserve">Speed-vacuum, and then </w:t>
      </w:r>
      <w:proofErr w:type="spellStart"/>
      <w:r>
        <w:rPr>
          <w:rFonts w:ascii="Times New Roman" w:hAnsi="Times New Roman"/>
        </w:rPr>
        <w:t>resuspended</w:t>
      </w:r>
      <w:proofErr w:type="spellEnd"/>
      <w:r>
        <w:rPr>
          <w:rFonts w:ascii="Times New Roman" w:hAnsi="Times New Roman"/>
        </w:rPr>
        <w:t xml:space="preserve"> in 0.1% formic acid for analysis by LC-MS/MS.</w:t>
      </w:r>
      <w:bookmarkStart w:id="0" w:name="_GoBack"/>
      <w:bookmarkEnd w:id="0"/>
    </w:p>
    <w:p w14:paraId="7EF71BC0" w14:textId="77777777" w:rsidR="009D0647" w:rsidRPr="00E92F03" w:rsidRDefault="00F60562" w:rsidP="009D0647">
      <w:pPr>
        <w:spacing w:afterLines="50" w:after="156" w:line="480" w:lineRule="auto"/>
        <w:rPr>
          <w:rFonts w:ascii="Times New Roman" w:hAnsi="Times New Roman" w:cs="Times New Roman"/>
          <w:b/>
        </w:rPr>
      </w:pPr>
      <w:r>
        <w:rPr>
          <w:rFonts w:ascii="Times New Roman" w:hAnsi="Times New Roman" w:cs="Times New Roman" w:hint="eastAsia"/>
          <w:b/>
        </w:rPr>
        <w:t>3</w:t>
      </w:r>
      <w:r w:rsidR="009D0647" w:rsidRPr="00E92F03">
        <w:rPr>
          <w:rFonts w:ascii="Times New Roman" w:hAnsi="Times New Roman" w:cs="Times New Roman" w:hint="eastAsia"/>
          <w:b/>
        </w:rPr>
        <w:t>.</w:t>
      </w:r>
      <w:r w:rsidR="009D0647" w:rsidRPr="00E92F03">
        <w:rPr>
          <w:rFonts w:ascii="Times New Roman" w:hAnsi="Times New Roman" w:cs="Times New Roman"/>
          <w:b/>
        </w:rPr>
        <w:t xml:space="preserve"> MRM validation of differentially expressed proteins from </w:t>
      </w:r>
      <w:proofErr w:type="spellStart"/>
      <w:r w:rsidR="009D0647" w:rsidRPr="00E92F03">
        <w:rPr>
          <w:rFonts w:ascii="Times New Roman" w:hAnsi="Times New Roman" w:cs="Times New Roman"/>
          <w:b/>
        </w:rPr>
        <w:t>iTRAQ</w:t>
      </w:r>
      <w:proofErr w:type="spellEnd"/>
    </w:p>
    <w:p w14:paraId="68F09CEE" w14:textId="77777777" w:rsidR="009D0647" w:rsidRDefault="009D0647" w:rsidP="009D0647">
      <w:pPr>
        <w:spacing w:afterLines="50" w:after="156" w:line="480" w:lineRule="auto"/>
        <w:rPr>
          <w:rFonts w:ascii="Times New Roman" w:hAnsi="Times New Roman"/>
        </w:rPr>
      </w:pPr>
      <w:r>
        <w:rPr>
          <w:rFonts w:ascii="Times New Roman" w:hAnsi="Times New Roman"/>
        </w:rPr>
        <w:t>Approximately 2</w:t>
      </w:r>
      <w:r>
        <w:rPr>
          <w:rFonts w:ascii="Times New Roman" w:eastAsia="宋体" w:hAnsi="Times New Roman" w:cs="Times New Roman"/>
          <w:color w:val="000000" w:themeColor="text1"/>
          <w:kern w:val="0"/>
        </w:rPr>
        <w:t xml:space="preserve">µg of digested peptides from saliva samples were analyzed on a </w:t>
      </w:r>
      <w:proofErr w:type="spellStart"/>
      <w:r>
        <w:rPr>
          <w:rFonts w:ascii="Times New Roman" w:eastAsia="宋体" w:hAnsi="Times New Roman" w:cs="Times New Roman"/>
          <w:color w:val="000000" w:themeColor="text1"/>
          <w:kern w:val="0"/>
        </w:rPr>
        <w:lastRenderedPageBreak/>
        <w:t>TripleTOF</w:t>
      </w:r>
      <w:proofErr w:type="spellEnd"/>
      <w:r>
        <w:rPr>
          <w:rFonts w:ascii="Times New Roman" w:eastAsia="宋体" w:hAnsi="Times New Roman" w:cs="Times New Roman"/>
          <w:color w:val="000000" w:themeColor="text1"/>
          <w:kern w:val="0"/>
        </w:rPr>
        <w:t xml:space="preserve"> 6600 System (AB SCIEX, Concord, USA) equipped with a </w:t>
      </w:r>
      <w:proofErr w:type="spellStart"/>
      <w:r>
        <w:rPr>
          <w:rFonts w:ascii="Times New Roman" w:eastAsia="宋体" w:hAnsi="Times New Roman" w:cs="Times New Roman"/>
          <w:color w:val="000000" w:themeColor="text1"/>
          <w:kern w:val="0"/>
        </w:rPr>
        <w:t>nano</w:t>
      </w:r>
      <w:proofErr w:type="spellEnd"/>
      <w:r>
        <w:rPr>
          <w:rFonts w:ascii="Times New Roman" w:eastAsia="宋体" w:hAnsi="Times New Roman" w:cs="Times New Roman"/>
          <w:color w:val="000000" w:themeColor="text1"/>
          <w:kern w:val="0"/>
        </w:rPr>
        <w:t xml:space="preserve"> LC system (Shimadzu, Kyoto, Japan) to identify target peptides with significant MS/MS signals corresponding to the protein candidates. The data were then searched against the </w:t>
      </w:r>
      <w:proofErr w:type="spellStart"/>
      <w:r>
        <w:rPr>
          <w:rFonts w:ascii="Times New Roman" w:eastAsia="宋体" w:hAnsi="Times New Roman" w:cs="Times New Roman"/>
          <w:color w:val="000000" w:themeColor="text1"/>
          <w:kern w:val="0"/>
        </w:rPr>
        <w:t>Uniprot</w:t>
      </w:r>
      <w:proofErr w:type="spellEnd"/>
      <w:r>
        <w:rPr>
          <w:rFonts w:ascii="Times New Roman" w:eastAsia="宋体" w:hAnsi="Times New Roman" w:cs="Times New Roman"/>
          <w:color w:val="000000" w:themeColor="text1"/>
          <w:kern w:val="0"/>
        </w:rPr>
        <w:t xml:space="preserve"> human sequence database, and the results were further imported to Skyline v2.1 (</w:t>
      </w:r>
      <w:proofErr w:type="spellStart"/>
      <w:r>
        <w:rPr>
          <w:rFonts w:ascii="Times New Roman" w:eastAsia="宋体" w:hAnsi="Times New Roman" w:cs="Times New Roman"/>
          <w:color w:val="000000" w:themeColor="text1"/>
          <w:kern w:val="0"/>
        </w:rPr>
        <w:t>MacCoss</w:t>
      </w:r>
      <w:proofErr w:type="spellEnd"/>
      <w:r>
        <w:rPr>
          <w:rFonts w:ascii="Times New Roman" w:eastAsia="宋体" w:hAnsi="Times New Roman" w:cs="Times New Roman"/>
          <w:color w:val="000000" w:themeColor="text1"/>
          <w:kern w:val="0"/>
        </w:rPr>
        <w:t xml:space="preserve"> Lab, University of Washington, Seattle, USA) to establish the MRM transition list. Ultimately, the selected transitions were adopted to survey the protein digests from saliva samples. All MRM samples from four groups were analyzed in triplicate using a QTRAP 6500 mass spectrometer (AB SCIEX, Framingham, USA) equipped with an </w:t>
      </w:r>
      <w:proofErr w:type="spellStart"/>
      <w:r>
        <w:rPr>
          <w:rFonts w:ascii="Times New Roman" w:eastAsia="宋体" w:hAnsi="Times New Roman" w:cs="Times New Roman"/>
          <w:color w:val="000000" w:themeColor="text1"/>
          <w:kern w:val="0"/>
        </w:rPr>
        <w:t>ekspert</w:t>
      </w:r>
      <w:proofErr w:type="spellEnd"/>
      <w:r>
        <w:rPr>
          <w:rFonts w:ascii="Times New Roman" w:eastAsia="宋体" w:hAnsi="Times New Roman" w:cs="Times New Roman"/>
          <w:color w:val="000000" w:themeColor="text1"/>
          <w:kern w:val="0"/>
        </w:rPr>
        <w:t xml:space="preserve"> </w:t>
      </w:r>
      <w:proofErr w:type="spellStart"/>
      <w:r>
        <w:rPr>
          <w:rFonts w:ascii="Times New Roman" w:eastAsia="宋体" w:hAnsi="Times New Roman" w:cs="Times New Roman"/>
          <w:color w:val="000000" w:themeColor="text1"/>
          <w:kern w:val="0"/>
        </w:rPr>
        <w:t>nano</w:t>
      </w:r>
      <w:proofErr w:type="spellEnd"/>
      <w:r>
        <w:rPr>
          <w:rFonts w:ascii="Times New Roman" w:eastAsia="宋体" w:hAnsi="Times New Roman" w:cs="Times New Roman"/>
          <w:color w:val="000000" w:themeColor="text1"/>
          <w:kern w:val="0"/>
        </w:rPr>
        <w:t xml:space="preserve"> LC 425 system (</w:t>
      </w:r>
      <w:proofErr w:type="spellStart"/>
      <w:r>
        <w:rPr>
          <w:rFonts w:ascii="Times New Roman" w:eastAsia="宋体" w:hAnsi="Times New Roman" w:cs="Times New Roman"/>
          <w:color w:val="000000" w:themeColor="text1"/>
          <w:kern w:val="0"/>
        </w:rPr>
        <w:t>Eksigent</w:t>
      </w:r>
      <w:proofErr w:type="spellEnd"/>
      <w:r>
        <w:rPr>
          <w:rFonts w:ascii="Times New Roman" w:eastAsia="宋体" w:hAnsi="Times New Roman" w:cs="Times New Roman"/>
          <w:color w:val="000000" w:themeColor="text1"/>
          <w:kern w:val="0"/>
        </w:rPr>
        <w:t xml:space="preserve">, Silicon Valley, CA). The mobile phases consisted of solvent A (2% acetonitrile with 0.1% aqueous formic acid) and solvent B (98% acetonitrile with 0.1% formic acid). The peptides were separated on an </w:t>
      </w:r>
      <w:proofErr w:type="spellStart"/>
      <w:r>
        <w:rPr>
          <w:rFonts w:ascii="Times New Roman" w:eastAsia="宋体" w:hAnsi="Times New Roman" w:cs="Times New Roman"/>
          <w:color w:val="000000" w:themeColor="text1"/>
          <w:kern w:val="0"/>
        </w:rPr>
        <w:t>eksigent</w:t>
      </w:r>
      <w:proofErr w:type="spellEnd"/>
      <w:r>
        <w:rPr>
          <w:rFonts w:ascii="Times New Roman" w:eastAsia="宋体" w:hAnsi="Times New Roman" w:cs="Times New Roman"/>
          <w:color w:val="000000" w:themeColor="text1"/>
          <w:kern w:val="0"/>
        </w:rPr>
        <w:t xml:space="preserve"> column (75µm</w:t>
      </w:r>
      <w:r>
        <w:rPr>
          <w:rFonts w:ascii="Times New Roman" w:hAnsi="Times New Roman" w:hint="eastAsia"/>
        </w:rPr>
        <w:t>×</w:t>
      </w:r>
      <w:r>
        <w:rPr>
          <w:rFonts w:ascii="Times New Roman" w:hAnsi="Times New Roman"/>
        </w:rPr>
        <w:t>15cm, 3</w:t>
      </w:r>
      <w:r>
        <w:rPr>
          <w:rFonts w:ascii="Times New Roman" w:eastAsia="宋体" w:hAnsi="Times New Roman" w:cs="Times New Roman"/>
          <w:color w:val="000000" w:themeColor="text1"/>
          <w:kern w:val="0"/>
        </w:rPr>
        <w:t xml:space="preserve">µm particles, </w:t>
      </w:r>
      <w:proofErr w:type="spellStart"/>
      <w:r>
        <w:rPr>
          <w:rFonts w:ascii="Times New Roman" w:eastAsia="宋体" w:hAnsi="Times New Roman" w:cs="Times New Roman"/>
          <w:color w:val="000000" w:themeColor="text1"/>
          <w:kern w:val="0"/>
        </w:rPr>
        <w:t>Eksigent</w:t>
      </w:r>
      <w:proofErr w:type="spellEnd"/>
      <w:r>
        <w:rPr>
          <w:rFonts w:ascii="Times New Roman" w:eastAsia="宋体" w:hAnsi="Times New Roman" w:cs="Times New Roman"/>
          <w:color w:val="000000" w:themeColor="text1"/>
          <w:kern w:val="0"/>
        </w:rPr>
        <w:t xml:space="preserve">, Silicon Valley, CA) at 300nL/min with a gradient of 5-30% solvent B for 45min, 30-80% solvent B for </w:t>
      </w:r>
      <w:r>
        <w:rPr>
          <w:rFonts w:ascii="Times New Roman" w:eastAsia="宋体" w:hAnsi="Times New Roman" w:cs="Times New Roman" w:hint="eastAsia"/>
          <w:color w:val="000000" w:themeColor="text1"/>
          <w:kern w:val="0"/>
        </w:rPr>
        <w:t>4</w:t>
      </w:r>
      <w:r>
        <w:rPr>
          <w:rFonts w:ascii="Times New Roman" w:eastAsia="宋体" w:hAnsi="Times New Roman" w:cs="Times New Roman"/>
          <w:color w:val="000000" w:themeColor="text1"/>
          <w:kern w:val="0"/>
        </w:rPr>
        <w:t xml:space="preserve">min, and maintenance at 80% for 5min. The MS parameters were set as follows: ion spray voltage at 2,400V, curtain gas at 35.0, ion source gas1 at 15.0, ion source gas2 at 0.0, collision gas at high, interface heater temperature at 150.0°C, entrance potential at 10.0, and Q1 and Q3 at unit resolution. </w:t>
      </w:r>
    </w:p>
    <w:p w14:paraId="71C14893" w14:textId="77777777" w:rsidR="009D0647" w:rsidRPr="009D0647" w:rsidRDefault="009D0647" w:rsidP="009D0647">
      <w:pPr>
        <w:spacing w:afterLines="50" w:after="156" w:line="480" w:lineRule="auto"/>
        <w:rPr>
          <w:rFonts w:ascii="Times New Roman" w:hAnsi="Times New Roman" w:cs="Times New Roman"/>
          <w:b/>
          <w:bCs/>
          <w:kern w:val="0"/>
          <w:sz w:val="28"/>
        </w:rPr>
      </w:pPr>
      <w:r>
        <w:rPr>
          <w:rFonts w:ascii="Times New Roman" w:hAnsi="Times New Roman"/>
        </w:rPr>
        <w:t>The obtained data was used skyline v2.1 software to integrate the raw file generated by QTRAP 6500</w:t>
      </w:r>
      <w:r>
        <w:rPr>
          <w:rFonts w:ascii="Times New Roman" w:eastAsia="宋体" w:hAnsi="Times New Roman" w:cs="Times New Roman"/>
          <w:color w:val="000000" w:themeColor="text1"/>
          <w:kern w:val="0"/>
        </w:rPr>
        <w:t xml:space="preserve"> (AB SCIEX, Framingham, USA)</w:t>
      </w:r>
      <w:r>
        <w:rPr>
          <w:rFonts w:ascii="Times New Roman" w:hAnsi="Times New Roman"/>
        </w:rPr>
        <w:t>. To ensure the correct peak detection and integration, the data were manually inspected to further filter the peptides. The relative protein abundance of each target protein with two unique peptides was determined by averaging the two corresponding peptides.</w:t>
      </w:r>
    </w:p>
    <w:sectPr w:rsidR="009D0647" w:rsidRPr="009D0647" w:rsidSect="007435EE">
      <w:pgSz w:w="11900" w:h="16840"/>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宋体">
    <w:panose1 w:val="02010600030101010101"/>
    <w:charset w:val="50"/>
    <w:family w:val="auto"/>
    <w:pitch w:val="variable"/>
    <w:sig w:usb0="00000003" w:usb1="288F0000" w:usb2="00000016" w:usb3="00000000" w:csb0="00040001"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clean"/>
  <w:defaultTabStop w:val="420"/>
  <w:drawingGridVerticalSpacing w:val="20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0647"/>
    <w:rsid w:val="003814D5"/>
    <w:rsid w:val="007435EE"/>
    <w:rsid w:val="009D0647"/>
    <w:rsid w:val="00F605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2BD570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主题">
  <a:themeElements>
    <a:clrScheme name="办公室">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办公室">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办公室">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459</Words>
  <Characters>2618</Characters>
  <Application>Microsoft Macintosh Word</Application>
  <DocSecurity>0</DocSecurity>
  <Lines>21</Lines>
  <Paragraphs>6</Paragraphs>
  <ScaleCrop>false</ScaleCrop>
  <Company/>
  <LinksUpToDate>false</LinksUpToDate>
  <CharactersWithSpaces>3071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kun wang</dc:creator>
  <cp:keywords/>
  <dc:description/>
  <cp:lastModifiedBy>kun wang</cp:lastModifiedBy>
  <cp:revision>2</cp:revision>
  <dcterms:created xsi:type="dcterms:W3CDTF">2018-05-14T21:49:00Z</dcterms:created>
  <dcterms:modified xsi:type="dcterms:W3CDTF">2018-05-15T01:36:00Z</dcterms:modified>
</cp:coreProperties>
</file>