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EF" w:rsidRDefault="000D62A1" w:rsidP="000D62A1">
      <w:r>
        <w:rPr>
          <w:noProof/>
          <w:lang w:val="en-IN" w:eastAsia="en-IN"/>
        </w:rPr>
        <w:drawing>
          <wp:inline distT="0" distB="0" distL="0" distR="0">
            <wp:extent cx="9022243" cy="454914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957" cy="45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AF" w:rsidRPr="00C158B2" w:rsidRDefault="003941AF" w:rsidP="00394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58B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="00402178">
        <w:rPr>
          <w:rFonts w:ascii="Times New Roman" w:hAnsi="Times New Roman" w:cs="Times New Roman"/>
          <w:b/>
          <w:sz w:val="24"/>
          <w:szCs w:val="24"/>
        </w:rPr>
        <w:t>S</w:t>
      </w:r>
      <w:r w:rsidRPr="00C158B2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ROC curves for CD8+CD28-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CD4+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CD8+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(D)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CD8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ratio (E)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and CD8/CD4 ratio (F) to distinguish responsive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C158B2">
        <w:rPr>
          <w:rFonts w:ascii="Times New Roman" w:hAnsi="Times New Roman" w:cs="Times New Roman"/>
          <w:sz w:val="24"/>
          <w:szCs w:val="24"/>
        </w:rPr>
        <w:t xml:space="preserve"> non-responsive patients 1 month after </w:t>
      </w:r>
      <w:r>
        <w:rPr>
          <w:rFonts w:ascii="Times New Roman" w:hAnsi="Times New Roman" w:cs="Times New Roman"/>
          <w:kern w:val="0"/>
          <w:sz w:val="24"/>
          <w:szCs w:val="24"/>
        </w:rPr>
        <w:t>SABR</w:t>
      </w:r>
      <w:r w:rsidRPr="00C158B2">
        <w:rPr>
          <w:rFonts w:ascii="Times New Roman" w:hAnsi="Times New Roman" w:cs="Times New Roman"/>
          <w:sz w:val="24"/>
          <w:szCs w:val="24"/>
        </w:rPr>
        <w:t>.</w:t>
      </w:r>
    </w:p>
    <w:p w:rsidR="009B1F91" w:rsidRPr="003941AF" w:rsidRDefault="009B1F91" w:rsidP="000D62A1">
      <w:pPr>
        <w:rPr>
          <w:rFonts w:ascii="Times New Roman" w:hAnsi="Times New Roman" w:cs="Times New Roman"/>
          <w:color w:val="000000"/>
          <w:sz w:val="24"/>
          <w:szCs w:val="24"/>
        </w:rPr>
        <w:sectPr w:rsidR="009B1F91" w:rsidRPr="003941AF" w:rsidSect="00402178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9B1F91" w:rsidRDefault="009B1F91" w:rsidP="000D62A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B1F91" w:rsidRPr="009B1F91" w:rsidRDefault="009B1F91" w:rsidP="000D62A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>
            <wp:extent cx="5561869" cy="4222750"/>
            <wp:effectExtent l="0" t="0" r="127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566" cy="422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AF" w:rsidRPr="00C158B2" w:rsidRDefault="003941AF" w:rsidP="00394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58B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="00402178">
        <w:rPr>
          <w:rFonts w:ascii="Times New Roman" w:hAnsi="Times New Roman" w:cs="Times New Roman"/>
          <w:b/>
          <w:sz w:val="24"/>
          <w:szCs w:val="24"/>
        </w:rPr>
        <w:t>S</w:t>
      </w:r>
      <w:r w:rsidRPr="00C158B2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CD8+CD28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+ T-cell counts in responsive and non-responsive patients (A) and ROC curve for CD8+CD28+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to distinguish responsive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C158B2">
        <w:rPr>
          <w:rFonts w:ascii="Times New Roman" w:hAnsi="Times New Roman" w:cs="Times New Roman"/>
          <w:sz w:val="24"/>
          <w:szCs w:val="24"/>
        </w:rPr>
        <w:t xml:space="preserve"> non-responsive patients (B).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CD4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ratios in responsive and non-responsive patients (C) and ROC curve for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CD4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ratio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to distinguish responsive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C158B2">
        <w:rPr>
          <w:rFonts w:ascii="Times New Roman" w:hAnsi="Times New Roman" w:cs="Times New Roman"/>
          <w:sz w:val="24"/>
          <w:szCs w:val="24"/>
        </w:rPr>
        <w:t xml:space="preserve"> non-responsive patients (D) 6 months after </w:t>
      </w:r>
      <w:r>
        <w:rPr>
          <w:rFonts w:ascii="Times New Roman" w:hAnsi="Times New Roman" w:cs="Times New Roman"/>
          <w:kern w:val="0"/>
          <w:sz w:val="24"/>
          <w:szCs w:val="24"/>
        </w:rPr>
        <w:t>SABR</w:t>
      </w:r>
      <w:r w:rsidRPr="00C158B2">
        <w:rPr>
          <w:rFonts w:ascii="Times New Roman" w:hAnsi="Times New Roman" w:cs="Times New Roman"/>
          <w:sz w:val="24"/>
          <w:szCs w:val="24"/>
        </w:rPr>
        <w:t>.</w:t>
      </w:r>
    </w:p>
    <w:p w:rsidR="009B1F91" w:rsidRPr="003941AF" w:rsidRDefault="009B1F91" w:rsidP="000D62A1">
      <w:pPr>
        <w:sectPr w:rsidR="009B1F91" w:rsidRPr="003941AF" w:rsidSect="00402178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B1F91" w:rsidRDefault="009B1F91" w:rsidP="000D62A1">
      <w:r>
        <w:rPr>
          <w:noProof/>
          <w:lang w:val="en-IN" w:eastAsia="en-IN"/>
        </w:rPr>
        <w:lastRenderedPageBreak/>
        <w:drawing>
          <wp:inline distT="0" distB="0" distL="0" distR="0">
            <wp:extent cx="8863330" cy="4446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AF" w:rsidRPr="00C158B2" w:rsidRDefault="003941AF" w:rsidP="00394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58B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="00402178">
        <w:rPr>
          <w:rFonts w:ascii="Times New Roman" w:hAnsi="Times New Roman" w:cs="Times New Roman"/>
          <w:b/>
          <w:sz w:val="24"/>
          <w:szCs w:val="24"/>
        </w:rPr>
        <w:t>S</w:t>
      </w:r>
      <w:r w:rsidRPr="00C158B2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CD8+CD28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- T-cell counts (A)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-cell counts (B)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CD4+ T-cell counts (C)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CD8+ T-cell counts (D)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CD8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ratios (E)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and CD8/CD4 ratios (F) in responsive and non-responsive patients 6 months after </w:t>
      </w:r>
      <w:r>
        <w:rPr>
          <w:rFonts w:ascii="Times New Roman" w:hAnsi="Times New Roman" w:cs="Times New Roman"/>
          <w:kern w:val="0"/>
          <w:sz w:val="24"/>
          <w:szCs w:val="24"/>
        </w:rPr>
        <w:t>SABR</w:t>
      </w:r>
      <w:r w:rsidRPr="00C158B2">
        <w:rPr>
          <w:rFonts w:ascii="Times New Roman" w:hAnsi="Times New Roman" w:cs="Times New Roman"/>
          <w:sz w:val="24"/>
          <w:szCs w:val="24"/>
        </w:rPr>
        <w:t>.</w:t>
      </w:r>
    </w:p>
    <w:p w:rsidR="00404208" w:rsidRDefault="00404208" w:rsidP="000D62A1">
      <w:r>
        <w:rPr>
          <w:noProof/>
          <w:lang w:val="en-IN" w:eastAsia="en-IN"/>
        </w:rPr>
        <w:lastRenderedPageBreak/>
        <w:drawing>
          <wp:inline distT="0" distB="0" distL="0" distR="0">
            <wp:extent cx="8863330" cy="446913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1AF" w:rsidRPr="00C158B2" w:rsidRDefault="003941AF" w:rsidP="00394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58B2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="00402178">
        <w:rPr>
          <w:rFonts w:ascii="Times New Roman" w:hAnsi="Times New Roman" w:cs="Times New Roman"/>
          <w:b/>
          <w:sz w:val="24"/>
          <w:szCs w:val="24"/>
        </w:rPr>
        <w:t>S</w:t>
      </w:r>
      <w:r w:rsidRPr="00C158B2">
        <w:rPr>
          <w:rFonts w:ascii="Times New Roman" w:hAnsi="Times New Roman" w:cs="Times New Roman"/>
          <w:b/>
          <w:sz w:val="24"/>
          <w:szCs w:val="24"/>
        </w:rPr>
        <w:t>4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ROC curves for CD8+CD28-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CD4+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CD8+ T-cell count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(D)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CD8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158B2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ratio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(E)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158B2">
        <w:rPr>
          <w:rFonts w:ascii="Times New Roman" w:hAnsi="Times New Roman" w:cs="Times New Roman"/>
          <w:sz w:val="24"/>
          <w:szCs w:val="24"/>
        </w:rPr>
        <w:t xml:space="preserve"> and CD8/CD4 ratio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58B2">
        <w:rPr>
          <w:rFonts w:ascii="Times New Roman" w:hAnsi="Times New Roman" w:cs="Times New Roman"/>
          <w:sz w:val="24"/>
          <w:szCs w:val="24"/>
        </w:rPr>
        <w:t xml:space="preserve"> (F) to distinguish responsive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C158B2">
        <w:rPr>
          <w:rFonts w:ascii="Times New Roman" w:hAnsi="Times New Roman" w:cs="Times New Roman"/>
          <w:sz w:val="24"/>
          <w:szCs w:val="24"/>
        </w:rPr>
        <w:t xml:space="preserve"> non-responsive patients 6 months after </w:t>
      </w:r>
      <w:r>
        <w:rPr>
          <w:rFonts w:ascii="Times New Roman" w:hAnsi="Times New Roman" w:cs="Times New Roman"/>
          <w:kern w:val="0"/>
          <w:sz w:val="24"/>
          <w:szCs w:val="24"/>
        </w:rPr>
        <w:t>SABR</w:t>
      </w:r>
      <w:r w:rsidRPr="00C158B2">
        <w:rPr>
          <w:rFonts w:ascii="Times New Roman" w:hAnsi="Times New Roman" w:cs="Times New Roman"/>
          <w:sz w:val="24"/>
          <w:szCs w:val="24"/>
        </w:rPr>
        <w:t>.</w:t>
      </w:r>
    </w:p>
    <w:p w:rsidR="006674B9" w:rsidRPr="003941AF" w:rsidRDefault="006674B9" w:rsidP="000D62A1">
      <w:pPr>
        <w:sectPr w:rsidR="006674B9" w:rsidRPr="003941AF" w:rsidSect="00402178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3941AF" w:rsidRDefault="003941AF" w:rsidP="003941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3833700"/>
      <w:r w:rsidRPr="00C158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402178">
        <w:rPr>
          <w:rFonts w:ascii="Times New Roman" w:hAnsi="Times New Roman" w:cs="Times New Roman"/>
          <w:b/>
          <w:sz w:val="24"/>
          <w:szCs w:val="24"/>
        </w:rPr>
        <w:t>S</w:t>
      </w:r>
      <w:r w:rsidRPr="00C158B2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C158B2">
        <w:rPr>
          <w:rFonts w:ascii="Times New Roman" w:hAnsi="Times New Roman" w:cs="Times New Roman"/>
          <w:sz w:val="24"/>
          <w:szCs w:val="24"/>
        </w:rPr>
        <w:t xml:space="preserve"> Univariate and multivariate analyses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158B2">
        <w:rPr>
          <w:rFonts w:ascii="Times New Roman" w:hAnsi="Times New Roman" w:cs="Times New Roman"/>
          <w:sz w:val="24"/>
          <w:szCs w:val="24"/>
        </w:rPr>
        <w:t xml:space="preserve">likelihood of early tumor response </w:t>
      </w:r>
      <w:r w:rsidRPr="003F5FB3">
        <w:rPr>
          <w:rFonts w:ascii="Times New Roman" w:hAnsi="Times New Roman" w:cs="Times New Roman"/>
          <w:noProof/>
          <w:sz w:val="24"/>
          <w:szCs w:val="24"/>
        </w:rPr>
        <w:t>6</w:t>
      </w:r>
      <w:r w:rsidRPr="00C158B2">
        <w:rPr>
          <w:rFonts w:ascii="Times New Roman" w:hAnsi="Times New Roman" w:cs="Times New Roman"/>
          <w:sz w:val="24"/>
          <w:szCs w:val="24"/>
        </w:rPr>
        <w:t xml:space="preserve"> months after SABR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155"/>
        <w:gridCol w:w="1418"/>
        <w:gridCol w:w="1888"/>
        <w:gridCol w:w="1061"/>
      </w:tblGrid>
      <w:tr w:rsidR="006674B9" w:rsidRPr="0046198E" w:rsidTr="00842128">
        <w:trPr>
          <w:trHeight w:val="276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Factors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OR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CD8+CD28+ T</w:t>
            </w:r>
          </w:p>
        </w:tc>
        <w:tc>
          <w:tcPr>
            <w:tcW w:w="8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.09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.02-0.51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.006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CD8+CD28+ T (adjusted)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.08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.01-0.85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.039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CD8+CD28- T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.34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.66-8.30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.187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Treg</w:t>
            </w:r>
            <w:proofErr w:type="spellEnd"/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.60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.37-6.82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.525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CD4+ T 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.91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.26-3.14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0.890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CD4</w:t>
            </w:r>
            <w:proofErr w:type="spellEnd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Treg</w:t>
            </w:r>
            <w:proofErr w:type="spellEnd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ratio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.28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.06-0.953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.046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CD4</w:t>
            </w:r>
            <w:proofErr w:type="spellEnd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Treg</w:t>
            </w:r>
            <w:proofErr w:type="spellEnd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ratio (adjusted)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.30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.05-1.87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.198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CD8+ T 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.34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.66-8.30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.187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</w:t>
            </w:r>
            <w:proofErr w:type="spellEnd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Treg</w:t>
            </w:r>
            <w:proofErr w:type="spellEnd"/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ratio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.46-8.55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.350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CD8/CD4 ratio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Low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High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.87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.25-3.01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.829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.02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.96-1.09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5E161E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.411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Female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Male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.87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.22-3.42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.853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Primary T stage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T1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T2-4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.87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.53-6.16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.329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Primary N stage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N0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N1-3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.54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8A4F00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.95-13.19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8A4F00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.060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Primary stage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I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II-III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8A4F00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.75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8A4F00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.15-19.65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8A4F00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.031</w:t>
            </w:r>
          </w:p>
        </w:tc>
      </w:tr>
      <w:tr w:rsidR="00A11CEC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</w:tcPr>
          <w:p w:rsidR="00A11CEC" w:rsidRPr="0046198E" w:rsidRDefault="00A11CEC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Primary stage</w:t>
            </w: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(adjusted)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A11CEC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.62</w:t>
            </w:r>
          </w:p>
        </w:tc>
        <w:tc>
          <w:tcPr>
            <w:tcW w:w="1113" w:type="pct"/>
            <w:shd w:val="clear" w:color="auto" w:fill="auto"/>
            <w:noWrap/>
            <w:vAlign w:val="center"/>
          </w:tcPr>
          <w:p w:rsidR="00A11CEC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.39-25.63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A11CEC" w:rsidRDefault="00A11CEC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.221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Histology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 SCC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AD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.11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.85-11.29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.084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Performance status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1-2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.27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.08-1.26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.068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Non-smoker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Smoker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.37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.09-1.48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.161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Metastatic status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Isolated lung metastasis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6674B9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Multiple metastasis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.75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.13-4.25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.745</w:t>
            </w:r>
          </w:p>
        </w:tc>
      </w:tr>
      <w:tr w:rsidR="006674B9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6674B9" w:rsidRPr="0046198E" w:rsidRDefault="003941AF" w:rsidP="0084212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he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d</w:t>
            </w:r>
            <w:bookmarkStart w:id="1" w:name="_GoBack"/>
            <w:bookmarkEnd w:id="1"/>
            <w:r w:rsidR="006674B9" w:rsidRPr="0046198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iameter of targeted lung metastases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.11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.76-1.61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6674B9" w:rsidRPr="0046198E" w:rsidRDefault="00B35D06" w:rsidP="0084212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.584</w:t>
            </w:r>
          </w:p>
        </w:tc>
      </w:tr>
      <w:tr w:rsidR="00A11CEC" w:rsidRPr="0046198E" w:rsidTr="00842128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A11CEC" w:rsidRPr="0046198E" w:rsidRDefault="00A11CEC" w:rsidP="00A11CE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BED</w:t>
            </w:r>
            <w:r w:rsidRPr="0046198E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38" w:type="pct"/>
            <w:shd w:val="clear" w:color="auto" w:fill="auto"/>
            <w:noWrap/>
            <w:vAlign w:val="center"/>
            <w:hideMark/>
          </w:tcPr>
          <w:p w:rsidR="00A11CEC" w:rsidRPr="0046198E" w:rsidRDefault="00A11CEC" w:rsidP="00A11CE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.92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A11CEC" w:rsidRPr="0046198E" w:rsidRDefault="00A11CEC" w:rsidP="00A11CE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.87-0.95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A11CEC" w:rsidRPr="0046198E" w:rsidRDefault="00A11CEC" w:rsidP="00A11CE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.040</w:t>
            </w:r>
          </w:p>
        </w:tc>
      </w:tr>
      <w:tr w:rsidR="00A11CEC" w:rsidRPr="0046198E" w:rsidTr="00A11CEC">
        <w:trPr>
          <w:trHeight w:val="276"/>
        </w:trPr>
        <w:tc>
          <w:tcPr>
            <w:tcW w:w="2421" w:type="pct"/>
            <w:shd w:val="clear" w:color="auto" w:fill="auto"/>
            <w:noWrap/>
            <w:vAlign w:val="bottom"/>
            <w:hideMark/>
          </w:tcPr>
          <w:p w:rsidR="00A11CEC" w:rsidRPr="0046198E" w:rsidRDefault="00A11CEC" w:rsidP="00A11CE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6198E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BED</w:t>
            </w:r>
            <w:r w:rsidRPr="0046198E"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bscript"/>
              </w:rPr>
              <w:t>10</w:t>
            </w:r>
            <w:r w:rsidRPr="0046198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(adjusted)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:rsidR="00A11CEC" w:rsidRPr="0046198E" w:rsidRDefault="00A11CEC" w:rsidP="00A11CE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.94</w:t>
            </w:r>
          </w:p>
        </w:tc>
        <w:tc>
          <w:tcPr>
            <w:tcW w:w="1113" w:type="pct"/>
            <w:shd w:val="clear" w:color="auto" w:fill="auto"/>
            <w:noWrap/>
            <w:vAlign w:val="center"/>
          </w:tcPr>
          <w:p w:rsidR="00A11CEC" w:rsidRPr="0046198E" w:rsidRDefault="00A11CEC" w:rsidP="00A11CE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.84-1.05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A11CEC" w:rsidRPr="0046198E" w:rsidRDefault="00A11CEC" w:rsidP="00A11CE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.267</w:t>
            </w:r>
          </w:p>
        </w:tc>
      </w:tr>
    </w:tbl>
    <w:p w:rsidR="00404208" w:rsidRPr="00404208" w:rsidRDefault="00404208" w:rsidP="000D62A1"/>
    <w:sectPr w:rsidR="00404208" w:rsidRPr="00404208" w:rsidSect="0040217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CED" w:rsidRDefault="00F11CED" w:rsidP="00744CEF">
      <w:r>
        <w:separator/>
      </w:r>
    </w:p>
  </w:endnote>
  <w:endnote w:type="continuationSeparator" w:id="0">
    <w:p w:rsidR="00F11CED" w:rsidRDefault="00F11CED" w:rsidP="00744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CED" w:rsidRDefault="00F11CED" w:rsidP="00744CEF">
      <w:r>
        <w:separator/>
      </w:r>
    </w:p>
  </w:footnote>
  <w:footnote w:type="continuationSeparator" w:id="0">
    <w:p w:rsidR="00F11CED" w:rsidRDefault="00F11CED" w:rsidP="00744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9A5"/>
    <w:rsid w:val="000D62A1"/>
    <w:rsid w:val="001B110F"/>
    <w:rsid w:val="001D3E0F"/>
    <w:rsid w:val="003941AF"/>
    <w:rsid w:val="0040114B"/>
    <w:rsid w:val="00402178"/>
    <w:rsid w:val="00404208"/>
    <w:rsid w:val="00475879"/>
    <w:rsid w:val="0050251F"/>
    <w:rsid w:val="005E161E"/>
    <w:rsid w:val="006674B9"/>
    <w:rsid w:val="00744CEF"/>
    <w:rsid w:val="008A4F00"/>
    <w:rsid w:val="008C4889"/>
    <w:rsid w:val="009B1F91"/>
    <w:rsid w:val="00A11CEC"/>
    <w:rsid w:val="00A819A5"/>
    <w:rsid w:val="00B35D06"/>
    <w:rsid w:val="00D933C6"/>
    <w:rsid w:val="00E83E75"/>
    <w:rsid w:val="00F11CED"/>
    <w:rsid w:val="00F4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F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114B"/>
    <w:pPr>
      <w:keepNext/>
      <w:keepLines/>
      <w:spacing w:before="340" w:after="330" w:line="578" w:lineRule="auto"/>
      <w:outlineLvl w:val="0"/>
    </w:pPr>
    <w:rPr>
      <w:rFonts w:eastAsia="SimHei"/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14B"/>
    <w:rPr>
      <w:rFonts w:eastAsia="SimHei"/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744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4CE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4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4CE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F9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F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0012761</cp:lastModifiedBy>
  <cp:revision>9</cp:revision>
  <dcterms:created xsi:type="dcterms:W3CDTF">2018-12-19T02:26:00Z</dcterms:created>
  <dcterms:modified xsi:type="dcterms:W3CDTF">2019-04-05T02:28:00Z</dcterms:modified>
</cp:coreProperties>
</file>