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157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5"/>
        <w:gridCol w:w="1545"/>
        <w:gridCol w:w="1823"/>
        <w:gridCol w:w="1797"/>
        <w:gridCol w:w="1646"/>
      </w:tblGrid>
      <w:tr w:rsidR="002B482C" w:rsidTr="002B482C">
        <w:tc>
          <w:tcPr>
            <w:tcW w:w="83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F91A0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Table </w:t>
            </w:r>
            <w:proofErr w:type="spellStart"/>
            <w:r>
              <w:rPr>
                <w:rFonts w:ascii="Times New Roman" w:hAnsi="Times New Roman" w:cs="Times New Roman"/>
                <w:b/>
                <w:szCs w:val="21"/>
              </w:rPr>
              <w:t>S</w:t>
            </w:r>
            <w:r w:rsidR="002B482C">
              <w:rPr>
                <w:rFonts w:ascii="Times New Roman" w:hAnsi="Times New Roman" w:cs="Times New Roman"/>
                <w:b/>
                <w:szCs w:val="21"/>
              </w:rPr>
              <w:t>1</w:t>
            </w:r>
            <w:bookmarkStart w:id="0" w:name="_GoBack"/>
            <w:bookmarkEnd w:id="0"/>
            <w:proofErr w:type="spellEnd"/>
            <w:r w:rsidR="002B482C">
              <w:rPr>
                <w:rFonts w:ascii="Times New Roman" w:hAnsi="Times New Roman" w:cs="Times New Roman"/>
                <w:b/>
                <w:szCs w:val="21"/>
              </w:rPr>
              <w:t xml:space="preserve">. The risk of prevalent hyperuricemia according to the tertiles of </w:t>
            </w:r>
            <w:bookmarkStart w:id="1" w:name="OLE_LINK216"/>
            <w:bookmarkStart w:id="2" w:name="OLE_LINK217"/>
            <w:r w:rsidR="002B482C">
              <w:rPr>
                <w:rFonts w:ascii="Times New Roman" w:hAnsi="Times New Roman" w:cs="Times New Roman"/>
                <w:b/>
                <w:szCs w:val="21"/>
              </w:rPr>
              <w:t>visceral adipose-based measures</w:t>
            </w:r>
            <w:bookmarkEnd w:id="1"/>
            <w:bookmarkEnd w:id="2"/>
          </w:p>
        </w:tc>
      </w:tr>
      <w:tr w:rsidR="002B482C" w:rsidTr="002B482C"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OR (95% CI)</w:t>
            </w:r>
          </w:p>
        </w:tc>
      </w:tr>
      <w:tr w:rsidR="002B482C" w:rsidTr="002B482C"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Tertile 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Tertile 2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Tertile 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 xml:space="preserve"> for trend</w:t>
            </w:r>
          </w:p>
        </w:tc>
      </w:tr>
      <w:tr w:rsidR="002B482C" w:rsidTr="002B482C">
        <w:tc>
          <w:tcPr>
            <w:tcW w:w="83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Visceral adiposity index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1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1.68 (1.07-2.65)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3.34 (2.16-5.16)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2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1.69 (1.08-2.67)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3.38 (2.18-5.26)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3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1.65 (1.04-2.83)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3.29 (2.11-5.13)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1.57 (1.00-2.50)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3.11 (1.96-4.94)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8306" w:type="dxa"/>
            <w:gridSpan w:val="5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Fatty liver index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1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 (0.91-2.17)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2.70 (1.80-4.04)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2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 (0.91-2.16)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2.70 (1.80-4.04)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3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1.44 (0.93-2.25)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2.70 (1.77-4.11)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1.64 (1.05-2.68)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3.58 (1.94-6.01)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8306" w:type="dxa"/>
            <w:gridSpan w:val="5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Lipid accumulation product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1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1.80 (1.15-2.80)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3.00 (1.96-4.58)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2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1.79 (1.15-2.80)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3.00 (1.96-4.58)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3</w:t>
            </w:r>
          </w:p>
        </w:tc>
        <w:tc>
          <w:tcPr>
            <w:tcW w:w="1545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1.80 (1.15-2.84)</w:t>
            </w:r>
          </w:p>
        </w:tc>
        <w:tc>
          <w:tcPr>
            <w:tcW w:w="1797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3.06 (1.97-4.75)</w:t>
            </w:r>
          </w:p>
        </w:tc>
        <w:tc>
          <w:tcPr>
            <w:tcW w:w="1646" w:type="dxa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 (Ref)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1.93 (1.19-3.15)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3.53 (2.05-6.09)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&lt;0.0001</w:t>
            </w:r>
          </w:p>
        </w:tc>
      </w:tr>
      <w:tr w:rsidR="002B482C" w:rsidTr="002B482C">
        <w:tc>
          <w:tcPr>
            <w:tcW w:w="83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1: Adjusted for age, sex;</w:t>
            </w:r>
          </w:p>
        </w:tc>
      </w:tr>
      <w:tr w:rsidR="002B482C" w:rsidTr="002B482C">
        <w:tc>
          <w:tcPr>
            <w:tcW w:w="8306" w:type="dxa"/>
            <w:gridSpan w:val="5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2: Further adjusted for smoking and drinking status, physical activity;</w:t>
            </w:r>
          </w:p>
        </w:tc>
      </w:tr>
      <w:tr w:rsidR="002B482C" w:rsidTr="002B482C">
        <w:tc>
          <w:tcPr>
            <w:tcW w:w="8306" w:type="dxa"/>
            <w:gridSpan w:val="5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Model 3: Further adjusted for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SBP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FPG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TC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LDL-c,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eGFR</w:t>
            </w:r>
            <w:proofErr w:type="spellEnd"/>
          </w:p>
        </w:tc>
      </w:tr>
      <w:tr w:rsidR="002B482C" w:rsidTr="002B482C">
        <w:tc>
          <w:tcPr>
            <w:tcW w:w="8306" w:type="dxa"/>
            <w:gridSpan w:val="5"/>
            <w:hideMark/>
          </w:tcPr>
          <w:p w:rsidR="002B482C" w:rsidRDefault="002B482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4: Further adjusted for neck circumference, waist circumference, BMI</w:t>
            </w:r>
          </w:p>
        </w:tc>
      </w:tr>
    </w:tbl>
    <w:p w:rsidR="0080521A" w:rsidRPr="002B482C" w:rsidRDefault="00F91A09" w:rsidP="00F91A09"/>
    <w:sectPr w:rsidR="0080521A" w:rsidRPr="002B482C" w:rsidSect="00065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AA1" w:rsidRDefault="00196AA1" w:rsidP="002B482C">
      <w:r>
        <w:separator/>
      </w:r>
    </w:p>
  </w:endnote>
  <w:endnote w:type="continuationSeparator" w:id="0">
    <w:p w:rsidR="00196AA1" w:rsidRDefault="00196AA1" w:rsidP="002B4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AA1" w:rsidRDefault="00196AA1" w:rsidP="002B482C">
      <w:r>
        <w:separator/>
      </w:r>
    </w:p>
  </w:footnote>
  <w:footnote w:type="continuationSeparator" w:id="0">
    <w:p w:rsidR="00196AA1" w:rsidRDefault="00196AA1" w:rsidP="002B48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1DBF"/>
    <w:rsid w:val="000651FA"/>
    <w:rsid w:val="00196AA1"/>
    <w:rsid w:val="002B482C"/>
    <w:rsid w:val="003A2480"/>
    <w:rsid w:val="004E1DBF"/>
    <w:rsid w:val="00A70E24"/>
    <w:rsid w:val="00F9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82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B482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B4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482C"/>
    <w:rPr>
      <w:sz w:val="18"/>
      <w:szCs w:val="18"/>
    </w:rPr>
  </w:style>
  <w:style w:type="table" w:styleId="TableGrid">
    <w:name w:val="Table Grid"/>
    <w:basedOn w:val="TableNormal"/>
    <w:uiPriority w:val="39"/>
    <w:rsid w:val="002B4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小琳</dc:creator>
  <cp:keywords/>
  <dc:description/>
  <cp:lastModifiedBy>0013434</cp:lastModifiedBy>
  <cp:revision>3</cp:revision>
  <dcterms:created xsi:type="dcterms:W3CDTF">2019-06-11T09:32:00Z</dcterms:created>
  <dcterms:modified xsi:type="dcterms:W3CDTF">2019-09-19T08:54:00Z</dcterms:modified>
</cp:coreProperties>
</file>