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811" w:rsidRPr="00417B40" w:rsidRDefault="004F73EA" w:rsidP="00D320B7">
      <w:pPr>
        <w:ind w:left="361" w:hangingChars="150" w:hanging="361"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</w:rPr>
        <w:t>Additional file 1</w:t>
      </w:r>
      <w:r w:rsidR="003F73F1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</w:rPr>
        <w:t>6</w:t>
      </w:r>
      <w:bookmarkStart w:id="0" w:name="_GoBack"/>
      <w:bookmarkEnd w:id="0"/>
      <w:r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</w:rPr>
        <w:t>:</w:t>
      </w:r>
      <w:r w:rsidR="00D44811" w:rsidRPr="00417B40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D44811" w:rsidRPr="00417B4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F775C4">
        <w:rPr>
          <w:rFonts w:ascii="Times New Roman" w:hAnsi="Times New Roman" w:cs="Times New Roman" w:hint="eastAsia"/>
          <w:b/>
          <w:sz w:val="24"/>
          <w:szCs w:val="24"/>
        </w:rPr>
        <w:t>11</w:t>
      </w:r>
      <w:r w:rsidR="00F775C4" w:rsidRPr="00417B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811" w:rsidRPr="00417B40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The efficacy of KNN, LR, SVM, DT, MLP and XGboost in </w:t>
      </w:r>
      <w:r w:rsidR="00F775C4">
        <w:rPr>
          <w:rStyle w:val="fontstyle01"/>
          <w:rFonts w:ascii="Times New Roman" w:hAnsi="Times New Roman" w:cs="Times New Roman"/>
          <w:b/>
          <w:sz w:val="24"/>
          <w:szCs w:val="24"/>
        </w:rPr>
        <w:t>the</w:t>
      </w:r>
      <w:r w:rsidR="00F775C4">
        <w:rPr>
          <w:rStyle w:val="fontstyle01"/>
          <w:rFonts w:ascii="Times New Roman" w:hAnsi="Times New Roman" w:cs="Times New Roman" w:hint="eastAsia"/>
          <w:b/>
          <w:sz w:val="24"/>
          <w:szCs w:val="24"/>
        </w:rPr>
        <w:t xml:space="preserve"> t</w:t>
      </w:r>
      <w:r w:rsidR="00D44811" w:rsidRPr="00417B40">
        <w:rPr>
          <w:rStyle w:val="fontstyle01"/>
          <w:rFonts w:ascii="Times New Roman" w:hAnsi="Times New Roman" w:cs="Times New Roman"/>
          <w:b/>
          <w:sz w:val="24"/>
          <w:szCs w:val="24"/>
        </w:rPr>
        <w:t>est set</w:t>
      </w:r>
      <w:r w:rsidR="00D320B7" w:rsidRPr="00D320B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  <w:r w:rsidR="00D320B7" w:rsidRPr="00417B40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of </w:t>
      </w:r>
      <w:r w:rsidR="00D320B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5 </w:t>
      </w:r>
      <w:r w:rsidR="00D320B7" w:rsidRPr="00417B40">
        <w:rPr>
          <w:rStyle w:val="fontstyle01"/>
          <w:rFonts w:ascii="Times New Roman" w:hAnsi="Times New Roman" w:cs="Times New Roman"/>
          <w:b/>
          <w:sz w:val="24"/>
          <w:szCs w:val="24"/>
        </w:rPr>
        <w:t>clinical features</w:t>
      </w:r>
    </w:p>
    <w:p w:rsidR="00D44811" w:rsidRDefault="00D44811" w:rsidP="00D44811">
      <w:pPr>
        <w:rPr>
          <w:rFonts w:ascii="Times New Roman" w:eastAsia="SimSun" w:hAnsi="Times New Roman" w:cs="Times New Roman"/>
          <w:b/>
          <w:bCs/>
          <w:color w:val="000000"/>
          <w:kern w:val="0"/>
          <w:szCs w:val="21"/>
        </w:rPr>
      </w:pPr>
    </w:p>
    <w:tbl>
      <w:tblPr>
        <w:tblW w:w="7943" w:type="dxa"/>
        <w:jc w:val="center"/>
        <w:tblLook w:val="04A0" w:firstRow="1" w:lastRow="0" w:firstColumn="1" w:lastColumn="0" w:noHBand="0" w:noVBand="1"/>
      </w:tblPr>
      <w:tblGrid>
        <w:gridCol w:w="1420"/>
        <w:gridCol w:w="1080"/>
        <w:gridCol w:w="1080"/>
        <w:gridCol w:w="1080"/>
        <w:gridCol w:w="1080"/>
        <w:gridCol w:w="1080"/>
        <w:gridCol w:w="1123"/>
      </w:tblGrid>
      <w:tr w:rsidR="00D44811" w:rsidRPr="00506FED" w:rsidTr="00F775C4">
        <w:trPr>
          <w:trHeight w:val="330"/>
          <w:jc w:val="center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06F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Metrics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06F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KNN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06F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LR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06F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SVM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06F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06F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MLP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06F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XGboost</w:t>
            </w:r>
          </w:p>
        </w:tc>
      </w:tr>
      <w:tr w:rsidR="00D44811" w:rsidRPr="00506FED" w:rsidTr="00F775C4">
        <w:trPr>
          <w:trHeight w:val="27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506FE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AU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-ROC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D44811" w:rsidRPr="00506FED" w:rsidTr="00F775C4">
        <w:trPr>
          <w:trHeight w:val="27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AU-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PRC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D44811" w:rsidRPr="00506FED" w:rsidTr="00F775C4">
        <w:trPr>
          <w:trHeight w:val="27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506FE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accuracy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</w:tr>
      <w:tr w:rsidR="00D44811" w:rsidRPr="00506FED" w:rsidTr="00F775C4">
        <w:trPr>
          <w:trHeight w:val="27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506FE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precision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</w:tr>
      <w:tr w:rsidR="00D44811" w:rsidRPr="00506FED" w:rsidTr="00F775C4">
        <w:trPr>
          <w:trHeight w:val="27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506FE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recall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D44811" w:rsidRPr="00506FED" w:rsidTr="00F775C4">
        <w:trPr>
          <w:trHeight w:val="27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506FE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F1</w:t>
            </w:r>
            <w:r w:rsidR="00D320B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score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</w:tr>
      <w:tr w:rsidR="00D44811" w:rsidRPr="00506FED" w:rsidTr="00F775C4">
        <w:trPr>
          <w:trHeight w:val="27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506FE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MCC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D44811" w:rsidRPr="00506FED" w:rsidTr="00F775C4">
        <w:trPr>
          <w:trHeight w:val="27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506FE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SPC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D44811" w:rsidRPr="00506FED" w:rsidTr="00F775C4">
        <w:trPr>
          <w:trHeight w:val="27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11" w:rsidRPr="00506FED" w:rsidRDefault="00D4481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506FE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NPV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11" w:rsidRPr="001C464C" w:rsidRDefault="00D44811" w:rsidP="006E17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</w:tbl>
    <w:p w:rsidR="00D44811" w:rsidRDefault="00D44811" w:rsidP="00D44811"/>
    <w:p w:rsidR="00D44811" w:rsidRPr="00047E9F" w:rsidRDefault="00D44811" w:rsidP="00D44811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047E9F">
        <w:rPr>
          <w:rFonts w:ascii="Times New Roman" w:hAnsi="Times New Roman" w:cs="Times New Roman"/>
          <w:color w:val="000000" w:themeColor="text1"/>
          <w:szCs w:val="21"/>
        </w:rPr>
        <w:t xml:space="preserve">AU-ROC, area under the receiver operating characteristic curve; </w:t>
      </w:r>
      <w:r w:rsidRPr="00047E9F">
        <w:rPr>
          <w:rFonts w:ascii="Times New Roman" w:hAnsi="Times New Roman" w:cs="Times New Roman" w:hint="eastAsia"/>
          <w:color w:val="000000"/>
          <w:szCs w:val="21"/>
        </w:rPr>
        <w:t>AU</w:t>
      </w:r>
      <w:r w:rsidRPr="00047E9F">
        <w:rPr>
          <w:rFonts w:ascii="Times New Roman" w:hAnsi="Times New Roman" w:cs="Times New Roman"/>
          <w:color w:val="000000"/>
          <w:szCs w:val="21"/>
        </w:rPr>
        <w:t>-</w:t>
      </w:r>
      <w:r w:rsidRPr="00047E9F">
        <w:rPr>
          <w:rFonts w:ascii="Times New Roman" w:hAnsi="Times New Roman" w:cs="Times New Roman" w:hint="eastAsia"/>
          <w:color w:val="000000"/>
          <w:szCs w:val="21"/>
        </w:rPr>
        <w:t>PRC</w:t>
      </w:r>
      <w:r w:rsidRPr="00047E9F">
        <w:rPr>
          <w:rFonts w:ascii="Times New Roman" w:hAnsi="Times New Roman" w:cs="Times New Roman"/>
          <w:color w:val="000000"/>
          <w:szCs w:val="21"/>
        </w:rPr>
        <w:t>,</w:t>
      </w:r>
      <w:r w:rsidRPr="00047E9F">
        <w:rPr>
          <w:rFonts w:ascii="Times New Roman" w:hAnsi="Times New Roman" w:cs="Times New Roman" w:hint="eastAsia"/>
          <w:color w:val="000000"/>
          <w:szCs w:val="21"/>
        </w:rPr>
        <w:t xml:space="preserve"> area under the </w:t>
      </w:r>
      <w:r w:rsidRPr="00047E9F">
        <w:rPr>
          <w:rFonts w:ascii="Times New Roman" w:hAnsi="Times New Roman" w:cs="Times New Roman"/>
          <w:color w:val="000000"/>
          <w:szCs w:val="21"/>
        </w:rPr>
        <w:t>precision-</w:t>
      </w:r>
      <w:r w:rsidRPr="00047E9F">
        <w:rPr>
          <w:rFonts w:ascii="Times New Roman" w:hAnsi="Times New Roman" w:cs="Times New Roman" w:hint="eastAsia"/>
          <w:color w:val="000000"/>
          <w:szCs w:val="21"/>
        </w:rPr>
        <w:t>recall</w:t>
      </w:r>
      <w:r w:rsidRPr="00047E9F">
        <w:rPr>
          <w:rFonts w:ascii="Times New Roman" w:hAnsi="Times New Roman" w:cs="Times New Roman"/>
          <w:color w:val="000000"/>
          <w:szCs w:val="21"/>
        </w:rPr>
        <w:t xml:space="preserve"> </w:t>
      </w:r>
      <w:r w:rsidRPr="00047E9F">
        <w:rPr>
          <w:rFonts w:ascii="Times New Roman" w:hAnsi="Times New Roman" w:cs="Times New Roman" w:hint="eastAsia"/>
          <w:color w:val="000000"/>
          <w:szCs w:val="21"/>
        </w:rPr>
        <w:t>curve</w:t>
      </w:r>
      <w:r w:rsidRPr="00047E9F">
        <w:rPr>
          <w:rFonts w:ascii="Times New Roman" w:hAnsi="Times New Roman" w:cs="Times New Roman"/>
          <w:color w:val="000000" w:themeColor="text1"/>
          <w:szCs w:val="21"/>
        </w:rPr>
        <w:t>; MCC,</w:t>
      </w:r>
      <w:r w:rsidRPr="00047E9F">
        <w:rPr>
          <w:rFonts w:ascii="Times New Roman" w:hAnsi="Times New Roman" w:cs="Times New Roman"/>
          <w:szCs w:val="21"/>
        </w:rPr>
        <w:t xml:space="preserve"> </w:t>
      </w:r>
      <w:r w:rsidRPr="00047E9F">
        <w:rPr>
          <w:rFonts w:ascii="Times New Roman" w:hAnsi="Times New Roman" w:cs="Times New Roman"/>
          <w:color w:val="231F20"/>
          <w:szCs w:val="21"/>
        </w:rPr>
        <w:t xml:space="preserve">Matthews correlation coefficient; SPC, </w:t>
      </w:r>
      <w:r w:rsidRPr="00047E9F">
        <w:rPr>
          <w:rFonts w:ascii="Times New Roman" w:hAnsi="Times New Roman" w:cs="Times New Roman"/>
          <w:color w:val="131413"/>
          <w:szCs w:val="21"/>
        </w:rPr>
        <w:t>specificity; NPV,</w:t>
      </w:r>
      <w:r w:rsidRPr="00047E9F">
        <w:rPr>
          <w:rFonts w:ascii="Times New Roman" w:hAnsi="Times New Roman" w:cs="Times New Roman"/>
          <w:szCs w:val="21"/>
        </w:rPr>
        <w:t xml:space="preserve"> </w:t>
      </w:r>
      <w:r w:rsidRPr="00047E9F">
        <w:rPr>
          <w:rFonts w:ascii="Times New Roman" w:hAnsi="Times New Roman" w:cs="Times New Roman"/>
          <w:color w:val="131413"/>
          <w:szCs w:val="21"/>
        </w:rPr>
        <w:t xml:space="preserve">negative prognostic value; </w:t>
      </w:r>
      <w:r w:rsidRPr="00047E9F">
        <w:rPr>
          <w:rFonts w:ascii="Times New Roman" w:hAnsi="Times New Roman" w:cs="Times New Roman"/>
          <w:color w:val="000000" w:themeColor="text1"/>
          <w:szCs w:val="21"/>
        </w:rPr>
        <w:t xml:space="preserve">KNN, </w:t>
      </w:r>
      <w:r w:rsidRPr="00047E9F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>k-nearest neighbors</w:t>
      </w:r>
      <w:r w:rsidRPr="00047E9F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Pr="00047E9F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 xml:space="preserve">classifier; </w:t>
      </w:r>
      <w:r w:rsidRPr="00047E9F">
        <w:rPr>
          <w:rFonts w:ascii="Times New Roman" w:hAnsi="Times New Roman" w:cs="Times New Roman"/>
          <w:color w:val="000000" w:themeColor="text1"/>
          <w:szCs w:val="21"/>
        </w:rPr>
        <w:t>LR,</w:t>
      </w:r>
      <w:r w:rsidRPr="00047E9F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</w:t>
      </w:r>
      <w:r w:rsidRPr="00047E9F">
        <w:rPr>
          <w:rFonts w:ascii="Times New Roman" w:hAnsi="Times New Roman" w:cs="Times New Roman"/>
          <w:color w:val="000000" w:themeColor="text1"/>
          <w:szCs w:val="21"/>
        </w:rPr>
        <w:t>logistic regression; SVM, support vector machine; DT, decision tree;</w:t>
      </w:r>
      <w:r w:rsidRPr="00047E9F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 MLP,</w:t>
      </w:r>
      <w:r w:rsidRPr="00047E9F">
        <w:rPr>
          <w:rFonts w:ascii="Times New Roman" w:hAnsi="Times New Roman" w:cs="Times New Roman"/>
          <w:color w:val="000000" w:themeColor="text1"/>
          <w:szCs w:val="21"/>
        </w:rPr>
        <w:t xml:space="preserve"> multilayer perceptron</w:t>
      </w:r>
      <w:r w:rsidRPr="00047E9F">
        <w:rPr>
          <w:rFonts w:ascii="Times New Roman" w:hAnsi="Times New Roman" w:cs="Times New Roman"/>
          <w:bCs/>
          <w:color w:val="000000" w:themeColor="text1"/>
          <w:szCs w:val="21"/>
        </w:rPr>
        <w:t>.</w:t>
      </w:r>
    </w:p>
    <w:p w:rsidR="00433B72" w:rsidRPr="00D44811" w:rsidRDefault="00433B72" w:rsidP="00D44811">
      <w:pPr>
        <w:spacing w:line="360" w:lineRule="auto"/>
      </w:pPr>
    </w:p>
    <w:sectPr w:rsidR="00433B72" w:rsidRPr="00D44811" w:rsidSect="004F7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B13" w:rsidRDefault="00C16B13" w:rsidP="00433B72">
      <w:r>
        <w:separator/>
      </w:r>
    </w:p>
  </w:endnote>
  <w:endnote w:type="continuationSeparator" w:id="0">
    <w:p w:rsidR="00C16B13" w:rsidRDefault="00C16B13" w:rsidP="0043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jdcxlAdvTTb5929f4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B13" w:rsidRDefault="00C16B13" w:rsidP="00433B72">
      <w:r>
        <w:separator/>
      </w:r>
    </w:p>
  </w:footnote>
  <w:footnote w:type="continuationSeparator" w:id="0">
    <w:p w:rsidR="00C16B13" w:rsidRDefault="00C16B13" w:rsidP="00433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135C"/>
    <w:rsid w:val="00042C22"/>
    <w:rsid w:val="000514AC"/>
    <w:rsid w:val="0019135C"/>
    <w:rsid w:val="001A44D1"/>
    <w:rsid w:val="001B2CAB"/>
    <w:rsid w:val="001B38B3"/>
    <w:rsid w:val="001C464C"/>
    <w:rsid w:val="002429B5"/>
    <w:rsid w:val="00317707"/>
    <w:rsid w:val="003406E3"/>
    <w:rsid w:val="003940B8"/>
    <w:rsid w:val="003F73F1"/>
    <w:rsid w:val="00417B40"/>
    <w:rsid w:val="00433B72"/>
    <w:rsid w:val="00436D1A"/>
    <w:rsid w:val="00492D0B"/>
    <w:rsid w:val="004F73EA"/>
    <w:rsid w:val="00506FED"/>
    <w:rsid w:val="00535F9A"/>
    <w:rsid w:val="005855EF"/>
    <w:rsid w:val="005D0C83"/>
    <w:rsid w:val="00B31D4C"/>
    <w:rsid w:val="00BE37DD"/>
    <w:rsid w:val="00C12016"/>
    <w:rsid w:val="00C16B13"/>
    <w:rsid w:val="00D320B7"/>
    <w:rsid w:val="00D44811"/>
    <w:rsid w:val="00E617DA"/>
    <w:rsid w:val="00ED6C16"/>
    <w:rsid w:val="00F775C4"/>
    <w:rsid w:val="00F8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2C9A1D0D"/>
  <w15:docId w15:val="{2785B711-BB65-4F3F-AC3E-5E919161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C8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3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33B7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33B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33B72"/>
    <w:rPr>
      <w:sz w:val="18"/>
      <w:szCs w:val="18"/>
    </w:rPr>
  </w:style>
  <w:style w:type="character" w:customStyle="1" w:styleId="fontstyle01">
    <w:name w:val="fontstyle01"/>
    <w:basedOn w:val="DefaultParagraphFont"/>
    <w:rsid w:val="00433B72"/>
    <w:rPr>
      <w:rFonts w:ascii="GjdcxlAdvTTb5929f4c" w:hAnsi="GjdcxlAdvTTb5929f4c" w:hint="default"/>
      <w:b w:val="0"/>
      <w:bCs w:val="0"/>
      <w:i w:val="0"/>
      <w:iCs w:val="0"/>
      <w:color w:val="131413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81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8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汤慧</dc:creator>
  <cp:keywords/>
  <dc:description/>
  <cp:lastModifiedBy>Shine David S.A.</cp:lastModifiedBy>
  <cp:revision>20</cp:revision>
  <dcterms:created xsi:type="dcterms:W3CDTF">2019-10-23T11:53:00Z</dcterms:created>
  <dcterms:modified xsi:type="dcterms:W3CDTF">2020-03-27T07:05:00Z</dcterms:modified>
</cp:coreProperties>
</file>