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E2" w:rsidRPr="008C5AF6" w:rsidRDefault="0058208B">
      <w:pPr>
        <w:jc w:val="left"/>
        <w:rPr>
          <w:rStyle w:val="15"/>
          <w:rFonts w:ascii="Times New Roman" w:hAnsi="Times New Roman"/>
          <w:sz w:val="20"/>
          <w:szCs w:val="20"/>
        </w:rPr>
      </w:pPr>
      <w:r w:rsidRPr="008C5AF6">
        <w:rPr>
          <w:rFonts w:ascii="Times New Roman" w:hAnsi="Times New Roman"/>
          <w:b/>
          <w:bCs/>
          <w:color w:val="000000"/>
          <w:sz w:val="20"/>
          <w:szCs w:val="20"/>
        </w:rPr>
        <w:t>Table</w:t>
      </w:r>
      <w:r w:rsidRPr="008C5AF6">
        <w:rPr>
          <w:rFonts w:ascii="Times New Roman" w:hAnsi="Times New Roman" w:hint="eastAsia"/>
          <w:b/>
          <w:bCs/>
          <w:color w:val="000000"/>
          <w:sz w:val="20"/>
          <w:szCs w:val="20"/>
        </w:rPr>
        <w:t xml:space="preserve"> S1</w:t>
      </w:r>
      <w:r w:rsidRPr="008C5AF6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8C5AF6">
        <w:rPr>
          <w:rFonts w:ascii="Times New Roman" w:hAnsi="Times New Roman" w:hint="eastAsia"/>
          <w:b/>
          <w:bCs/>
          <w:color w:val="000000"/>
          <w:sz w:val="20"/>
          <w:szCs w:val="20"/>
        </w:rPr>
        <w:t>The c</w:t>
      </w:r>
      <w:r w:rsidRPr="008C5AF6">
        <w:rPr>
          <w:rFonts w:ascii="Times New Roman" w:hAnsi="Times New Roman"/>
          <w:b/>
          <w:bCs/>
          <w:color w:val="000000"/>
          <w:sz w:val="20"/>
          <w:szCs w:val="20"/>
        </w:rPr>
        <w:t xml:space="preserve">omparison </w:t>
      </w:r>
      <w:r w:rsidRPr="008C5AF6">
        <w:rPr>
          <w:rStyle w:val="15"/>
          <w:rFonts w:ascii="Times New Roman" w:hAnsi="Times New Roman"/>
          <w:sz w:val="20"/>
          <w:szCs w:val="20"/>
        </w:rPr>
        <w:t>characteristics</w:t>
      </w:r>
      <w:r w:rsidRPr="008C5AF6">
        <w:rPr>
          <w:rFonts w:ascii="Times New Roman" w:hAnsi="Times New Roman"/>
          <w:b/>
          <w:bCs/>
          <w:color w:val="000000"/>
          <w:sz w:val="20"/>
          <w:szCs w:val="20"/>
        </w:rPr>
        <w:t xml:space="preserve"> and outcome</w:t>
      </w:r>
      <w:r w:rsidRPr="008C5AF6">
        <w:rPr>
          <w:rFonts w:ascii="Times New Roman" w:hAnsi="Times New Roman" w:hint="eastAsia"/>
          <w:b/>
          <w:bCs/>
          <w:color w:val="000000"/>
          <w:sz w:val="20"/>
          <w:szCs w:val="20"/>
        </w:rPr>
        <w:t>s</w:t>
      </w:r>
      <w:r w:rsidRPr="008C5AF6">
        <w:rPr>
          <w:rFonts w:ascii="Times New Roman" w:hAnsi="Times New Roman"/>
          <w:b/>
          <w:bCs/>
          <w:color w:val="000000"/>
          <w:sz w:val="20"/>
          <w:szCs w:val="20"/>
        </w:rPr>
        <w:t xml:space="preserve"> of COVID-19 patients without </w:t>
      </w:r>
      <w:r w:rsidR="00BF3CD2" w:rsidRPr="006C1B83">
        <w:rPr>
          <w:rFonts w:ascii="TimesNewRomanPS-BoldMT" w:hAnsi="TimesNewRomanPS-BoldMT"/>
          <w:b/>
          <w:bCs/>
          <w:sz w:val="20"/>
          <w:szCs w:val="20"/>
        </w:rPr>
        <w:t>comorbidities</w:t>
      </w:r>
      <w:r w:rsidRPr="008C5AF6">
        <w:rPr>
          <w:rFonts w:ascii="Times New Roman" w:hAnsi="Times New Roman"/>
          <w:b/>
          <w:bCs/>
          <w:color w:val="000000"/>
          <w:sz w:val="20"/>
          <w:szCs w:val="20"/>
        </w:rPr>
        <w:t xml:space="preserve"> in </w:t>
      </w:r>
      <w:r w:rsidRPr="008C5AF6">
        <w:rPr>
          <w:rFonts w:ascii="Times New Roman" w:hAnsi="Times New Roman" w:hint="eastAsia"/>
          <w:b/>
          <w:bCs/>
          <w:color w:val="000000"/>
          <w:sz w:val="20"/>
          <w:szCs w:val="20"/>
        </w:rPr>
        <w:t>different age</w:t>
      </w:r>
      <w:r w:rsidRPr="008C5AF6">
        <w:rPr>
          <w:rFonts w:ascii="Times New Roman" w:hAnsi="Times New Roman"/>
          <w:b/>
          <w:bCs/>
          <w:color w:val="000000"/>
          <w:sz w:val="20"/>
          <w:szCs w:val="20"/>
        </w:rPr>
        <w:t xml:space="preserve"> groups. </w:t>
      </w:r>
      <w:r w:rsidRPr="008C5AF6">
        <w:rPr>
          <w:rStyle w:val="15"/>
          <w:rFonts w:ascii="Times New Roman" w:hAnsi="Times New Roman"/>
          <w:sz w:val="20"/>
          <w:szCs w:val="20"/>
        </w:rPr>
        <w:t xml:space="preserve">Values are </w:t>
      </w:r>
      <w:r w:rsidRPr="008C5AF6">
        <w:rPr>
          <w:rStyle w:val="15"/>
          <w:rFonts w:ascii="Times New Roman" w:hAnsi="Times New Roman" w:hint="eastAsia"/>
          <w:sz w:val="20"/>
          <w:szCs w:val="20"/>
        </w:rPr>
        <w:t>median</w:t>
      </w:r>
      <w:r w:rsidRPr="008C5AF6">
        <w:rPr>
          <w:rStyle w:val="15"/>
          <w:rFonts w:ascii="Times New Roman" w:hAnsi="Times New Roman"/>
          <w:sz w:val="20"/>
          <w:szCs w:val="20"/>
        </w:rPr>
        <w:t xml:space="preserve"> (</w:t>
      </w:r>
      <w:r w:rsidRPr="008C5AF6">
        <w:rPr>
          <w:rStyle w:val="15"/>
          <w:rFonts w:ascii="Times New Roman" w:hAnsi="Times New Roman" w:hint="eastAsia"/>
          <w:sz w:val="20"/>
          <w:szCs w:val="20"/>
        </w:rPr>
        <w:t>IQR</w:t>
      </w:r>
      <w:r w:rsidRPr="008C5AF6">
        <w:rPr>
          <w:rStyle w:val="15"/>
          <w:rFonts w:ascii="Times New Roman" w:hAnsi="Times New Roman"/>
          <w:sz w:val="20"/>
          <w:szCs w:val="20"/>
        </w:rPr>
        <w:t>)</w:t>
      </w:r>
      <w:r w:rsidRPr="008C5AF6">
        <w:rPr>
          <w:rStyle w:val="15"/>
          <w:rFonts w:ascii="Times New Roman" w:hAnsi="Times New Roman" w:hint="eastAsia"/>
          <w:sz w:val="20"/>
          <w:szCs w:val="20"/>
        </w:rPr>
        <w:t xml:space="preserve"> unless stated otherwise.</w:t>
      </w:r>
    </w:p>
    <w:tbl>
      <w:tblPr>
        <w:tblStyle w:val="a4"/>
        <w:tblW w:w="8046" w:type="dxa"/>
        <w:tblLayout w:type="fixed"/>
        <w:tblLook w:val="04A0" w:firstRow="1" w:lastRow="0" w:firstColumn="1" w:lastColumn="0" w:noHBand="0" w:noVBand="1"/>
      </w:tblPr>
      <w:tblGrid>
        <w:gridCol w:w="2180"/>
        <w:gridCol w:w="1253"/>
        <w:gridCol w:w="1253"/>
        <w:gridCol w:w="1253"/>
        <w:gridCol w:w="1256"/>
        <w:gridCol w:w="851"/>
      </w:tblGrid>
      <w:tr w:rsidR="008530E2" w:rsidTr="00853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Variables</w:t>
            </w:r>
          </w:p>
        </w:tc>
        <w:tc>
          <w:tcPr>
            <w:tcW w:w="1253" w:type="dxa"/>
          </w:tcPr>
          <w:p w:rsidR="008530E2" w:rsidRPr="008C5AF6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All patients</w:t>
            </w:r>
          </w:p>
          <w:p w:rsidR="008530E2" w:rsidRPr="008C5AF6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N=271</w:t>
            </w:r>
          </w:p>
        </w:tc>
        <w:tc>
          <w:tcPr>
            <w:tcW w:w="1253" w:type="dxa"/>
          </w:tcPr>
          <w:p w:rsidR="008530E2" w:rsidRPr="008C5AF6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19-39y</w:t>
            </w:r>
          </w:p>
          <w:p w:rsidR="008530E2" w:rsidRPr="008C5AF6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N=117</w:t>
            </w:r>
          </w:p>
        </w:tc>
        <w:tc>
          <w:tcPr>
            <w:tcW w:w="1253" w:type="dxa"/>
          </w:tcPr>
          <w:p w:rsidR="008530E2" w:rsidRPr="008C5AF6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40-</w:t>
            </w:r>
            <w:r w:rsidR="009311E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59</w:t>
            </w:r>
            <w:r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y</w:t>
            </w:r>
          </w:p>
          <w:p w:rsidR="008530E2" w:rsidRPr="008C5AF6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N=119</w:t>
            </w:r>
          </w:p>
        </w:tc>
        <w:tc>
          <w:tcPr>
            <w:tcW w:w="1256" w:type="dxa"/>
          </w:tcPr>
          <w:p w:rsidR="008530E2" w:rsidRPr="008C5AF6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Over 60y</w:t>
            </w:r>
          </w:p>
          <w:p w:rsidR="008530E2" w:rsidRPr="008C5AF6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N=35</w:t>
            </w:r>
          </w:p>
        </w:tc>
        <w:tc>
          <w:tcPr>
            <w:tcW w:w="851" w:type="dxa"/>
          </w:tcPr>
          <w:p w:rsidR="008530E2" w:rsidRPr="008C5AF6" w:rsidRDefault="003A1174" w:rsidP="003232F2">
            <w:pPr>
              <w:ind w:leftChars="-253" w:left="-531" w:firstLineChars="314" w:firstLine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3A1174">
              <w:rPr>
                <w:rStyle w:val="15"/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p</w:t>
            </w:r>
            <w:r w:rsidR="0058208B"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3293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V</w:t>
            </w:r>
            <w:r w:rsidR="0058208B" w:rsidRPr="008C5AF6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  <w:t>alue</w:t>
            </w:r>
            <w:r w:rsidR="003232F2" w:rsidRPr="003232F2"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a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Median age (IQR),yr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42(35,52)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32(29,36)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50(45,54)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64(63,67)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Male, n(%)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156(57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60(51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78(65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18(51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208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Time from symptom onset to admission, median (IQR),d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10(6,14)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9(7,12)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7(5,10)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12(7,15)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045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0E2" w:rsidRPr="008C5AF6" w:rsidRDefault="0058208B">
            <w:pPr>
              <w:ind w:rightChars="-165" w:right="-346"/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Laboratory findings on admission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0E2" w:rsidRPr="008C5AF6" w:rsidRDefault="00853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0E2" w:rsidRPr="008C5AF6" w:rsidRDefault="00853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0E2" w:rsidRPr="008C5AF6" w:rsidRDefault="00853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0E2" w:rsidRPr="008C5AF6" w:rsidRDefault="00853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0E2" w:rsidRPr="008C5AF6" w:rsidRDefault="008530E2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Fonts w:ascii="Times New Roman" w:eastAsia="Times New Roman" w:hAnsi="Times New Roman" w:cs="Times New Roman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White blood cell count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(3</w:t>
            </w:r>
            <w:r w:rsidR="009311E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5-9</w:t>
            </w:r>
            <w:r w:rsidR="009311E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5×10</w:t>
            </w: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  <w:t>9</w:t>
            </w: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70,8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48)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74,7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(6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15,10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68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69,7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Fonts w:ascii="Times New Roman" w:eastAsia="Times New Roman" w:hAnsi="Times New Roman" w:cs="Times New Roman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N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eutrophil count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(1</w:t>
            </w:r>
            <w:r w:rsidR="009311E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8-6</w:t>
            </w:r>
            <w:r w:rsidR="009311E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3×10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  <w:vertAlign w:val="superscript"/>
              </w:rPr>
              <w:t>9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15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56,6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25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77,5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73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(4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66,7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11)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51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39,5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Fonts w:ascii="Times New Roman" w:eastAsia="Times New Roman" w:hAnsi="Times New Roman" w:cs="Times New Roman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Lymphocyte count 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(1</w:t>
            </w:r>
            <w:r w:rsidR="009311E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1-3</w:t>
            </w:r>
            <w:r w:rsidR="009311E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2×10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  <w:vertAlign w:val="superscript"/>
              </w:rPr>
              <w:t>9</w:t>
            </w: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24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90,1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73)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45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15,1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24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87,1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95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77,1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NLR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06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32,7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25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74,4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87)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(3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18,9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26)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82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48,6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Platelet count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(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125-350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×10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9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243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(192,300)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254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(219,298)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245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(191,302)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197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(168,299)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053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 w:rsidP="008C5AF6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D</w:t>
            </w:r>
            <w:r w:rsidR="008C5AF6">
              <w:rPr>
                <w:rStyle w:val="15"/>
                <w:rFonts w:asciiTheme="minorEastAsia" w:hAnsiTheme="minorEastAsia" w:cs="Times New Roman" w:hint="eastAsia"/>
                <w:bCs/>
                <w:sz w:val="16"/>
                <w:szCs w:val="16"/>
              </w:rPr>
              <w:t>-d</w:t>
            </w: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imer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(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0-1</w:t>
            </w:r>
            <w:r w:rsidR="009311E6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5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μg/ml)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66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36,1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17)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56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34,1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07)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34,1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72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48,2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216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H</w:t>
            </w:r>
            <w:r w:rsidR="0011727B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S</w:t>
            </w: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-CRP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(0-5mg/L)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0,71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95,29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65,79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6,97)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002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IL-6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000000" w:themeColor="text1"/>
                <w:sz w:val="16"/>
                <w:szCs w:val="16"/>
              </w:rPr>
              <w:t>(0-7pg/ml)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38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13,11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38,10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(5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85,11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99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52,13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456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LDH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000000" w:themeColor="text1"/>
                <w:sz w:val="16"/>
                <w:szCs w:val="16"/>
              </w:rPr>
              <w:t>(120-250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 xml:space="preserve"> U/L)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287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(226,359)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273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(226,342)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306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(225,363)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284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(242,389)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640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ALT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(9-50U/L)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3,58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5,60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(20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8,65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3,33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144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Bilirubin (0-26</w:t>
            </w: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μ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mmol/L)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8,14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03,15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(6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70,14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0,15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123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Fonts w:ascii="Times New Roman" w:eastAsia="Times New Roman" w:hAnsi="Times New Roman" w:cs="Times New Roman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Prealbumin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(200-430mg/L)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159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(106,211)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171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(132,206)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155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(104,219)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(73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5,172)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010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Albumin (40-55g/L)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0,35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7,35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8,35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(29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2,34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702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000000" w:themeColor="text1"/>
                <w:sz w:val="16"/>
                <w:szCs w:val="16"/>
              </w:rPr>
              <w:t>Serum creatinine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(44-97μmol/L)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(55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2,78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(55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2,78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(55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9,77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(54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7,84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935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16"/>
                <w:szCs w:val="16"/>
              </w:rPr>
              <w:t>CK-MB (0-25U/L)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0,17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0,18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0,16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(9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0,18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388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000000" w:themeColor="text1"/>
                <w:sz w:val="16"/>
                <w:szCs w:val="16"/>
              </w:rPr>
              <w:t>Troponin (0-28pg/mL)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7,4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2,3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9,4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color w:val="FF000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9,6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002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C5AF6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Total cholesterol</w:t>
            </w:r>
            <w:r w:rsidRPr="008C5AF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8530E2" w:rsidRPr="008C5AF6" w:rsidRDefault="0058208B">
            <w:pPr>
              <w:ind w:firstLineChars="50" w:firstLine="80"/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(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3</w:t>
            </w:r>
            <w:r w:rsidR="009311E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3-5</w:t>
            </w:r>
            <w:r w:rsidR="009311E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2mmoL/L)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25,4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12,4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82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28,4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72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32,4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</w:pPr>
            <w:r w:rsidRPr="008C5AF6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Triglyceride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8530E2" w:rsidRPr="008C5AF6" w:rsidRDefault="0058208B">
            <w:pPr>
              <w:ind w:firstLineChars="50" w:firstLine="80"/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(0</w:t>
            </w:r>
            <w:r w:rsidR="009311E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51-1</w:t>
            </w:r>
            <w:r w:rsidR="009311E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70mmoL/L)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94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79,1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13)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85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76,1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(0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79,1</w:t>
            </w:r>
            <w:r w:rsidR="009311E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C5AF6">
              <w:rPr>
                <w:rFonts w:ascii="Times New Roman" w:eastAsia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06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97,1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003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8C5AF6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lastRenderedPageBreak/>
              <w:t>Low density lipoprotein</w:t>
            </w:r>
          </w:p>
          <w:p w:rsidR="008530E2" w:rsidRPr="008C5AF6" w:rsidRDefault="0058208B">
            <w:pPr>
              <w:ind w:firstLineChars="50" w:firstLine="80"/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(2</w:t>
            </w:r>
            <w:r w:rsidR="009311E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1-3</w:t>
            </w:r>
            <w:r w:rsidR="009311E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37mmoL/L)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23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80,2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24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62,2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27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83,2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81,2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659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8C5AF6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High density lipoprotein</w:t>
            </w:r>
          </w:p>
          <w:p w:rsidR="008530E2" w:rsidRPr="008C5AF6" w:rsidRDefault="0058208B">
            <w:pPr>
              <w:ind w:firstLineChars="50" w:firstLine="80"/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(1</w:t>
            </w:r>
            <w:r w:rsidR="009311E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04-1</w:t>
            </w:r>
            <w:r w:rsidR="009311E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8C5AF6">
              <w:rPr>
                <w:rFonts w:ascii="Times New Roman" w:eastAsia="宋体" w:hAnsi="Times New Roman" w:cs="Times New Roman"/>
                <w:b w:val="0"/>
                <w:color w:val="auto"/>
                <w:sz w:val="16"/>
                <w:szCs w:val="16"/>
              </w:rPr>
              <w:t>55mmoL/L)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50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11,1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71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41,2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42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13,1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21</w:t>
            </w:r>
          </w:p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85,1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009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SOFA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1(0,1)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0(0,1)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1(0,2)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2(0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5,2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Complications and outcomes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853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853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853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853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8530E2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ARDS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49(18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26(21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20(57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Time from symptom onset to ARDS (IQR),d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8(6,12)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7(6,11)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9(7,12)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7(5,10)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461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Sepsis shock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0(0)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5(4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2(5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056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Time from symptom onset to sepsis shock, median (IQR),d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14(12,20)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color w:val="FF000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12(9,20)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18(15,25)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Acute liver injury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32(11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12(10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16(13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4(11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393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Time from symptom onset to acute liver injury, median (IQR),d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13(10,16)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16(10,23)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12(9,14)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11(10,16)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783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Acute kidney injury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5(1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8)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0(0)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2(5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097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Time from symptom onset to acute kidney injury, median (IQR),d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12(10,18)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11(10,16)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14(12,25)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439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Acute cardiac injury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7(2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0(0)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4(3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3(8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023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C5AF6"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Time from symptom onset to acute cardiac injury, median (IQR),d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15(13,20)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15(13,17)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16(10,24)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658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Severe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41(15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3(2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18(15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20(57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  <w:tr w:rsidR="008530E2" w:rsidTr="008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530E2" w:rsidRPr="008C5AF6" w:rsidRDefault="0058208B">
            <w:pPr>
              <w:ind w:rightChars="-165" w:right="-346"/>
              <w:jc w:val="left"/>
              <w:rPr>
                <w:rStyle w:val="15"/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Cs/>
                <w:sz w:val="16"/>
                <w:szCs w:val="16"/>
              </w:rPr>
              <w:t>Death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11(4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0(0)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5(3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97)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530E2" w:rsidRPr="008C5AF6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6(17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530E2" w:rsidRPr="008C5AF6" w:rsidRDefault="0058208B">
            <w:pPr>
              <w:ind w:leftChars="-253" w:left="-531" w:firstLineChars="264" w:firstLine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5"/>
                <w:rFonts w:ascii="Times New Roman" w:eastAsia="宋体" w:hAnsi="Times New Roman" w:cs="Times New Roman"/>
                <w:b w:val="0"/>
                <w:bCs w:val="0"/>
                <w:sz w:val="16"/>
                <w:szCs w:val="16"/>
              </w:rPr>
            </w:pP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&lt;0</w:t>
            </w:r>
            <w:r w:rsidR="009311E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Pr="008C5AF6">
              <w:rPr>
                <w:rStyle w:val="1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001</w:t>
            </w:r>
          </w:p>
        </w:tc>
      </w:tr>
    </w:tbl>
    <w:p w:rsidR="008530E2" w:rsidRDefault="0058208B">
      <w:pPr>
        <w:jc w:val="left"/>
        <w:rPr>
          <w:rFonts w:ascii="Times New Roman" w:hAnsi="Times New Roman" w:cs="Times New Roman"/>
          <w:sz w:val="16"/>
          <w:szCs w:val="16"/>
        </w:rPr>
      </w:pPr>
      <w:r w:rsidRPr="0011727B">
        <w:rPr>
          <w:rStyle w:val="15"/>
          <w:rFonts w:ascii="Times New Roman" w:hAnsi="Times New Roman" w:cs="Times New Roman"/>
          <w:b w:val="0"/>
          <w:bCs w:val="0"/>
          <w:sz w:val="16"/>
          <w:szCs w:val="16"/>
        </w:rPr>
        <w:t>COVID-19 coronavirus disease 2019</w:t>
      </w:r>
      <w:r w:rsidR="003A1174">
        <w:rPr>
          <w:rStyle w:val="15"/>
          <w:rFonts w:ascii="Times New Roman" w:hAnsi="Times New Roman" w:cs="Times New Roman"/>
          <w:b w:val="0"/>
          <w:bCs w:val="0"/>
          <w:sz w:val="16"/>
          <w:szCs w:val="16"/>
        </w:rPr>
        <w:t xml:space="preserve">, </w:t>
      </w:r>
      <w:r w:rsidRPr="0011727B">
        <w:rPr>
          <w:rStyle w:val="15"/>
          <w:rFonts w:ascii="Times New Roman" w:hAnsi="Times New Roman" w:cs="Times New Roman"/>
          <w:b w:val="0"/>
          <w:bCs w:val="0"/>
          <w:sz w:val="16"/>
          <w:szCs w:val="16"/>
        </w:rPr>
        <w:t xml:space="preserve">NLR </w:t>
      </w:r>
      <w:r w:rsidRPr="0011727B">
        <w:rPr>
          <w:rFonts w:ascii="Times New Roman" w:hAnsi="Times New Roman" w:cs="Times New Roman"/>
          <w:sz w:val="16"/>
          <w:szCs w:val="16"/>
        </w:rPr>
        <w:t>neutrophil to lymphocyte ratio</w:t>
      </w:r>
      <w:r w:rsidR="003A1174">
        <w:rPr>
          <w:rFonts w:ascii="Times New Roman" w:hAnsi="Times New Roman" w:cs="Times New Roman"/>
          <w:sz w:val="16"/>
          <w:szCs w:val="16"/>
        </w:rPr>
        <w:t>,</w:t>
      </w:r>
      <w:r w:rsidRPr="0011727B">
        <w:rPr>
          <w:rFonts w:ascii="Times New Roman" w:hAnsi="Times New Roman" w:cs="Times New Roman"/>
          <w:sz w:val="16"/>
          <w:szCs w:val="16"/>
        </w:rPr>
        <w:t xml:space="preserve"> ALT alanine amino transferase</w:t>
      </w:r>
      <w:r w:rsidR="003A1174">
        <w:rPr>
          <w:rFonts w:ascii="Times New Roman" w:hAnsi="Times New Roman" w:cs="Times New Roman"/>
          <w:sz w:val="16"/>
          <w:szCs w:val="16"/>
        </w:rPr>
        <w:t>,</w:t>
      </w:r>
      <w:r w:rsidRPr="0011727B">
        <w:rPr>
          <w:rFonts w:ascii="Times New Roman" w:hAnsi="Times New Roman" w:cs="Times New Roman"/>
          <w:sz w:val="16"/>
          <w:szCs w:val="16"/>
        </w:rPr>
        <w:t xml:space="preserve"> CK-MB creatine kinase isoenzyme-MB</w:t>
      </w:r>
      <w:r w:rsidR="003A1174">
        <w:rPr>
          <w:rFonts w:ascii="Times New Roman" w:hAnsi="Times New Roman" w:cs="Times New Roman"/>
          <w:sz w:val="16"/>
          <w:szCs w:val="16"/>
        </w:rPr>
        <w:t>,</w:t>
      </w:r>
      <w:r w:rsidRPr="0011727B">
        <w:rPr>
          <w:rFonts w:ascii="Times New Roman" w:hAnsi="Times New Roman" w:cs="Times New Roman"/>
          <w:sz w:val="16"/>
          <w:szCs w:val="16"/>
        </w:rPr>
        <w:t xml:space="preserve"> H</w:t>
      </w:r>
      <w:r w:rsidR="0011727B">
        <w:rPr>
          <w:rFonts w:ascii="Times New Roman" w:hAnsi="Times New Roman" w:cs="Times New Roman"/>
          <w:sz w:val="16"/>
          <w:szCs w:val="16"/>
        </w:rPr>
        <w:t>S</w:t>
      </w:r>
      <w:r w:rsidRPr="0011727B">
        <w:rPr>
          <w:rFonts w:ascii="Times New Roman" w:hAnsi="Times New Roman" w:cs="Times New Roman"/>
          <w:sz w:val="16"/>
          <w:szCs w:val="16"/>
        </w:rPr>
        <w:t>-CRP high sensitive c reaction protein</w:t>
      </w:r>
      <w:r w:rsidR="003A1174">
        <w:rPr>
          <w:rFonts w:ascii="Times New Roman" w:hAnsi="Times New Roman" w:cs="Times New Roman"/>
          <w:sz w:val="16"/>
          <w:szCs w:val="16"/>
        </w:rPr>
        <w:t>,</w:t>
      </w:r>
      <w:r w:rsidRPr="0011727B">
        <w:rPr>
          <w:rFonts w:ascii="Times New Roman" w:hAnsi="Times New Roman" w:cs="Times New Roman"/>
          <w:sz w:val="16"/>
          <w:szCs w:val="16"/>
        </w:rPr>
        <w:t xml:space="preserve"> LDH lactate dehydrogenase</w:t>
      </w:r>
      <w:r w:rsidR="003A1174">
        <w:rPr>
          <w:rFonts w:ascii="Times New Roman" w:hAnsi="Times New Roman" w:cs="Times New Roman"/>
          <w:sz w:val="16"/>
          <w:szCs w:val="16"/>
        </w:rPr>
        <w:t>,</w:t>
      </w:r>
      <w:r w:rsidRPr="0011727B">
        <w:rPr>
          <w:rFonts w:ascii="Times New Roman" w:hAnsi="Times New Roman" w:cs="Times New Roman"/>
          <w:sz w:val="16"/>
          <w:szCs w:val="16"/>
        </w:rPr>
        <w:t xml:space="preserve"> IL-6 interleukin-6</w:t>
      </w:r>
      <w:r w:rsidR="0011727B">
        <w:rPr>
          <w:rFonts w:ascii="Times New Roman" w:hAnsi="Times New Roman" w:cs="Times New Roman"/>
          <w:sz w:val="16"/>
          <w:szCs w:val="16"/>
        </w:rPr>
        <w:t>.</w:t>
      </w:r>
    </w:p>
    <w:p w:rsidR="003232F2" w:rsidRPr="003232F2" w:rsidRDefault="003232F2">
      <w:pPr>
        <w:jc w:val="left"/>
        <w:rPr>
          <w:rStyle w:val="15"/>
          <w:rFonts w:ascii="Times New Roman" w:hAnsi="Times New Roman" w:cs="Times New Roman"/>
          <w:b w:val="0"/>
          <w:sz w:val="16"/>
          <w:szCs w:val="16"/>
        </w:rPr>
      </w:pPr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  <w:vertAlign w:val="superscript"/>
        </w:rPr>
        <w:t>a</w:t>
      </w:r>
      <w:r w:rsidRPr="003232F2">
        <w:rPr>
          <w:rStyle w:val="fontstyle11"/>
          <w:rFonts w:ascii="Times New Roman" w:hAnsi="Times New Roman" w:cs="Times New Roman"/>
          <w:sz w:val="16"/>
          <w:szCs w:val="16"/>
        </w:rPr>
        <w:t>p</w:t>
      </w:r>
      <w:r w:rsidRPr="003232F2">
        <w:rPr>
          <w:rStyle w:val="fontstyle11"/>
          <w:rFonts w:ascii="Times New Roman" w:hAnsi="Times New Roman" w:cs="Times New Roman"/>
          <w:b/>
          <w:sz w:val="16"/>
          <w:szCs w:val="16"/>
        </w:rPr>
        <w:t xml:space="preserve"> </w:t>
      </w:r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</w:rPr>
        <w:t xml:space="preserve">values indicate differences </w:t>
      </w:r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</w:rPr>
        <w:t>among three age groups (19-39y, 40-59y and over 60y)</w:t>
      </w:r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</w:rPr>
        <w:t xml:space="preserve">. </w:t>
      </w:r>
      <w:r w:rsidRPr="003232F2">
        <w:rPr>
          <w:rStyle w:val="fontstyle11"/>
          <w:rFonts w:ascii="Times New Roman" w:hAnsi="Times New Roman" w:cs="Times New Roman"/>
          <w:sz w:val="16"/>
          <w:szCs w:val="16"/>
        </w:rPr>
        <w:t>p</w:t>
      </w:r>
      <w:r w:rsidRPr="003232F2">
        <w:rPr>
          <w:rStyle w:val="fontstyle11"/>
          <w:rFonts w:ascii="Times New Roman" w:hAnsi="Times New Roman" w:cs="Times New Roman"/>
          <w:b/>
          <w:sz w:val="16"/>
          <w:szCs w:val="16"/>
        </w:rPr>
        <w:t xml:space="preserve"> </w:t>
      </w:r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</w:rPr>
        <w:t>&lt; 0.05 was considered statistically significant.</w:t>
      </w:r>
    </w:p>
    <w:p w:rsidR="008530E2" w:rsidRDefault="008530E2">
      <w:pPr>
        <w:widowControl/>
        <w:jc w:val="left"/>
        <w:rPr>
          <w:rStyle w:val="fontstyle01"/>
          <w:rFonts w:ascii="Times New Roman" w:hAnsi="Times New Roman" w:cs="Times New Roman"/>
          <w:color w:val="auto"/>
        </w:rPr>
      </w:pPr>
    </w:p>
    <w:p w:rsidR="008530E2" w:rsidRDefault="0058208B">
      <w:pPr>
        <w:widowControl/>
        <w:jc w:val="left"/>
        <w:rPr>
          <w:rStyle w:val="fontstyle01"/>
          <w:rFonts w:ascii="Times New Roman" w:hAnsi="Times New Roman" w:cs="Times New Roman"/>
          <w:color w:val="auto"/>
        </w:rPr>
      </w:pPr>
      <w:r>
        <w:rPr>
          <w:rStyle w:val="fontstyle01"/>
          <w:rFonts w:ascii="Times New Roman" w:hAnsi="Times New Roman" w:cs="Times New Roman"/>
          <w:color w:val="auto"/>
        </w:rPr>
        <w:br w:type="page"/>
      </w:r>
    </w:p>
    <w:p w:rsidR="008530E2" w:rsidRPr="009F1317" w:rsidRDefault="0058208B">
      <w:pPr>
        <w:jc w:val="left"/>
        <w:rPr>
          <w:rStyle w:val="fontstyle01"/>
          <w:rFonts w:ascii="Times New Roman" w:hAnsi="Times New Roman" w:cs="Times New Roman"/>
          <w:color w:val="000000" w:themeColor="text1"/>
          <w:sz w:val="20"/>
          <w:szCs w:val="20"/>
        </w:rPr>
      </w:pPr>
      <w:r w:rsidRPr="009F1317">
        <w:rPr>
          <w:rStyle w:val="fontstyle01"/>
          <w:rFonts w:ascii="Times New Roman" w:hAnsi="Times New Roman" w:cs="Times New Roman" w:hint="eastAsia"/>
          <w:color w:val="auto"/>
          <w:sz w:val="20"/>
          <w:szCs w:val="20"/>
        </w:rPr>
        <w:lastRenderedPageBreak/>
        <w:t xml:space="preserve">Table S2 </w:t>
      </w:r>
      <w:r w:rsidRPr="009F1317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 xml:space="preserve">The </w:t>
      </w:r>
      <w:r w:rsidRPr="009F1317">
        <w:rPr>
          <w:rFonts w:ascii="Times New Roman" w:hAnsi="Times New Roman" w:cs="Times New Roman"/>
          <w:b/>
          <w:sz w:val="20"/>
          <w:szCs w:val="20"/>
        </w:rPr>
        <w:t>complications and outcomes of</w:t>
      </w:r>
      <w:r w:rsidRPr="009F1317">
        <w:rPr>
          <w:rStyle w:val="fontstyle01"/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Pr="009F1317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COVID</w:t>
      </w:r>
      <w:r w:rsidRPr="009F1317">
        <w:rPr>
          <w:rFonts w:ascii="Times New Roman" w:eastAsia="宋体" w:hAnsi="Times New Roman" w:cs="Times New Roman"/>
          <w:b/>
          <w:kern w:val="0"/>
          <w:sz w:val="20"/>
          <w:szCs w:val="20"/>
        </w:rPr>
        <w:t>-</w:t>
      </w:r>
      <w:r w:rsidRPr="009F1317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19</w:t>
      </w:r>
      <w:r w:rsidRPr="009F1317">
        <w:rPr>
          <w:rFonts w:ascii="Times New Roman" w:eastAsia="宋体" w:hAnsi="Times New Roman" w:cs="Times New Roman"/>
          <w:b/>
          <w:kern w:val="0"/>
          <w:sz w:val="20"/>
          <w:szCs w:val="20"/>
        </w:rPr>
        <w:t> in </w:t>
      </w:r>
      <w:r w:rsidRPr="009F1317"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all </w:t>
      </w:r>
      <w:r w:rsidR="009311E6">
        <w:rPr>
          <w:rFonts w:ascii="Times New Roman" w:hAnsi="Times New Roman" w:cs="Times New Roman"/>
          <w:b/>
          <w:kern w:val="0"/>
          <w:sz w:val="20"/>
          <w:szCs w:val="20"/>
        </w:rPr>
        <w:t xml:space="preserve">adult </w:t>
      </w:r>
      <w:r w:rsidRPr="009F1317">
        <w:rPr>
          <w:rFonts w:ascii="Times New Roman" w:hAnsi="Times New Roman" w:cs="Times New Roman" w:hint="eastAsia"/>
          <w:b/>
          <w:kern w:val="0"/>
          <w:sz w:val="20"/>
          <w:szCs w:val="20"/>
        </w:rPr>
        <w:t>patients</w:t>
      </w:r>
      <w:r w:rsidRPr="009F1317">
        <w:rPr>
          <w:rFonts w:ascii="Times New Roman" w:hAnsi="Times New Roman" w:cs="Times New Roman"/>
          <w:b/>
          <w:kern w:val="0"/>
          <w:sz w:val="20"/>
          <w:szCs w:val="20"/>
        </w:rPr>
        <w:t xml:space="preserve"> and</w:t>
      </w:r>
      <w:r w:rsidRPr="009F1317"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</w:t>
      </w:r>
      <w:r w:rsidRPr="009F1317">
        <w:rPr>
          <w:rFonts w:ascii="Times New Roman" w:hAnsi="Times New Roman" w:cs="Times New Roman"/>
          <w:b/>
          <w:kern w:val="0"/>
          <w:sz w:val="20"/>
          <w:szCs w:val="20"/>
        </w:rPr>
        <w:t>middle-aged</w:t>
      </w:r>
      <w:r w:rsidRPr="009F1317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 xml:space="preserve"> </w:t>
      </w:r>
      <w:r w:rsidR="009311E6">
        <w:rPr>
          <w:rFonts w:ascii="Times New Roman" w:hAnsi="Times New Roman" w:cs="Times New Roman" w:hint="eastAsia"/>
          <w:b/>
          <w:kern w:val="0"/>
          <w:sz w:val="20"/>
          <w:szCs w:val="20"/>
        </w:rPr>
        <w:t>(40-</w:t>
      </w:r>
      <w:r w:rsidR="009311E6">
        <w:rPr>
          <w:rFonts w:ascii="Times New Roman" w:hAnsi="Times New Roman" w:cs="Times New Roman"/>
          <w:b/>
          <w:kern w:val="0"/>
          <w:sz w:val="20"/>
          <w:szCs w:val="20"/>
        </w:rPr>
        <w:t xml:space="preserve">59 </w:t>
      </w:r>
      <w:r w:rsidRPr="009F1317">
        <w:rPr>
          <w:rFonts w:ascii="Times New Roman" w:hAnsi="Times New Roman" w:cs="Times New Roman" w:hint="eastAsia"/>
          <w:b/>
          <w:kern w:val="0"/>
          <w:sz w:val="20"/>
          <w:szCs w:val="20"/>
        </w:rPr>
        <w:t>years)</w:t>
      </w:r>
      <w:r w:rsidRPr="009F1317">
        <w:rPr>
          <w:rFonts w:ascii="Times New Roman" w:hAnsi="Times New Roman" w:cs="Times New Roman"/>
          <w:b/>
          <w:kern w:val="0"/>
          <w:sz w:val="20"/>
          <w:szCs w:val="20"/>
        </w:rPr>
        <w:t xml:space="preserve"> </w:t>
      </w:r>
      <w:r w:rsidRPr="009F1317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patients</w:t>
      </w:r>
      <w:r w:rsidRPr="009F1317">
        <w:rPr>
          <w:rFonts w:ascii="Times New Roman" w:eastAsia="宋体" w:hAnsi="Times New Roman" w:cs="Times New Roman"/>
          <w:b/>
          <w:kern w:val="0"/>
          <w:sz w:val="20"/>
          <w:szCs w:val="20"/>
        </w:rPr>
        <w:t> </w:t>
      </w:r>
      <w:r w:rsidRPr="009F1317">
        <w:rPr>
          <w:rFonts w:ascii="Times New Roman" w:hAnsi="Times New Roman" w:cs="Times New Roman"/>
          <w:b/>
          <w:kern w:val="0"/>
          <w:sz w:val="20"/>
          <w:szCs w:val="20"/>
        </w:rPr>
        <w:t xml:space="preserve">without </w:t>
      </w:r>
      <w:r w:rsidR="00BF3CD2" w:rsidRPr="006C1B83">
        <w:rPr>
          <w:rFonts w:ascii="TimesNewRomanPS-BoldMT" w:hAnsi="TimesNewRomanPS-BoldMT"/>
          <w:b/>
          <w:bCs/>
          <w:sz w:val="20"/>
          <w:szCs w:val="20"/>
        </w:rPr>
        <w:t>comorbidities</w:t>
      </w:r>
      <w:r w:rsidR="009F1317" w:rsidRPr="009F1317">
        <w:rPr>
          <w:rFonts w:ascii="Times New Roman" w:hAnsi="Times New Roman" w:cs="Times New Roman" w:hint="eastAsia"/>
          <w:b/>
          <w:kern w:val="0"/>
          <w:sz w:val="20"/>
          <w:szCs w:val="20"/>
        </w:rPr>
        <w:t>.</w:t>
      </w:r>
      <w:r w:rsidRPr="009F1317"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</w:t>
      </w:r>
      <w:r w:rsidRPr="009F1317">
        <w:rPr>
          <w:rStyle w:val="fontstyle01"/>
          <w:rFonts w:ascii="Times New Roman" w:hAnsi="Times New Roman" w:cs="Times New Roman"/>
          <w:color w:val="000000" w:themeColor="text1"/>
          <w:sz w:val="20"/>
          <w:szCs w:val="20"/>
        </w:rPr>
        <w:t>Values are numbers (percentages)</w:t>
      </w:r>
      <w:r w:rsidRPr="009F1317">
        <w:rPr>
          <w:rStyle w:val="fontstyle01"/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unless stated otherwise</w:t>
      </w:r>
      <w:r w:rsidR="009F1317" w:rsidRPr="009F1317">
        <w:rPr>
          <w:rStyle w:val="fontstyle01"/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1701"/>
        <w:gridCol w:w="992"/>
      </w:tblGrid>
      <w:tr w:rsidR="008530E2" w:rsidRPr="009F1317" w:rsidTr="004B61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4" w:space="0" w:color="auto"/>
            </w:tcBorders>
          </w:tcPr>
          <w:p w:rsidR="008530E2" w:rsidRPr="009F1317" w:rsidRDefault="0058208B">
            <w:pPr>
              <w:jc w:val="left"/>
              <w:rPr>
                <w:rStyle w:val="fontstyle01"/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9F1317">
              <w:rPr>
                <w:rFonts w:ascii="Times New Roman" w:eastAsiaTheme="majorEastAsia" w:hAnsi="Times New Roman" w:cs="Times New Roman"/>
                <w:color w:val="auto"/>
                <w:sz w:val="16"/>
                <w:szCs w:val="16"/>
              </w:rPr>
              <w:t>Characteristics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530E2" w:rsidRPr="009F1317" w:rsidRDefault="0058208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sz w:val="16"/>
                <w:szCs w:val="16"/>
              </w:rPr>
            </w:pPr>
            <w:r w:rsidRPr="009F1317">
              <w:rPr>
                <w:rFonts w:ascii="Times New Roman" w:eastAsiaTheme="majorEastAsia" w:hAnsi="Times New Roman" w:cs="Times New Roman"/>
                <w:b/>
                <w:sz w:val="16"/>
                <w:szCs w:val="16"/>
              </w:rPr>
              <w:t>Middle-aged patients without comorbidities</w:t>
            </w:r>
          </w:p>
          <w:p w:rsidR="008530E2" w:rsidRPr="009F1317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sz w:val="16"/>
                <w:szCs w:val="16"/>
              </w:rPr>
            </w:pPr>
            <w:r w:rsidRPr="009F1317">
              <w:rPr>
                <w:rFonts w:ascii="Times New Roman" w:eastAsiaTheme="majorEastAsia" w:hAnsi="Times New Roman" w:cs="Times New Roman"/>
                <w:b/>
                <w:sz w:val="16"/>
                <w:szCs w:val="16"/>
              </w:rPr>
              <w:t>N=119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30E2" w:rsidRPr="009F1317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sz w:val="16"/>
                <w:szCs w:val="16"/>
              </w:rPr>
            </w:pPr>
            <w:r w:rsidRPr="009F1317">
              <w:rPr>
                <w:rFonts w:ascii="Times New Roman" w:eastAsiaTheme="majorEastAsia" w:hAnsi="Times New Roman" w:cs="Times New Roman"/>
                <w:b/>
                <w:sz w:val="16"/>
                <w:szCs w:val="16"/>
              </w:rPr>
              <w:t xml:space="preserve">All </w:t>
            </w:r>
            <w:r w:rsidR="00B61D63">
              <w:rPr>
                <w:rFonts w:ascii="Times New Roman" w:eastAsiaTheme="majorEastAsia" w:hAnsi="Times New Roman" w:cs="Times New Roman"/>
                <w:b/>
                <w:sz w:val="16"/>
                <w:szCs w:val="16"/>
              </w:rPr>
              <w:t xml:space="preserve">adult </w:t>
            </w:r>
            <w:r w:rsidRPr="009F1317">
              <w:rPr>
                <w:rFonts w:ascii="Times New Roman" w:eastAsiaTheme="majorEastAsia" w:hAnsi="Times New Roman" w:cs="Times New Roman"/>
                <w:b/>
                <w:sz w:val="16"/>
                <w:szCs w:val="16"/>
              </w:rPr>
              <w:t>patients</w:t>
            </w:r>
          </w:p>
          <w:p w:rsidR="008530E2" w:rsidRPr="009F1317" w:rsidRDefault="00582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sz w:val="16"/>
                <w:szCs w:val="16"/>
              </w:rPr>
            </w:pPr>
            <w:r w:rsidRPr="009F1317">
              <w:rPr>
                <w:rFonts w:ascii="Times New Roman" w:eastAsiaTheme="majorEastAsia" w:hAnsi="Times New Roman" w:cs="Times New Roman"/>
                <w:b/>
                <w:sz w:val="16"/>
                <w:szCs w:val="16"/>
              </w:rPr>
              <w:t>N=413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530E2" w:rsidRPr="009F1317" w:rsidRDefault="003232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sz w:val="16"/>
                <w:szCs w:val="16"/>
              </w:rPr>
            </w:pPr>
            <w:r w:rsidRPr="003232F2">
              <w:rPr>
                <w:rFonts w:ascii="Times New Roman" w:eastAsiaTheme="majorEastAsia" w:hAnsi="Times New Roman" w:cs="Times New Roman"/>
                <w:b/>
                <w:i/>
                <w:sz w:val="16"/>
                <w:szCs w:val="16"/>
              </w:rPr>
              <w:t>p</w:t>
            </w:r>
            <w:r w:rsidR="0058208B" w:rsidRPr="009F1317">
              <w:rPr>
                <w:rFonts w:ascii="Times New Roman" w:eastAsiaTheme="majorEastAsia" w:hAnsi="Times New Roman" w:cs="Times New Roman"/>
                <w:b/>
                <w:sz w:val="16"/>
                <w:szCs w:val="16"/>
              </w:rPr>
              <w:t xml:space="preserve"> Value</w:t>
            </w:r>
            <w:r w:rsidRPr="003232F2">
              <w:rPr>
                <w:rFonts w:ascii="Times New Roman" w:eastAsiaTheme="majorEastAsia" w:hAnsi="Times New Roman" w:cs="Times New Roman"/>
                <w:b/>
                <w:sz w:val="16"/>
                <w:szCs w:val="16"/>
                <w:vertAlign w:val="superscript"/>
              </w:rPr>
              <w:t>a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BFBFBF" w:themeFill="background1" w:themeFillShade="BF"/>
          </w:tcPr>
          <w:p w:rsidR="008530E2" w:rsidRPr="009F1317" w:rsidRDefault="0058208B">
            <w:pPr>
              <w:rPr>
                <w:rStyle w:val="fontstyle01"/>
                <w:rFonts w:ascii="Times New Roman" w:hAnsi="Times New Roman" w:cs="Times New Roman"/>
                <w:bCs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 xml:space="preserve">ARDS 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26(21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8)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102(24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7)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543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:rsidR="008530E2" w:rsidRPr="009F1317" w:rsidRDefault="0058208B">
            <w:pPr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  <w:t>Sepsis shock</w:t>
            </w:r>
          </w:p>
        </w:tc>
        <w:tc>
          <w:tcPr>
            <w:tcW w:w="2410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5(4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2)</w:t>
            </w:r>
          </w:p>
        </w:tc>
        <w:tc>
          <w:tcPr>
            <w:tcW w:w="1701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34(8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2)</w:t>
            </w:r>
          </w:p>
        </w:tc>
        <w:tc>
          <w:tcPr>
            <w:tcW w:w="992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019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BFBFBF" w:themeFill="background1" w:themeFillShade="BF"/>
          </w:tcPr>
          <w:p w:rsidR="008530E2" w:rsidRPr="009F1317" w:rsidRDefault="0058208B">
            <w:pPr>
              <w:rPr>
                <w:rStyle w:val="fontstyle01"/>
                <w:rFonts w:ascii="Times New Roman" w:hAnsi="Times New Roman" w:cs="Times New Roman"/>
                <w:bCs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Cs/>
                <w:sz w:val="16"/>
                <w:szCs w:val="16"/>
              </w:rPr>
              <w:t>Acute liver injury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16(13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4)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51(12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3)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709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:rsidR="008530E2" w:rsidRPr="009F1317" w:rsidRDefault="0058208B">
            <w:pPr>
              <w:rPr>
                <w:rStyle w:val="fontstyle01"/>
                <w:rFonts w:ascii="Times New Roman" w:hAnsi="Times New Roman" w:cs="Times New Roman"/>
                <w:bCs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Acute kidney injury</w:t>
            </w:r>
          </w:p>
        </w:tc>
        <w:tc>
          <w:tcPr>
            <w:tcW w:w="2410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3(2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5)</w:t>
            </w:r>
          </w:p>
        </w:tc>
        <w:tc>
          <w:tcPr>
            <w:tcW w:w="1701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28(6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8)</w:t>
            </w:r>
          </w:p>
        </w:tc>
        <w:tc>
          <w:tcPr>
            <w:tcW w:w="992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104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BFBFBF" w:themeFill="background1" w:themeFillShade="BF"/>
          </w:tcPr>
          <w:p w:rsidR="008530E2" w:rsidRPr="009F1317" w:rsidRDefault="0058208B">
            <w:pPr>
              <w:rPr>
                <w:rStyle w:val="fontstyle01"/>
                <w:rFonts w:ascii="Times New Roman" w:hAnsi="Times New Roman" w:cs="Times New Roman"/>
                <w:bCs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 xml:space="preserve">Acute cardiac injury 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4(3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4)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43(10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4)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012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530E2" w:rsidRPr="009F1317" w:rsidRDefault="0058208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Time from symptom onset to ARDS (IQR),d</w:t>
            </w:r>
          </w:p>
        </w:tc>
        <w:tc>
          <w:tcPr>
            <w:tcW w:w="2410" w:type="dxa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9(7,12)</w:t>
            </w:r>
          </w:p>
        </w:tc>
        <w:tc>
          <w:tcPr>
            <w:tcW w:w="1701" w:type="dxa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12(8,16)</w:t>
            </w:r>
          </w:p>
        </w:tc>
        <w:tc>
          <w:tcPr>
            <w:tcW w:w="992" w:type="dxa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103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rPr>
                <w:rStyle w:val="fontstyle01"/>
                <w:rFonts w:ascii="Times New Roman" w:hAnsi="Times New Roman" w:cs="Times New Roman"/>
                <w:bCs/>
                <w:sz w:val="16"/>
                <w:szCs w:val="16"/>
              </w:rPr>
            </w:pP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Time from symptom onset to sepsis shock,</w:t>
            </w:r>
            <w:r w:rsidRPr="009F131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median </w:t>
            </w: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(IQR),d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12(9,20)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18(14,23)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529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:rsidR="008530E2" w:rsidRPr="009F1317" w:rsidRDefault="0058208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Time from symptom onset to acute liver injury, </w:t>
            </w:r>
            <w:r w:rsidRPr="009F131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median</w:t>
            </w: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(IQR),d</w:t>
            </w:r>
          </w:p>
        </w:tc>
        <w:tc>
          <w:tcPr>
            <w:tcW w:w="2410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12(9,14)</w:t>
            </w:r>
          </w:p>
        </w:tc>
        <w:tc>
          <w:tcPr>
            <w:tcW w:w="1701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16(11,21)</w:t>
            </w:r>
          </w:p>
        </w:tc>
        <w:tc>
          <w:tcPr>
            <w:tcW w:w="992" w:type="dxa"/>
            <w:shd w:val="clear" w:color="auto" w:fill="auto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073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C0C0C0" w:themeFill="text1" w:themeFillTint="3F"/>
          </w:tcPr>
          <w:p w:rsidR="008530E2" w:rsidRPr="009F1317" w:rsidRDefault="0058208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Time from symptom onset to </w:t>
            </w:r>
            <w:r w:rsidRPr="009F1317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acute kidney injury</w:t>
            </w: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,</w:t>
            </w:r>
            <w:r w:rsidRPr="009F131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median </w:t>
            </w: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(IQR),d</w:t>
            </w:r>
          </w:p>
        </w:tc>
        <w:tc>
          <w:tcPr>
            <w:tcW w:w="2410" w:type="dxa"/>
            <w:shd w:val="clear" w:color="auto" w:fill="C0C0C0" w:themeFill="text1" w:themeFillTint="3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11(10,16)</w:t>
            </w:r>
          </w:p>
        </w:tc>
        <w:tc>
          <w:tcPr>
            <w:tcW w:w="1701" w:type="dxa"/>
            <w:shd w:val="clear" w:color="auto" w:fill="C0C0C0" w:themeFill="text1" w:themeFillTint="3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19(13,24)</w:t>
            </w:r>
          </w:p>
        </w:tc>
        <w:tc>
          <w:tcPr>
            <w:tcW w:w="992" w:type="dxa"/>
            <w:shd w:val="clear" w:color="auto" w:fill="C0C0C0" w:themeFill="text1" w:themeFillTint="3F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239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530E2" w:rsidRPr="009F1317" w:rsidRDefault="0058208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Time from symptom onset to acute cardiac injury,</w:t>
            </w:r>
            <w:r w:rsidRPr="009F131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median </w:t>
            </w: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(IQR),d</w:t>
            </w:r>
          </w:p>
        </w:tc>
        <w:tc>
          <w:tcPr>
            <w:tcW w:w="2410" w:type="dxa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15(13,17)</w:t>
            </w:r>
          </w:p>
        </w:tc>
        <w:tc>
          <w:tcPr>
            <w:tcW w:w="1701" w:type="dxa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16(10,22)</w:t>
            </w:r>
          </w:p>
        </w:tc>
        <w:tc>
          <w:tcPr>
            <w:tcW w:w="992" w:type="dxa"/>
          </w:tcPr>
          <w:p w:rsidR="008530E2" w:rsidRPr="009F1317" w:rsidRDefault="0058208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718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Time from symptom onset to discharge or death,</w:t>
            </w:r>
            <w:r w:rsidRPr="009F131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median </w:t>
            </w: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(IQR),d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22(19,26)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25(22,30)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732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:rsidR="008530E2" w:rsidRPr="009F1317" w:rsidRDefault="0058208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9F1317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2410" w:type="dxa"/>
            <w:shd w:val="clear" w:color="auto" w:fill="auto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18(15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1)</w:t>
            </w:r>
          </w:p>
        </w:tc>
        <w:tc>
          <w:tcPr>
            <w:tcW w:w="1701" w:type="dxa"/>
            <w:shd w:val="clear" w:color="auto" w:fill="auto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91(22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0)</w:t>
            </w:r>
          </w:p>
        </w:tc>
        <w:tc>
          <w:tcPr>
            <w:tcW w:w="992" w:type="dxa"/>
            <w:shd w:val="clear" w:color="auto" w:fill="auto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8530E2" w:rsidRPr="009F1317" w:rsidTr="004B6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bottom w:val="single" w:sz="8" w:space="0" w:color="000000" w:themeColor="text1"/>
            </w:tcBorders>
            <w:shd w:val="clear" w:color="auto" w:fill="BFBFBF" w:themeFill="background1" w:themeFillShade="BF"/>
          </w:tcPr>
          <w:p w:rsidR="008530E2" w:rsidRPr="009F1317" w:rsidRDefault="0058208B">
            <w:pPr>
              <w:jc w:val="left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9F1317">
              <w:rPr>
                <w:rFonts w:ascii="Times New Roman" w:hAnsi="Times New Roman" w:cs="Times New Roman"/>
                <w:b w:val="0"/>
                <w:sz w:val="16"/>
                <w:szCs w:val="16"/>
              </w:rPr>
              <w:t>Death</w:t>
            </w:r>
          </w:p>
        </w:tc>
        <w:tc>
          <w:tcPr>
            <w:tcW w:w="2410" w:type="dxa"/>
            <w:tcBorders>
              <w:bottom w:val="single" w:sz="8" w:space="0" w:color="000000" w:themeColor="text1"/>
            </w:tcBorders>
            <w:shd w:val="clear" w:color="auto" w:fill="BFBFBF" w:themeFill="background1" w:themeFillShade="BF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5(4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2)</w:t>
            </w:r>
          </w:p>
        </w:tc>
        <w:tc>
          <w:tcPr>
            <w:tcW w:w="1701" w:type="dxa"/>
            <w:tcBorders>
              <w:bottom w:val="single" w:sz="8" w:space="0" w:color="000000" w:themeColor="text1"/>
            </w:tcBorders>
            <w:shd w:val="clear" w:color="auto" w:fill="BFBFBF" w:themeFill="background1" w:themeFillShade="BF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31(7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5)</w:t>
            </w:r>
          </w:p>
        </w:tc>
        <w:tc>
          <w:tcPr>
            <w:tcW w:w="992" w:type="dxa"/>
            <w:tcBorders>
              <w:bottom w:val="single" w:sz="8" w:space="0" w:color="000000" w:themeColor="text1"/>
            </w:tcBorders>
            <w:shd w:val="clear" w:color="auto" w:fill="BFBFBF" w:themeFill="background1" w:themeFillShade="BF"/>
          </w:tcPr>
          <w:p w:rsidR="008530E2" w:rsidRPr="009F1317" w:rsidRDefault="00582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="009311E6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.</w:t>
            </w:r>
            <w:r w:rsidRPr="009F1317">
              <w:rPr>
                <w:rStyle w:val="fontstyle01"/>
                <w:rFonts w:ascii="Times New Roman" w:hAnsi="Times New Roman" w:cs="Times New Roman"/>
                <w:b w:val="0"/>
                <w:sz w:val="16"/>
                <w:szCs w:val="16"/>
              </w:rPr>
              <w:t>003</w:t>
            </w:r>
          </w:p>
        </w:tc>
      </w:tr>
    </w:tbl>
    <w:p w:rsidR="008530E2" w:rsidRPr="004E7AE1" w:rsidRDefault="0058208B">
      <w:pPr>
        <w:jc w:val="left"/>
        <w:rPr>
          <w:sz w:val="16"/>
          <w:szCs w:val="16"/>
        </w:rPr>
      </w:pPr>
      <w:r w:rsidRPr="004E7AE1">
        <w:rPr>
          <w:rStyle w:val="fontstyle01"/>
          <w:rFonts w:ascii="Times New Roman" w:hAnsi="Times New Roman" w:cs="Times New Roman"/>
          <w:b w:val="0"/>
          <w:sz w:val="16"/>
          <w:szCs w:val="16"/>
        </w:rPr>
        <w:t>COVID-19</w:t>
      </w:r>
      <w:r w:rsidR="003232F2" w:rsidRPr="004E7AE1">
        <w:rPr>
          <w:rStyle w:val="fontstyle01"/>
          <w:rFonts w:ascii="Times New Roman" w:hAnsi="Times New Roman" w:cs="Times New Roman"/>
          <w:b w:val="0"/>
          <w:sz w:val="16"/>
          <w:szCs w:val="16"/>
        </w:rPr>
        <w:t xml:space="preserve"> coronavirus disease 2019,</w:t>
      </w:r>
      <w:r w:rsidRPr="004E7AE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E7AE1">
        <w:rPr>
          <w:rStyle w:val="fontstyle01"/>
          <w:rFonts w:ascii="Times New Roman" w:hAnsi="Times New Roman" w:cs="Times New Roman"/>
          <w:b w:val="0"/>
          <w:bCs w:val="0"/>
          <w:sz w:val="16"/>
          <w:szCs w:val="16"/>
        </w:rPr>
        <w:t>ARDS</w:t>
      </w:r>
      <w:r w:rsidR="009F1317" w:rsidRPr="004E7AE1">
        <w:rPr>
          <w:rStyle w:val="fontstyle01"/>
          <w:rFonts w:ascii="Times New Roman" w:hAnsi="Times New Roman" w:cs="Times New Roman"/>
          <w:b w:val="0"/>
          <w:bCs w:val="0"/>
          <w:sz w:val="16"/>
          <w:szCs w:val="16"/>
        </w:rPr>
        <w:t xml:space="preserve"> </w:t>
      </w:r>
      <w:r w:rsidRPr="004E7AE1">
        <w:rPr>
          <w:rFonts w:ascii="Times New Roman" w:eastAsia="宋体" w:hAnsi="Times New Roman" w:cs="Times New Roman"/>
          <w:sz w:val="16"/>
          <w:szCs w:val="16"/>
          <w:shd w:val="clear" w:color="auto" w:fill="FFFFFF"/>
        </w:rPr>
        <w:t>acute respiratory distress syndrome</w:t>
      </w:r>
      <w:r w:rsidR="003232F2" w:rsidRPr="004E7AE1">
        <w:rPr>
          <w:rFonts w:ascii="Times New Roman" w:eastAsia="宋体" w:hAnsi="Times New Roman" w:cs="Times New Roman"/>
          <w:sz w:val="16"/>
          <w:szCs w:val="16"/>
          <w:shd w:val="clear" w:color="auto" w:fill="FFFFFF"/>
        </w:rPr>
        <w:t>,</w:t>
      </w:r>
      <w:r w:rsidRPr="004E7AE1">
        <w:rPr>
          <w:rStyle w:val="fontstyle01"/>
          <w:rFonts w:ascii="Times New Roman" w:hAnsi="Times New Roman" w:cs="Times New Roman" w:hint="eastAsia"/>
          <w:bCs w:val="0"/>
          <w:sz w:val="16"/>
          <w:szCs w:val="16"/>
        </w:rPr>
        <w:t xml:space="preserve"> </w:t>
      </w:r>
      <w:r w:rsidRPr="004E7AE1">
        <w:rPr>
          <w:rFonts w:ascii="Times New Roman" w:hAnsi="Times New Roman" w:cs="Times New Roman"/>
          <w:bCs/>
          <w:sz w:val="16"/>
          <w:szCs w:val="16"/>
        </w:rPr>
        <w:t>IQR i</w:t>
      </w:r>
      <w:r w:rsidRPr="004E7AE1">
        <w:rPr>
          <w:rFonts w:ascii="Times New Roman" w:hAnsi="Times New Roman" w:cs="Times New Roman"/>
          <w:sz w:val="16"/>
          <w:szCs w:val="16"/>
        </w:rPr>
        <w:t>nter quartile range</w:t>
      </w:r>
      <w:r w:rsidR="009F1317" w:rsidRPr="004E7AE1">
        <w:rPr>
          <w:rFonts w:ascii="Times New Roman" w:hAnsi="Times New Roman" w:cs="Times New Roman" w:hint="eastAsia"/>
          <w:sz w:val="16"/>
          <w:szCs w:val="16"/>
        </w:rPr>
        <w:t>.</w:t>
      </w:r>
    </w:p>
    <w:p w:rsidR="008530E2" w:rsidRPr="004E7AE1" w:rsidRDefault="004E7AE1"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  <w:vertAlign w:val="superscript"/>
        </w:rPr>
        <w:t>a</w:t>
      </w:r>
      <w:r w:rsidRPr="003232F2">
        <w:rPr>
          <w:rStyle w:val="fontstyle11"/>
          <w:rFonts w:ascii="Times New Roman" w:hAnsi="Times New Roman" w:cs="Times New Roman"/>
          <w:sz w:val="16"/>
          <w:szCs w:val="16"/>
        </w:rPr>
        <w:t>p</w:t>
      </w:r>
      <w:r w:rsidRPr="003232F2">
        <w:rPr>
          <w:rStyle w:val="fontstyle11"/>
          <w:rFonts w:ascii="Times New Roman" w:hAnsi="Times New Roman" w:cs="Times New Roman"/>
          <w:b/>
          <w:sz w:val="16"/>
          <w:szCs w:val="16"/>
        </w:rPr>
        <w:t xml:space="preserve"> </w:t>
      </w:r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</w:rPr>
        <w:t xml:space="preserve">values indicate differences </w:t>
      </w:r>
      <w:r>
        <w:rPr>
          <w:rStyle w:val="fontstyle01"/>
          <w:rFonts w:ascii="Times New Roman" w:hAnsi="Times New Roman" w:cs="Times New Roman"/>
          <w:b w:val="0"/>
          <w:sz w:val="16"/>
          <w:szCs w:val="16"/>
        </w:rPr>
        <w:t xml:space="preserve">between middle-aged </w:t>
      </w:r>
      <w:r w:rsidRPr="004E7AE1">
        <w:rPr>
          <w:rFonts w:ascii="Times New Roman" w:eastAsiaTheme="majorEastAsia" w:hAnsi="Times New Roman" w:cs="Times New Roman"/>
          <w:sz w:val="16"/>
          <w:szCs w:val="16"/>
        </w:rPr>
        <w:t>patients without comorbidities</w:t>
      </w:r>
      <w:r w:rsidRPr="004E7AE1">
        <w:rPr>
          <w:rFonts w:ascii="Times New Roman" w:eastAsiaTheme="majorEastAsia" w:hAnsi="Times New Roman" w:cs="Times New Roman"/>
          <w:sz w:val="16"/>
          <w:szCs w:val="16"/>
        </w:rPr>
        <w:t xml:space="preserve"> and all adult patients</w:t>
      </w:r>
      <w:r w:rsidRPr="004E7AE1">
        <w:rPr>
          <w:rStyle w:val="fontstyle01"/>
          <w:rFonts w:ascii="Times New Roman" w:hAnsi="Times New Roman" w:cs="Times New Roman"/>
          <w:b w:val="0"/>
          <w:sz w:val="16"/>
          <w:szCs w:val="16"/>
        </w:rPr>
        <w:t>.</w:t>
      </w:r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</w:rPr>
        <w:t xml:space="preserve"> </w:t>
      </w:r>
      <w:r w:rsidRPr="003232F2">
        <w:rPr>
          <w:rStyle w:val="fontstyle11"/>
          <w:rFonts w:ascii="Times New Roman" w:hAnsi="Times New Roman" w:cs="Times New Roman"/>
          <w:sz w:val="16"/>
          <w:szCs w:val="16"/>
        </w:rPr>
        <w:t>p</w:t>
      </w:r>
      <w:r w:rsidRPr="003232F2">
        <w:rPr>
          <w:rStyle w:val="fontstyle11"/>
          <w:rFonts w:ascii="Times New Roman" w:hAnsi="Times New Roman" w:cs="Times New Roman"/>
          <w:b/>
          <w:sz w:val="16"/>
          <w:szCs w:val="16"/>
        </w:rPr>
        <w:t xml:space="preserve"> </w:t>
      </w:r>
      <w:r w:rsidRPr="003232F2">
        <w:rPr>
          <w:rStyle w:val="fontstyle01"/>
          <w:rFonts w:ascii="Times New Roman" w:hAnsi="Times New Roman" w:cs="Times New Roman"/>
          <w:b w:val="0"/>
          <w:sz w:val="16"/>
          <w:szCs w:val="16"/>
        </w:rPr>
        <w:t>&lt; 0.05 was considered statistically significant.</w:t>
      </w:r>
      <w:bookmarkStart w:id="0" w:name="_GoBack"/>
      <w:bookmarkEnd w:id="0"/>
    </w:p>
    <w:sectPr w:rsidR="008530E2" w:rsidRPr="004E7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2E" w:rsidRDefault="00B37D2E" w:rsidP="003E0405">
      <w:r>
        <w:separator/>
      </w:r>
    </w:p>
  </w:endnote>
  <w:endnote w:type="continuationSeparator" w:id="0">
    <w:p w:rsidR="00B37D2E" w:rsidRDefault="00B37D2E" w:rsidP="003E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2E" w:rsidRDefault="00B37D2E" w:rsidP="003E0405">
      <w:r>
        <w:separator/>
      </w:r>
    </w:p>
  </w:footnote>
  <w:footnote w:type="continuationSeparator" w:id="0">
    <w:p w:rsidR="00B37D2E" w:rsidRDefault="00B37D2E" w:rsidP="003E0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480D3"/>
    <w:multiLevelType w:val="singleLevel"/>
    <w:tmpl w:val="3E7480D3"/>
    <w:lvl w:ilvl="0">
      <w:start w:val="4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76"/>
    <w:rsid w:val="00027E0C"/>
    <w:rsid w:val="00072DB3"/>
    <w:rsid w:val="001069E4"/>
    <w:rsid w:val="0011727B"/>
    <w:rsid w:val="003222BE"/>
    <w:rsid w:val="003232F2"/>
    <w:rsid w:val="00383C78"/>
    <w:rsid w:val="003A1174"/>
    <w:rsid w:val="003E0405"/>
    <w:rsid w:val="004A1376"/>
    <w:rsid w:val="004B615A"/>
    <w:rsid w:val="004E7AE1"/>
    <w:rsid w:val="00532936"/>
    <w:rsid w:val="0058208B"/>
    <w:rsid w:val="008530E2"/>
    <w:rsid w:val="008C5AF6"/>
    <w:rsid w:val="009311E6"/>
    <w:rsid w:val="00964750"/>
    <w:rsid w:val="009A5994"/>
    <w:rsid w:val="009C692D"/>
    <w:rsid w:val="009D1654"/>
    <w:rsid w:val="009F1317"/>
    <w:rsid w:val="00A30F15"/>
    <w:rsid w:val="00B37D2E"/>
    <w:rsid w:val="00B61D63"/>
    <w:rsid w:val="00BF3CD2"/>
    <w:rsid w:val="00CC0DF9"/>
    <w:rsid w:val="00E0782D"/>
    <w:rsid w:val="21613B22"/>
    <w:rsid w:val="25DE3F4C"/>
    <w:rsid w:val="2BC76730"/>
    <w:rsid w:val="357C1CD6"/>
    <w:rsid w:val="3E5163F6"/>
    <w:rsid w:val="4CBF00CA"/>
    <w:rsid w:val="4F6F3649"/>
    <w:rsid w:val="50C54D2C"/>
    <w:rsid w:val="65291665"/>
    <w:rsid w:val="67DD258F"/>
    <w:rsid w:val="68562269"/>
    <w:rsid w:val="76B73E37"/>
    <w:rsid w:val="79C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198ED"/>
  <w15:docId w15:val="{A4AB3D8B-E780-48D3-A305-CFCC5EB7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Light Shading"/>
    <w:basedOn w:val="a1"/>
    <w:uiPriority w:val="99"/>
    <w:unhideWhenUsed/>
    <w:rPr>
      <w:rFonts w:ascii="Times New Roman" w:eastAsia="Times New Roman" w:hAnsi="Times New Roman" w:cs="Times New Roman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1">
    <w:name w:val="Medium List 1"/>
    <w:basedOn w:val="a1"/>
    <w:uiPriority w:val="65"/>
    <w:qFormat/>
    <w:rPr>
      <w:rFonts w:ascii="Times New Roman" w:hAnsi="Times New Roman" w:cs="Times New Roman"/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fontstyle01">
    <w:name w:val="fontstyle01"/>
    <w:basedOn w:val="a0"/>
    <w:qFormat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15">
    <w:name w:val="15"/>
    <w:basedOn w:val="a0"/>
    <w:qFormat/>
    <w:rPr>
      <w:rFonts w:ascii="TimesNewRomanPS-BoldMT" w:hAnsi="TimesNewRomanPS-BoldMT" w:hint="default"/>
      <w:b/>
      <w:bCs/>
      <w:color w:val="000000"/>
      <w:sz w:val="24"/>
      <w:szCs w:val="24"/>
    </w:rPr>
  </w:style>
  <w:style w:type="paragraph" w:styleId="a5">
    <w:name w:val="header"/>
    <w:basedOn w:val="a"/>
    <w:link w:val="a6"/>
    <w:rsid w:val="003E04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E04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3E04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E04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11">
    <w:name w:val="fontstyle11"/>
    <w:basedOn w:val="a0"/>
    <w:rsid w:val="003232F2"/>
    <w:rPr>
      <w:rFonts w:ascii="MyriadPro-It" w:hAnsi="MyriadPro-It" w:hint="default"/>
      <w:b w:val="0"/>
      <w:bCs w:val="0"/>
      <w:i/>
      <w:i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755</Words>
  <Characters>4310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Hewlett-Packard Company</cp:lastModifiedBy>
  <cp:revision>12</cp:revision>
  <dcterms:created xsi:type="dcterms:W3CDTF">2020-08-21T17:42:00Z</dcterms:created>
  <dcterms:modified xsi:type="dcterms:W3CDTF">2020-09-01T15:56:00Z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