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3E21E" w14:textId="262C3D18" w:rsidR="00990CCD" w:rsidRPr="00990CCD" w:rsidRDefault="00990CCD" w:rsidP="007A126C">
      <w:pPr>
        <w:rPr>
          <w:rFonts w:asciiTheme="majorBidi" w:hAnsiTheme="majorBidi" w:cstheme="majorBidi"/>
          <w:b/>
          <w:bCs/>
          <w:sz w:val="24"/>
          <w:szCs w:val="24"/>
        </w:rPr>
      </w:pPr>
      <w:r w:rsidRPr="00990CCD">
        <w:rPr>
          <w:rFonts w:asciiTheme="majorBidi" w:hAnsiTheme="majorBidi" w:cstheme="majorBidi"/>
          <w:b/>
          <w:bCs/>
          <w:sz w:val="24"/>
          <w:szCs w:val="24"/>
        </w:rPr>
        <w:t>Questionnaire development</w:t>
      </w:r>
    </w:p>
    <w:p w14:paraId="1AB1FC14" w14:textId="3F7C5680" w:rsidR="00D9046C" w:rsidRDefault="007A126C" w:rsidP="007A126C">
      <w:pPr>
        <w:rPr>
          <w:rFonts w:asciiTheme="majorBidi" w:hAnsiTheme="majorBidi" w:cstheme="majorBidi"/>
          <w:sz w:val="24"/>
          <w:szCs w:val="24"/>
        </w:rPr>
      </w:pPr>
      <w:r w:rsidRPr="00B82B3B">
        <w:rPr>
          <w:rFonts w:asciiTheme="majorBidi" w:hAnsiTheme="majorBidi" w:cstheme="majorBidi"/>
          <w:sz w:val="24"/>
          <w:szCs w:val="24"/>
        </w:rPr>
        <w:t xml:space="preserve">Literature research was conducted in order to develop the survey questions. </w:t>
      </w:r>
      <w:r w:rsidR="002D03AE" w:rsidRPr="00B82B3B">
        <w:rPr>
          <w:rFonts w:asciiTheme="majorBidi" w:hAnsiTheme="majorBidi" w:cstheme="majorBidi"/>
          <w:sz w:val="24"/>
          <w:szCs w:val="24"/>
        </w:rPr>
        <w:t xml:space="preserve">Some questions </w:t>
      </w:r>
      <w:r w:rsidR="00636975" w:rsidRPr="00B82B3B">
        <w:rPr>
          <w:rFonts w:asciiTheme="majorBidi" w:hAnsiTheme="majorBidi" w:cstheme="majorBidi"/>
          <w:sz w:val="24"/>
          <w:szCs w:val="24"/>
        </w:rPr>
        <w:t>were</w:t>
      </w:r>
      <w:r w:rsidR="002D03AE" w:rsidRPr="00B82B3B">
        <w:rPr>
          <w:rFonts w:asciiTheme="majorBidi" w:hAnsiTheme="majorBidi" w:cstheme="majorBidi"/>
          <w:sz w:val="24"/>
          <w:szCs w:val="24"/>
        </w:rPr>
        <w:t xml:space="preserve"> adapted from similar </w:t>
      </w:r>
      <w:r w:rsidR="00B059B2" w:rsidRPr="00B82B3B">
        <w:rPr>
          <w:rFonts w:asciiTheme="majorBidi" w:hAnsiTheme="majorBidi" w:cstheme="majorBidi"/>
          <w:sz w:val="24"/>
          <w:szCs w:val="24"/>
        </w:rPr>
        <w:t>published</w:t>
      </w:r>
      <w:r w:rsidR="002D03AE" w:rsidRPr="00B82B3B">
        <w:rPr>
          <w:rFonts w:asciiTheme="majorBidi" w:hAnsiTheme="majorBidi" w:cstheme="majorBidi"/>
          <w:sz w:val="24"/>
          <w:szCs w:val="24"/>
        </w:rPr>
        <w:t xml:space="preserve"> studies covering the same topics and others were developed based on literature review and recent studies</w:t>
      </w:r>
      <w:r w:rsidR="00D9046C" w:rsidRPr="00B82B3B">
        <w:rPr>
          <w:rFonts w:asciiTheme="majorBidi" w:hAnsiTheme="majorBidi" w:cstheme="majorBidi"/>
          <w:sz w:val="24"/>
          <w:szCs w:val="24"/>
        </w:rPr>
        <w:t xml:space="preserve"> (Table </w:t>
      </w:r>
      <w:r w:rsidR="005A50A1">
        <w:rPr>
          <w:rFonts w:asciiTheme="majorBidi" w:hAnsiTheme="majorBidi" w:cstheme="majorBidi"/>
          <w:sz w:val="24"/>
          <w:szCs w:val="24"/>
        </w:rPr>
        <w:t>SI</w:t>
      </w:r>
      <w:r w:rsidR="00D9046C" w:rsidRPr="00B82B3B">
        <w:rPr>
          <w:rFonts w:asciiTheme="majorBidi" w:hAnsiTheme="majorBidi" w:cstheme="majorBidi"/>
          <w:sz w:val="24"/>
          <w:szCs w:val="24"/>
        </w:rPr>
        <w:t>)</w:t>
      </w:r>
      <w:r w:rsidR="00B059B2" w:rsidRPr="00B82B3B">
        <w:rPr>
          <w:rFonts w:asciiTheme="majorBidi" w:hAnsiTheme="majorBidi" w:cstheme="majorBidi"/>
          <w:sz w:val="24"/>
          <w:szCs w:val="24"/>
        </w:rPr>
        <w:t xml:space="preserve">. </w:t>
      </w:r>
      <w:r w:rsidR="005A50A1">
        <w:rPr>
          <w:rFonts w:asciiTheme="majorBidi" w:hAnsiTheme="majorBidi" w:cstheme="majorBidi"/>
          <w:sz w:val="24"/>
          <w:szCs w:val="24"/>
        </w:rPr>
        <w:t xml:space="preserve">An online Zoom meeting was conducted with expertise in which they provided their feedback to improve the survey. Based on the feedback several questions were modified (we deleted the psychological impact domain and health concerns domain).  Finally, the pilot study was conducted (N=447). </w:t>
      </w:r>
      <w:r w:rsidR="005A50A1" w:rsidRPr="005A50A1">
        <w:rPr>
          <w:rFonts w:asciiTheme="majorBidi" w:hAnsiTheme="majorBidi" w:cstheme="majorBidi"/>
          <w:sz w:val="24"/>
          <w:szCs w:val="24"/>
        </w:rPr>
        <w:t>Cronbach's Alpha</w:t>
      </w:r>
      <w:r w:rsidR="005A50A1">
        <w:rPr>
          <w:rFonts w:asciiTheme="majorBidi" w:hAnsiTheme="majorBidi" w:cstheme="majorBidi"/>
          <w:sz w:val="24"/>
          <w:szCs w:val="24"/>
        </w:rPr>
        <w:t xml:space="preserve"> was calculated for each domain Tables SII, SIII, SIV and SV.</w:t>
      </w:r>
    </w:p>
    <w:p w14:paraId="0FA7A3E5" w14:textId="2D473048" w:rsidR="005A50A1" w:rsidRDefault="005A50A1" w:rsidP="007A126C">
      <w:pPr>
        <w:rPr>
          <w:rFonts w:asciiTheme="majorBidi" w:hAnsiTheme="majorBidi" w:cstheme="majorBidi"/>
          <w:sz w:val="24"/>
          <w:szCs w:val="24"/>
        </w:rPr>
      </w:pPr>
    </w:p>
    <w:p w14:paraId="1F13F474" w14:textId="164259CD" w:rsidR="005A50A1" w:rsidRDefault="005A50A1" w:rsidP="007A126C">
      <w:pPr>
        <w:rPr>
          <w:rFonts w:asciiTheme="majorBidi" w:hAnsiTheme="majorBidi" w:cstheme="majorBidi"/>
          <w:sz w:val="24"/>
          <w:szCs w:val="24"/>
        </w:rPr>
      </w:pPr>
      <w:r>
        <w:rPr>
          <w:rFonts w:asciiTheme="majorBidi" w:hAnsiTheme="majorBidi" w:cstheme="majorBidi"/>
          <w:sz w:val="24"/>
          <w:szCs w:val="24"/>
        </w:rPr>
        <w:t>To calculate the sample size for the pilot study, the following equation was used.</w:t>
      </w:r>
    </w:p>
    <w:p w14:paraId="455E7E98" w14:textId="552B541A" w:rsidR="005A50A1" w:rsidRDefault="005A50A1" w:rsidP="007A126C">
      <w:pPr>
        <w:rPr>
          <w:rFonts w:asciiTheme="majorBidi" w:hAnsiTheme="majorBidi" w:cstheme="majorBidi"/>
          <w:sz w:val="24"/>
          <w:szCs w:val="24"/>
        </w:rPr>
      </w:pPr>
    </w:p>
    <w:p w14:paraId="7451826F" w14:textId="77777777" w:rsidR="005A50A1" w:rsidRDefault="005A50A1" w:rsidP="005A50A1">
      <w:pPr>
        <w:spacing w:before="240" w:line="480" w:lineRule="auto"/>
        <w:ind w:firstLine="720"/>
        <w:jc w:val="center"/>
        <w:rPr>
          <w:rFonts w:asciiTheme="majorBidi" w:eastAsia="Times New Roman" w:hAnsiTheme="majorBidi" w:cstheme="majorBidi"/>
          <w:color w:val="000000" w:themeColor="text1"/>
          <w:sz w:val="24"/>
          <w:szCs w:val="24"/>
        </w:rPr>
      </w:pPr>
      <m:oMath>
        <m:sSub>
          <m:sSubPr>
            <m:ctrlPr>
              <w:rPr>
                <w:rFonts w:ascii="Cambria Math" w:eastAsia="Times New Roman" w:hAnsi="Cambria Math" w:cstheme="majorBidi"/>
                <w:b/>
                <w:bCs/>
                <w:i/>
                <w:color w:val="000000" w:themeColor="text1"/>
                <w:sz w:val="24"/>
                <w:szCs w:val="24"/>
                <w:lang w:val="en-US" w:bidi="hi-IN"/>
              </w:rPr>
            </m:ctrlPr>
          </m:sSubPr>
          <m:e>
            <m:r>
              <m:rPr>
                <m:sty m:val="bi"/>
              </m:rPr>
              <w:rPr>
                <w:rFonts w:ascii="Cambria Math" w:eastAsia="Times New Roman" w:hAnsi="Cambria Math" w:cstheme="majorBidi"/>
                <w:color w:val="000000" w:themeColor="text1"/>
                <w:sz w:val="24"/>
                <w:szCs w:val="24"/>
              </w:rPr>
              <m:t>n</m:t>
            </m:r>
          </m:e>
          <m:sub>
            <m:r>
              <m:rPr>
                <m:sty m:val="bi"/>
              </m:rPr>
              <w:rPr>
                <w:rFonts w:ascii="Cambria Math" w:eastAsia="Times New Roman" w:hAnsi="Cambria Math" w:cstheme="majorBidi"/>
                <w:color w:val="000000" w:themeColor="text1"/>
                <w:sz w:val="24"/>
                <w:szCs w:val="24"/>
              </w:rPr>
              <m:t>0</m:t>
            </m:r>
          </m:sub>
        </m:sSub>
        <m:r>
          <m:rPr>
            <m:sty m:val="bi"/>
          </m:rPr>
          <w:rPr>
            <w:rFonts w:ascii="Cambria Math" w:eastAsia="Times New Roman" w:hAnsi="Cambria Math" w:cstheme="majorBidi"/>
            <w:color w:val="000000" w:themeColor="text1"/>
            <w:sz w:val="24"/>
            <w:szCs w:val="24"/>
          </w:rPr>
          <m:t>=</m:t>
        </m:r>
        <m:f>
          <m:fPr>
            <m:ctrlPr>
              <w:rPr>
                <w:rFonts w:ascii="Cambria Math" w:eastAsia="Times New Roman" w:hAnsi="Cambria Math" w:cstheme="majorBidi"/>
                <w:b/>
                <w:bCs/>
                <w:i/>
                <w:color w:val="000000" w:themeColor="text1"/>
                <w:sz w:val="24"/>
                <w:szCs w:val="24"/>
                <w:lang w:val="en-US" w:bidi="hi-IN"/>
              </w:rPr>
            </m:ctrlPr>
          </m:fPr>
          <m:num>
            <m:sSup>
              <m:sSupPr>
                <m:ctrlPr>
                  <w:rPr>
                    <w:rFonts w:ascii="Cambria Math" w:eastAsia="Times New Roman" w:hAnsi="Cambria Math" w:cstheme="majorBidi"/>
                    <w:b/>
                    <w:bCs/>
                    <w:i/>
                    <w:color w:val="000000" w:themeColor="text1"/>
                    <w:sz w:val="24"/>
                    <w:szCs w:val="24"/>
                    <w:lang w:val="en-US" w:bidi="hi-IN"/>
                  </w:rPr>
                </m:ctrlPr>
              </m:sSupPr>
              <m:e>
                <m:r>
                  <m:rPr>
                    <m:sty m:val="bi"/>
                  </m:rPr>
                  <w:rPr>
                    <w:rFonts w:ascii="Cambria Math" w:eastAsia="Times New Roman" w:hAnsi="Cambria Math" w:cstheme="majorBidi"/>
                    <w:color w:val="000000" w:themeColor="text1"/>
                    <w:sz w:val="24"/>
                    <w:szCs w:val="24"/>
                  </w:rPr>
                  <m:t>z</m:t>
                </m:r>
              </m:e>
              <m:sup>
                <m:r>
                  <m:rPr>
                    <m:sty m:val="bi"/>
                  </m:rPr>
                  <w:rPr>
                    <w:rFonts w:ascii="Cambria Math" w:eastAsia="Times New Roman" w:hAnsi="Cambria Math" w:cstheme="majorBidi"/>
                    <w:color w:val="000000" w:themeColor="text1"/>
                    <w:sz w:val="24"/>
                    <w:szCs w:val="24"/>
                  </w:rPr>
                  <m:t>2</m:t>
                </m:r>
              </m:sup>
            </m:sSup>
            <m:r>
              <m:rPr>
                <m:sty m:val="bi"/>
              </m:rPr>
              <w:rPr>
                <w:rFonts w:ascii="Cambria Math" w:eastAsia="Times New Roman" w:hAnsi="Cambria Math" w:cstheme="majorBidi"/>
                <w:color w:val="000000" w:themeColor="text1"/>
                <w:sz w:val="24"/>
                <w:szCs w:val="24"/>
              </w:rPr>
              <m:t>×p(1-p)</m:t>
            </m:r>
          </m:num>
          <m:den>
            <m:sSup>
              <m:sSupPr>
                <m:ctrlPr>
                  <w:rPr>
                    <w:rFonts w:ascii="Cambria Math" w:eastAsia="Times New Roman" w:hAnsi="Cambria Math" w:cstheme="majorBidi"/>
                    <w:b/>
                    <w:bCs/>
                    <w:i/>
                    <w:color w:val="000000" w:themeColor="text1"/>
                    <w:sz w:val="24"/>
                    <w:szCs w:val="24"/>
                    <w:lang w:val="en-US" w:bidi="hi-IN"/>
                  </w:rPr>
                </m:ctrlPr>
              </m:sSupPr>
              <m:e>
                <m:r>
                  <m:rPr>
                    <m:sty m:val="bi"/>
                  </m:rPr>
                  <w:rPr>
                    <w:rFonts w:ascii="Cambria Math" w:eastAsia="Times New Roman" w:hAnsi="Cambria Math" w:cstheme="majorBidi"/>
                    <w:color w:val="000000" w:themeColor="text1"/>
                    <w:sz w:val="24"/>
                    <w:szCs w:val="24"/>
                  </w:rPr>
                  <m:t>e</m:t>
                </m:r>
              </m:e>
              <m:sup>
                <m:r>
                  <m:rPr>
                    <m:sty m:val="bi"/>
                  </m:rPr>
                  <w:rPr>
                    <w:rFonts w:ascii="Cambria Math" w:eastAsia="Times New Roman" w:hAnsi="Cambria Math" w:cstheme="majorBidi"/>
                    <w:color w:val="000000" w:themeColor="text1"/>
                    <w:sz w:val="24"/>
                    <w:szCs w:val="24"/>
                  </w:rPr>
                  <m:t>2</m:t>
                </m:r>
              </m:sup>
            </m:sSup>
          </m:den>
        </m:f>
      </m:oMath>
      <w:r>
        <w:rPr>
          <w:rFonts w:asciiTheme="majorBidi" w:eastAsiaTheme="minorEastAsia" w:hAnsiTheme="majorBidi" w:cstheme="majorBidi"/>
          <w:color w:val="000000" w:themeColor="text1"/>
          <w:sz w:val="24"/>
          <w:szCs w:val="24"/>
        </w:rPr>
        <w:t xml:space="preserve"> </w:t>
      </w: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62"/>
        <w:gridCol w:w="818"/>
        <w:gridCol w:w="6700"/>
      </w:tblGrid>
      <w:tr w:rsidR="005A50A1" w14:paraId="568E7F62" w14:textId="77777777" w:rsidTr="005A50A1">
        <w:trPr>
          <w:trHeight w:val="505"/>
          <w:jc w:val="center"/>
        </w:trPr>
        <w:tc>
          <w:tcPr>
            <w:tcW w:w="9180" w:type="dxa"/>
            <w:gridSpan w:val="3"/>
          </w:tcPr>
          <w:p w14:paraId="7605C61F" w14:textId="1F2E653F" w:rsidR="005A50A1" w:rsidRDefault="005A50A1">
            <w:pPr>
              <w:spacing w:line="480" w:lineRule="auto"/>
              <w:jc w:val="both"/>
              <w:rPr>
                <w:rFonts w:asciiTheme="majorBidi" w:hAnsiTheme="majorBidi" w:cstheme="majorBidi"/>
                <w:color w:val="000000" w:themeColor="text1"/>
                <w:sz w:val="24"/>
                <w:szCs w:val="24"/>
              </w:rPr>
            </w:pPr>
          </w:p>
        </w:tc>
      </w:tr>
      <w:tr w:rsidR="005A50A1" w14:paraId="0D5A6D3E" w14:textId="77777777" w:rsidTr="005A50A1">
        <w:trPr>
          <w:trHeight w:val="252"/>
          <w:jc w:val="center"/>
        </w:trPr>
        <w:tc>
          <w:tcPr>
            <w:tcW w:w="1662" w:type="dxa"/>
            <w:hideMark/>
          </w:tcPr>
          <w:p w14:paraId="33B9B0A3" w14:textId="77777777" w:rsidR="005A50A1" w:rsidRDefault="005A50A1" w:rsidP="005A50A1">
            <w:pPr>
              <w:jc w:val="center"/>
              <w:rPr>
                <w:rFonts w:asciiTheme="majorBidi" w:hAnsiTheme="majorBidi" w:cstheme="majorBidi"/>
                <w:b/>
                <w:bCs/>
                <w:color w:val="000000" w:themeColor="text1"/>
                <w:sz w:val="24"/>
                <w:szCs w:val="24"/>
              </w:rPr>
            </w:pPr>
            <m:oMathPara>
              <m:oMath>
                <m:sSub>
                  <m:sSubPr>
                    <m:ctrlPr>
                      <w:rPr>
                        <w:rFonts w:ascii="Cambria Math" w:hAnsi="Cambria Math" w:cstheme="majorBidi"/>
                        <w:b/>
                        <w:bCs/>
                        <w:i/>
                        <w:color w:val="000000" w:themeColor="text1"/>
                        <w:sz w:val="24"/>
                        <w:szCs w:val="24"/>
                        <w:lang w:val="en-US" w:bidi="hi-IN"/>
                      </w:rPr>
                    </m:ctrlPr>
                  </m:sSubPr>
                  <m:e>
                    <m:r>
                      <m:rPr>
                        <m:sty m:val="bi"/>
                      </m:rPr>
                      <w:rPr>
                        <w:rFonts w:ascii="Cambria Math" w:hAnsi="Cambria Math" w:cstheme="majorBidi"/>
                        <w:color w:val="000000" w:themeColor="text1"/>
                        <w:sz w:val="24"/>
                        <w:szCs w:val="24"/>
                      </w:rPr>
                      <m:t>n</m:t>
                    </m:r>
                  </m:e>
                  <m:sub>
                    <m:r>
                      <m:rPr>
                        <m:sty m:val="bi"/>
                      </m:rPr>
                      <w:rPr>
                        <w:rFonts w:ascii="Cambria Math" w:hAnsi="Cambria Math" w:cstheme="majorBidi"/>
                        <w:color w:val="000000" w:themeColor="text1"/>
                        <w:sz w:val="24"/>
                        <w:szCs w:val="24"/>
                      </w:rPr>
                      <m:t>0</m:t>
                    </m:r>
                  </m:sub>
                </m:sSub>
              </m:oMath>
            </m:oMathPara>
          </w:p>
        </w:tc>
        <w:tc>
          <w:tcPr>
            <w:tcW w:w="818" w:type="dxa"/>
            <w:hideMark/>
          </w:tcPr>
          <w:p w14:paraId="75BA357A" w14:textId="77777777" w:rsidR="005A50A1" w:rsidRDefault="005A50A1" w:rsidP="005A50A1">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c>
          <w:tcPr>
            <w:tcW w:w="6699" w:type="dxa"/>
            <w:hideMark/>
          </w:tcPr>
          <w:p w14:paraId="03A2887A" w14:textId="77777777" w:rsidR="005A50A1" w:rsidRDefault="005A50A1" w:rsidP="005A50A1">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Sample size, which was estimated</w:t>
            </w:r>
          </w:p>
        </w:tc>
      </w:tr>
      <w:tr w:rsidR="005A50A1" w14:paraId="27F0DCBD" w14:textId="77777777" w:rsidTr="005A50A1">
        <w:trPr>
          <w:trHeight w:val="505"/>
          <w:jc w:val="center"/>
        </w:trPr>
        <w:tc>
          <w:tcPr>
            <w:tcW w:w="1662" w:type="dxa"/>
            <w:hideMark/>
          </w:tcPr>
          <w:p w14:paraId="611D8A7C" w14:textId="77777777" w:rsidR="005A50A1" w:rsidRDefault="005A50A1" w:rsidP="005A50A1">
            <w:pPr>
              <w:jc w:val="center"/>
              <w:rPr>
                <w:rFonts w:asciiTheme="majorBidi" w:hAnsiTheme="majorBidi" w:cstheme="majorBidi"/>
                <w:b/>
                <w:bCs/>
                <w:color w:val="000000" w:themeColor="text1"/>
                <w:sz w:val="24"/>
                <w:szCs w:val="24"/>
              </w:rPr>
            </w:pPr>
            <m:oMathPara>
              <m:oMath>
                <m:sSup>
                  <m:sSupPr>
                    <m:ctrlPr>
                      <w:rPr>
                        <w:rFonts w:ascii="Cambria Math" w:hAnsi="Cambria Math" w:cstheme="majorBidi"/>
                        <w:b/>
                        <w:bCs/>
                        <w:i/>
                        <w:color w:val="000000" w:themeColor="text1"/>
                        <w:sz w:val="24"/>
                        <w:szCs w:val="24"/>
                        <w:lang w:val="en-US" w:bidi="hi-IN"/>
                      </w:rPr>
                    </m:ctrlPr>
                  </m:sSupPr>
                  <m:e>
                    <m:r>
                      <m:rPr>
                        <m:sty m:val="bi"/>
                      </m:rPr>
                      <w:rPr>
                        <w:rFonts w:ascii="Cambria Math" w:hAnsi="Cambria Math" w:cstheme="majorBidi"/>
                        <w:color w:val="000000" w:themeColor="text1"/>
                        <w:sz w:val="24"/>
                        <w:szCs w:val="24"/>
                      </w:rPr>
                      <m:t>z</m:t>
                    </m:r>
                  </m:e>
                  <m:sup>
                    <m:r>
                      <m:rPr>
                        <m:sty m:val="bi"/>
                      </m:rPr>
                      <w:rPr>
                        <w:rFonts w:ascii="Cambria Math" w:hAnsi="Cambria Math" w:cstheme="majorBidi"/>
                        <w:color w:val="000000" w:themeColor="text1"/>
                        <w:sz w:val="24"/>
                        <w:szCs w:val="24"/>
                      </w:rPr>
                      <m:t>2</m:t>
                    </m:r>
                  </m:sup>
                </m:sSup>
              </m:oMath>
            </m:oMathPara>
          </w:p>
        </w:tc>
        <w:tc>
          <w:tcPr>
            <w:tcW w:w="818" w:type="dxa"/>
            <w:hideMark/>
          </w:tcPr>
          <w:p w14:paraId="4556A245" w14:textId="77777777" w:rsidR="005A50A1" w:rsidRDefault="005A50A1" w:rsidP="005A50A1">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c>
          <w:tcPr>
            <w:tcW w:w="6699" w:type="dxa"/>
            <w:hideMark/>
          </w:tcPr>
          <w:p w14:paraId="279C0823" w14:textId="306D0670" w:rsidR="005A50A1" w:rsidRDefault="005A50A1" w:rsidP="005A50A1">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 s</w:t>
            </w:r>
            <w:r>
              <w:rPr>
                <w:rFonts w:asciiTheme="majorBidi" w:hAnsiTheme="majorBidi" w:cstheme="majorBidi"/>
                <w:color w:val="000000" w:themeColor="text1"/>
                <w:sz w:val="24"/>
                <w:szCs w:val="24"/>
              </w:rPr>
              <w:t xml:space="preserve">elected critical value of </w:t>
            </w:r>
            <w:r>
              <w:rPr>
                <w:rFonts w:asciiTheme="majorBidi" w:hAnsiTheme="majorBidi" w:cstheme="majorBidi"/>
                <w:color w:val="000000" w:themeColor="text1"/>
                <w:sz w:val="24"/>
                <w:szCs w:val="24"/>
              </w:rPr>
              <w:t xml:space="preserve">the </w:t>
            </w:r>
            <w:r>
              <w:rPr>
                <w:rFonts w:asciiTheme="majorBidi" w:hAnsiTheme="majorBidi" w:cstheme="majorBidi"/>
                <w:color w:val="000000" w:themeColor="text1"/>
                <w:sz w:val="24"/>
                <w:szCs w:val="24"/>
              </w:rPr>
              <w:t>desired level of confidence or risk</w:t>
            </w:r>
          </w:p>
        </w:tc>
      </w:tr>
      <w:tr w:rsidR="005A50A1" w14:paraId="1374D331" w14:textId="77777777" w:rsidTr="005A50A1">
        <w:trPr>
          <w:trHeight w:val="1010"/>
          <w:jc w:val="center"/>
        </w:trPr>
        <w:tc>
          <w:tcPr>
            <w:tcW w:w="1662" w:type="dxa"/>
            <w:hideMark/>
          </w:tcPr>
          <w:p w14:paraId="5E511713" w14:textId="77777777" w:rsidR="005A50A1" w:rsidRDefault="005A50A1" w:rsidP="005A50A1">
            <w:pPr>
              <w:jc w:val="center"/>
              <w:rPr>
                <w:rFonts w:asciiTheme="majorBidi" w:hAnsiTheme="majorBidi" w:cstheme="majorBidi"/>
                <w:b/>
                <w:bCs/>
                <w:color w:val="000000" w:themeColor="text1"/>
                <w:sz w:val="24"/>
                <w:szCs w:val="24"/>
              </w:rPr>
            </w:pPr>
            <w:bookmarkStart w:id="0" w:name="_Hlk56155173"/>
            <m:oMathPara>
              <m:oMath>
                <m:r>
                  <m:rPr>
                    <m:sty m:val="bi"/>
                  </m:rPr>
                  <w:rPr>
                    <w:rFonts w:ascii="Cambria Math" w:hAnsi="Cambria Math" w:cstheme="majorBidi"/>
                    <w:color w:val="000000" w:themeColor="text1"/>
                    <w:sz w:val="24"/>
                    <w:szCs w:val="24"/>
                  </w:rPr>
                  <m:t>p</m:t>
                </m:r>
              </m:oMath>
            </m:oMathPara>
          </w:p>
        </w:tc>
        <w:tc>
          <w:tcPr>
            <w:tcW w:w="818" w:type="dxa"/>
            <w:hideMark/>
          </w:tcPr>
          <w:p w14:paraId="67EF1AA0" w14:textId="77777777" w:rsidR="005A50A1" w:rsidRDefault="005A50A1" w:rsidP="005A50A1">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c>
          <w:tcPr>
            <w:tcW w:w="6699" w:type="dxa"/>
            <w:hideMark/>
          </w:tcPr>
          <w:p w14:paraId="5ADD6D73" w14:textId="53AE8E1E" w:rsidR="005A50A1" w:rsidRDefault="005A50A1" w:rsidP="005A50A1">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 e</w:t>
            </w:r>
            <w:r>
              <w:rPr>
                <w:rFonts w:asciiTheme="majorBidi" w:hAnsiTheme="majorBidi" w:cstheme="majorBidi"/>
                <w:color w:val="000000" w:themeColor="text1"/>
                <w:sz w:val="24"/>
                <w:szCs w:val="24"/>
              </w:rPr>
              <w:t>stimated proportion of an attribute that is present in</w:t>
            </w:r>
          </w:p>
          <w:p w14:paraId="7BBCC23F" w14:textId="77777777" w:rsidR="005A50A1" w:rsidRDefault="005A50A1" w:rsidP="005A50A1">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 population or maximum variability of the population</w:t>
            </w:r>
          </w:p>
        </w:tc>
      </w:tr>
      <w:tr w:rsidR="005A50A1" w14:paraId="61521EC4" w14:textId="77777777" w:rsidTr="005A50A1">
        <w:trPr>
          <w:trHeight w:val="252"/>
          <w:jc w:val="center"/>
        </w:trPr>
        <w:tc>
          <w:tcPr>
            <w:tcW w:w="1662" w:type="dxa"/>
            <w:hideMark/>
          </w:tcPr>
          <w:p w14:paraId="03D6AC49" w14:textId="77777777" w:rsidR="005A50A1" w:rsidRDefault="005A50A1" w:rsidP="005A50A1">
            <w:pPr>
              <w:jc w:val="center"/>
              <w:rPr>
                <w:rFonts w:asciiTheme="majorBidi" w:hAnsiTheme="majorBidi" w:cstheme="majorBidi"/>
                <w:b/>
                <w:bCs/>
                <w:color w:val="000000" w:themeColor="text1"/>
                <w:sz w:val="24"/>
                <w:szCs w:val="24"/>
              </w:rPr>
            </w:pPr>
            <m:oMathPara>
              <m:oMath>
                <m:r>
                  <m:rPr>
                    <m:sty m:val="bi"/>
                  </m:rPr>
                  <w:rPr>
                    <w:rFonts w:ascii="Cambria Math" w:hAnsi="Cambria Math" w:cstheme="majorBidi"/>
                    <w:color w:val="000000" w:themeColor="text1"/>
                    <w:sz w:val="24"/>
                    <w:szCs w:val="24"/>
                  </w:rPr>
                  <m:t>e</m:t>
                </m:r>
              </m:oMath>
            </m:oMathPara>
          </w:p>
        </w:tc>
        <w:tc>
          <w:tcPr>
            <w:tcW w:w="818" w:type="dxa"/>
            <w:hideMark/>
          </w:tcPr>
          <w:p w14:paraId="5D9C29CF" w14:textId="77777777" w:rsidR="005A50A1" w:rsidRDefault="005A50A1" w:rsidP="005A50A1">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c>
          <w:tcPr>
            <w:tcW w:w="6699" w:type="dxa"/>
            <w:hideMark/>
          </w:tcPr>
          <w:p w14:paraId="4AFCDA5E" w14:textId="088C18C9" w:rsidR="005A50A1" w:rsidRDefault="005A50A1" w:rsidP="005A50A1">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 d</w:t>
            </w:r>
            <w:r>
              <w:rPr>
                <w:rFonts w:asciiTheme="majorBidi" w:hAnsiTheme="majorBidi" w:cstheme="majorBidi"/>
                <w:color w:val="000000" w:themeColor="text1"/>
                <w:sz w:val="24"/>
                <w:szCs w:val="24"/>
              </w:rPr>
              <w:t xml:space="preserve">esired level of precision or margin of error </w:t>
            </w:r>
          </w:p>
        </w:tc>
      </w:tr>
      <w:bookmarkEnd w:id="0"/>
    </w:tbl>
    <w:p w14:paraId="26731E25" w14:textId="77777777" w:rsidR="005A50A1" w:rsidRDefault="005A50A1" w:rsidP="005A50A1">
      <w:pPr>
        <w:rPr>
          <w:rFonts w:asciiTheme="majorBidi" w:hAnsiTheme="majorBidi" w:cstheme="majorBidi"/>
          <w:color w:val="000000" w:themeColor="text1"/>
          <w:sz w:val="24"/>
          <w:szCs w:val="24"/>
          <w:lang w:bidi="hi-IN"/>
        </w:rPr>
      </w:pPr>
    </w:p>
    <w:p w14:paraId="29583C39" w14:textId="51EEDF67" w:rsidR="005A50A1" w:rsidRDefault="005A50A1" w:rsidP="005A50A1">
      <w:pPr>
        <w:tabs>
          <w:tab w:val="left" w:pos="3180"/>
        </w:tabs>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ab/>
      </w:r>
    </w:p>
    <w:p w14:paraId="390B14D3" w14:textId="2D870507" w:rsidR="005A50A1" w:rsidRDefault="005A50A1" w:rsidP="005A50A1">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In </w:t>
      </w:r>
      <w:r>
        <w:rPr>
          <w:rFonts w:asciiTheme="majorBidi" w:hAnsiTheme="majorBidi" w:cstheme="majorBidi"/>
          <w:color w:val="000000" w:themeColor="text1"/>
          <w:sz w:val="24"/>
          <w:szCs w:val="24"/>
        </w:rPr>
        <w:t>our</w:t>
      </w:r>
      <w:r>
        <w:rPr>
          <w:rFonts w:asciiTheme="majorBidi" w:hAnsiTheme="majorBidi" w:cstheme="majorBidi"/>
          <w:color w:val="000000" w:themeColor="text1"/>
          <w:sz w:val="24"/>
          <w:szCs w:val="24"/>
        </w:rPr>
        <w:t xml:space="preserve"> case, since the population number is unknown.</w:t>
      </w:r>
    </w:p>
    <w:tbl>
      <w:tblPr>
        <w:tblStyle w:val="TableGrid"/>
        <w:tblW w:w="93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5"/>
        <w:gridCol w:w="829"/>
        <w:gridCol w:w="6791"/>
      </w:tblGrid>
      <w:tr w:rsidR="005A50A1" w14:paraId="3A034CFE" w14:textId="77777777" w:rsidTr="005A50A1">
        <w:trPr>
          <w:trHeight w:val="462"/>
          <w:jc w:val="center"/>
        </w:trPr>
        <w:tc>
          <w:tcPr>
            <w:tcW w:w="1685" w:type="dxa"/>
            <w:hideMark/>
          </w:tcPr>
          <w:p w14:paraId="7523FB3F" w14:textId="77777777" w:rsidR="005A50A1" w:rsidRDefault="005A50A1">
            <w:pPr>
              <w:spacing w:line="480" w:lineRule="auto"/>
              <w:jc w:val="center"/>
              <w:rPr>
                <w:rFonts w:asciiTheme="majorBidi" w:hAnsiTheme="majorBidi" w:cstheme="majorBidi"/>
                <w:b/>
                <w:bCs/>
                <w:color w:val="000000" w:themeColor="text1"/>
                <w:sz w:val="24"/>
                <w:szCs w:val="24"/>
              </w:rPr>
            </w:pPr>
            <m:oMathPara>
              <m:oMath>
                <m:sSub>
                  <m:sSubPr>
                    <m:ctrlPr>
                      <w:rPr>
                        <w:rFonts w:ascii="Cambria Math" w:hAnsi="Cambria Math" w:cstheme="majorBidi"/>
                        <w:b/>
                        <w:bCs/>
                        <w:i/>
                        <w:color w:val="000000" w:themeColor="text1"/>
                        <w:sz w:val="24"/>
                        <w:szCs w:val="24"/>
                        <w:lang w:val="en-US" w:bidi="hi-IN"/>
                      </w:rPr>
                    </m:ctrlPr>
                  </m:sSubPr>
                  <m:e>
                    <m:r>
                      <m:rPr>
                        <m:sty m:val="bi"/>
                      </m:rPr>
                      <w:rPr>
                        <w:rFonts w:ascii="Cambria Math" w:hAnsi="Cambria Math" w:cstheme="majorBidi"/>
                        <w:color w:val="000000" w:themeColor="text1"/>
                        <w:sz w:val="24"/>
                        <w:szCs w:val="24"/>
                      </w:rPr>
                      <m:t>n</m:t>
                    </m:r>
                  </m:e>
                  <m:sub>
                    <m:r>
                      <m:rPr>
                        <m:sty m:val="bi"/>
                      </m:rPr>
                      <w:rPr>
                        <w:rFonts w:ascii="Cambria Math" w:hAnsi="Cambria Math" w:cstheme="majorBidi"/>
                        <w:color w:val="000000" w:themeColor="text1"/>
                        <w:sz w:val="24"/>
                        <w:szCs w:val="24"/>
                      </w:rPr>
                      <m:t>0</m:t>
                    </m:r>
                  </m:sub>
                </m:sSub>
              </m:oMath>
            </m:oMathPara>
          </w:p>
        </w:tc>
        <w:tc>
          <w:tcPr>
            <w:tcW w:w="829" w:type="dxa"/>
            <w:hideMark/>
          </w:tcPr>
          <w:p w14:paraId="006AA364" w14:textId="77777777" w:rsidR="005A50A1" w:rsidRDefault="005A50A1">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c>
          <w:tcPr>
            <w:tcW w:w="6791" w:type="dxa"/>
            <w:hideMark/>
          </w:tcPr>
          <w:p w14:paraId="160ADE6A" w14:textId="77777777" w:rsidR="005A50A1" w:rsidRDefault="005A50A1">
            <w:pPr>
              <w:spacing w:line="48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r>
      <w:tr w:rsidR="005A50A1" w14:paraId="399EF044" w14:textId="77777777" w:rsidTr="005A50A1">
        <w:trPr>
          <w:trHeight w:val="935"/>
          <w:jc w:val="center"/>
        </w:trPr>
        <w:tc>
          <w:tcPr>
            <w:tcW w:w="1685" w:type="dxa"/>
            <w:hideMark/>
          </w:tcPr>
          <w:p w14:paraId="2BAD925D" w14:textId="77777777" w:rsidR="005A50A1" w:rsidRDefault="005A50A1">
            <w:pPr>
              <w:spacing w:line="480" w:lineRule="auto"/>
              <w:jc w:val="center"/>
              <w:rPr>
                <w:rFonts w:asciiTheme="majorBidi" w:hAnsiTheme="majorBidi" w:cstheme="majorBidi"/>
                <w:b/>
                <w:bCs/>
                <w:color w:val="000000" w:themeColor="text1"/>
                <w:sz w:val="24"/>
                <w:szCs w:val="24"/>
              </w:rPr>
            </w:pPr>
            <m:oMathPara>
              <m:oMath>
                <m:sSup>
                  <m:sSupPr>
                    <m:ctrlPr>
                      <w:rPr>
                        <w:rFonts w:ascii="Cambria Math" w:hAnsi="Cambria Math" w:cstheme="majorBidi"/>
                        <w:b/>
                        <w:bCs/>
                        <w:i/>
                        <w:color w:val="000000" w:themeColor="text1"/>
                        <w:sz w:val="24"/>
                        <w:szCs w:val="24"/>
                        <w:lang w:val="en-US" w:bidi="hi-IN"/>
                      </w:rPr>
                    </m:ctrlPr>
                  </m:sSupPr>
                  <m:e>
                    <m:r>
                      <m:rPr>
                        <m:sty m:val="bi"/>
                      </m:rPr>
                      <w:rPr>
                        <w:rFonts w:ascii="Cambria Math" w:hAnsi="Cambria Math" w:cstheme="majorBidi"/>
                        <w:color w:val="000000" w:themeColor="text1"/>
                        <w:sz w:val="24"/>
                        <w:szCs w:val="24"/>
                      </w:rPr>
                      <m:t>z</m:t>
                    </m:r>
                  </m:e>
                  <m:sup>
                    <m:r>
                      <m:rPr>
                        <m:sty m:val="bi"/>
                      </m:rPr>
                      <w:rPr>
                        <w:rFonts w:ascii="Cambria Math" w:hAnsi="Cambria Math" w:cstheme="majorBidi"/>
                        <w:color w:val="000000" w:themeColor="text1"/>
                        <w:sz w:val="24"/>
                        <w:szCs w:val="24"/>
                      </w:rPr>
                      <m:t>2</m:t>
                    </m:r>
                  </m:sup>
                </m:sSup>
              </m:oMath>
            </m:oMathPara>
          </w:p>
        </w:tc>
        <w:tc>
          <w:tcPr>
            <w:tcW w:w="829" w:type="dxa"/>
            <w:hideMark/>
          </w:tcPr>
          <w:p w14:paraId="3CD4D31A" w14:textId="77777777" w:rsidR="005A50A1" w:rsidRDefault="005A50A1">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c>
          <w:tcPr>
            <w:tcW w:w="6791" w:type="dxa"/>
            <w:hideMark/>
          </w:tcPr>
          <w:p w14:paraId="4BB353B4" w14:textId="77777777" w:rsidR="005A50A1" w:rsidRDefault="005A50A1">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95% confidence level (The value of (1-</w:t>
            </w:r>
            <w:r>
              <w:rPr>
                <w:rFonts w:asciiTheme="majorBidi" w:hAnsiTheme="majorBidi" w:cstheme="majorBidi"/>
                <w:color w:val="000000" w:themeColor="text1"/>
                <w:sz w:val="24"/>
                <w:szCs w:val="24"/>
              </w:rPr>
              <w:sym w:font="Symbol" w:char="F061"/>
            </w:r>
            <w:r>
              <w:rPr>
                <w:rFonts w:asciiTheme="majorBidi" w:hAnsiTheme="majorBidi" w:cstheme="majorBidi"/>
                <w:color w:val="000000" w:themeColor="text1"/>
                <w:sz w:val="24"/>
                <w:szCs w:val="24"/>
              </w:rPr>
              <w:t xml:space="preserve">) in Standard Normal Distribution </w:t>
            </w:r>
            <w:r>
              <w:rPr>
                <w:rFonts w:asciiTheme="majorBidi" w:hAnsiTheme="majorBidi" w:cstheme="majorBidi"/>
                <w:b/>
                <w:bCs/>
                <w:i/>
                <w:iCs/>
                <w:color w:val="000000" w:themeColor="text1"/>
                <w:sz w:val="24"/>
                <w:szCs w:val="24"/>
              </w:rPr>
              <w:t>z</w:t>
            </w:r>
            <w:r>
              <w:rPr>
                <w:rFonts w:asciiTheme="majorBidi" w:hAnsiTheme="majorBidi" w:cstheme="majorBidi"/>
                <w:color w:val="000000" w:themeColor="text1"/>
                <w:sz w:val="24"/>
                <w:szCs w:val="24"/>
              </w:rPr>
              <w:t>-table, which is 1.96 for 95%)</w:t>
            </w:r>
          </w:p>
        </w:tc>
      </w:tr>
      <w:tr w:rsidR="005A50A1" w14:paraId="1D1C71CB" w14:textId="77777777" w:rsidTr="005A50A1">
        <w:trPr>
          <w:trHeight w:val="462"/>
          <w:jc w:val="center"/>
        </w:trPr>
        <w:tc>
          <w:tcPr>
            <w:tcW w:w="1685" w:type="dxa"/>
            <w:hideMark/>
          </w:tcPr>
          <w:p w14:paraId="21742C4F" w14:textId="77777777" w:rsidR="005A50A1" w:rsidRDefault="005A50A1">
            <w:pPr>
              <w:spacing w:line="480" w:lineRule="auto"/>
              <w:jc w:val="center"/>
              <w:rPr>
                <w:rFonts w:asciiTheme="majorBidi" w:hAnsiTheme="majorBidi" w:cstheme="majorBidi"/>
                <w:b/>
                <w:bCs/>
                <w:color w:val="000000" w:themeColor="text1"/>
                <w:sz w:val="24"/>
                <w:szCs w:val="24"/>
              </w:rPr>
            </w:pPr>
            <m:oMathPara>
              <m:oMath>
                <m:r>
                  <m:rPr>
                    <m:sty m:val="bi"/>
                  </m:rPr>
                  <w:rPr>
                    <w:rFonts w:ascii="Cambria Math" w:hAnsi="Cambria Math" w:cstheme="majorBidi"/>
                    <w:color w:val="000000" w:themeColor="text1"/>
                    <w:sz w:val="24"/>
                    <w:szCs w:val="24"/>
                  </w:rPr>
                  <m:t>p</m:t>
                </m:r>
              </m:oMath>
            </m:oMathPara>
          </w:p>
        </w:tc>
        <w:tc>
          <w:tcPr>
            <w:tcW w:w="829" w:type="dxa"/>
            <w:hideMark/>
          </w:tcPr>
          <w:p w14:paraId="00D490BE" w14:textId="77777777" w:rsidR="005A50A1" w:rsidRDefault="005A50A1">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c>
          <w:tcPr>
            <w:tcW w:w="6791" w:type="dxa"/>
            <w:hideMark/>
          </w:tcPr>
          <w:p w14:paraId="75C18BC8" w14:textId="77777777" w:rsidR="005A50A1" w:rsidRDefault="005A50A1">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50% variability of the population (which is maximum)</w:t>
            </w:r>
          </w:p>
        </w:tc>
      </w:tr>
      <w:tr w:rsidR="005A50A1" w14:paraId="454FC7A5" w14:textId="77777777" w:rsidTr="005A50A1">
        <w:trPr>
          <w:trHeight w:val="462"/>
          <w:jc w:val="center"/>
        </w:trPr>
        <w:tc>
          <w:tcPr>
            <w:tcW w:w="1685" w:type="dxa"/>
            <w:hideMark/>
          </w:tcPr>
          <w:p w14:paraId="67463A9B" w14:textId="77777777" w:rsidR="005A50A1" w:rsidRDefault="005A50A1">
            <w:pPr>
              <w:spacing w:line="480" w:lineRule="auto"/>
              <w:jc w:val="center"/>
              <w:rPr>
                <w:rFonts w:asciiTheme="majorBidi" w:hAnsiTheme="majorBidi" w:cstheme="majorBidi"/>
                <w:b/>
                <w:bCs/>
                <w:color w:val="000000" w:themeColor="text1"/>
                <w:sz w:val="24"/>
                <w:szCs w:val="24"/>
              </w:rPr>
            </w:pPr>
            <m:oMathPara>
              <m:oMath>
                <m:r>
                  <m:rPr>
                    <m:sty m:val="bi"/>
                  </m:rPr>
                  <w:rPr>
                    <w:rFonts w:ascii="Cambria Math" w:hAnsi="Cambria Math" w:cstheme="majorBidi"/>
                    <w:color w:val="000000" w:themeColor="text1"/>
                    <w:sz w:val="24"/>
                    <w:szCs w:val="24"/>
                  </w:rPr>
                  <m:t>e</m:t>
                </m:r>
              </m:oMath>
            </m:oMathPara>
          </w:p>
        </w:tc>
        <w:tc>
          <w:tcPr>
            <w:tcW w:w="829" w:type="dxa"/>
            <w:hideMark/>
          </w:tcPr>
          <w:p w14:paraId="0C433F8D" w14:textId="77777777" w:rsidR="005A50A1" w:rsidRDefault="005A50A1">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
        </w:tc>
        <w:tc>
          <w:tcPr>
            <w:tcW w:w="6791" w:type="dxa"/>
            <w:hideMark/>
          </w:tcPr>
          <w:p w14:paraId="0AE9C5A3" w14:textId="77777777" w:rsidR="005A50A1" w:rsidRDefault="005A50A1">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 margin of error</w:t>
            </w:r>
          </w:p>
        </w:tc>
      </w:tr>
    </w:tbl>
    <w:p w14:paraId="20AADF15" w14:textId="77777777" w:rsidR="005A50A1" w:rsidRDefault="005A50A1" w:rsidP="005A50A1">
      <w:pPr>
        <w:spacing w:before="240" w:line="480" w:lineRule="auto"/>
        <w:jc w:val="both"/>
        <w:rPr>
          <w:rFonts w:asciiTheme="majorBidi" w:eastAsia="Times New Roman" w:hAnsiTheme="majorBidi" w:cstheme="majorBidi"/>
          <w:color w:val="000000" w:themeColor="text1"/>
          <w:sz w:val="24"/>
          <w:szCs w:val="24"/>
          <w:lang w:val="en-US" w:bidi="hi-IN"/>
        </w:rPr>
      </w:pPr>
      <w:r>
        <w:rPr>
          <w:rFonts w:asciiTheme="majorBidi" w:eastAsia="Times New Roman" w:hAnsiTheme="majorBidi" w:cstheme="majorBidi"/>
          <w:color w:val="000000" w:themeColor="text1"/>
          <w:sz w:val="24"/>
          <w:szCs w:val="24"/>
        </w:rPr>
        <w:t>Put the value in the given formula-</w:t>
      </w:r>
    </w:p>
    <w:p w14:paraId="563CEFCF" w14:textId="77777777" w:rsidR="005A50A1" w:rsidRDefault="005A50A1" w:rsidP="005A50A1">
      <w:pPr>
        <w:spacing w:before="240" w:line="480" w:lineRule="auto"/>
        <w:ind w:firstLine="720"/>
        <w:jc w:val="both"/>
        <w:rPr>
          <w:rFonts w:asciiTheme="majorBidi" w:eastAsia="Times New Roman" w:hAnsiTheme="majorBidi" w:cstheme="majorBidi"/>
          <w:color w:val="000000" w:themeColor="text1"/>
          <w:sz w:val="24"/>
          <w:szCs w:val="24"/>
        </w:rPr>
      </w:pPr>
      <m:oMathPara>
        <m:oMath>
          <m:sSub>
            <m:sSubPr>
              <m:ctrlPr>
                <w:rPr>
                  <w:rFonts w:ascii="Cambria Math" w:eastAsia="Times New Roman" w:hAnsi="Cambria Math" w:cstheme="majorBidi"/>
                  <w:b/>
                  <w:bCs/>
                  <w:i/>
                  <w:color w:val="000000" w:themeColor="text1"/>
                  <w:sz w:val="24"/>
                  <w:szCs w:val="24"/>
                  <w:lang w:val="en-US" w:bidi="hi-IN"/>
                </w:rPr>
              </m:ctrlPr>
            </m:sSubPr>
            <m:e>
              <m:r>
                <m:rPr>
                  <m:sty m:val="bi"/>
                </m:rPr>
                <w:rPr>
                  <w:rFonts w:ascii="Cambria Math" w:eastAsia="Times New Roman" w:hAnsi="Cambria Math" w:cstheme="majorBidi"/>
                  <w:color w:val="000000" w:themeColor="text1"/>
                  <w:sz w:val="24"/>
                  <w:szCs w:val="24"/>
                </w:rPr>
                <m:t>n</m:t>
              </m:r>
            </m:e>
            <m:sub>
              <m:r>
                <m:rPr>
                  <m:sty m:val="bi"/>
                </m:rPr>
                <w:rPr>
                  <w:rFonts w:ascii="Cambria Math" w:eastAsia="Times New Roman" w:hAnsi="Cambria Math" w:cstheme="majorBidi"/>
                  <w:color w:val="000000" w:themeColor="text1"/>
                  <w:sz w:val="24"/>
                  <w:szCs w:val="24"/>
                </w:rPr>
                <m:t>0</m:t>
              </m:r>
            </m:sub>
          </m:sSub>
          <m:r>
            <m:rPr>
              <m:sty m:val="bi"/>
            </m:rPr>
            <w:rPr>
              <w:rFonts w:ascii="Cambria Math" w:eastAsia="Times New Roman" w:hAnsi="Cambria Math" w:cstheme="majorBidi"/>
              <w:color w:val="000000" w:themeColor="text1"/>
              <w:sz w:val="24"/>
              <w:szCs w:val="24"/>
            </w:rPr>
            <m:t>=</m:t>
          </m:r>
          <m:f>
            <m:fPr>
              <m:ctrlPr>
                <w:rPr>
                  <w:rFonts w:ascii="Cambria Math" w:eastAsia="Times New Roman" w:hAnsi="Cambria Math" w:cstheme="majorBidi"/>
                  <w:b/>
                  <w:bCs/>
                  <w:i/>
                  <w:color w:val="000000" w:themeColor="text1"/>
                  <w:sz w:val="24"/>
                  <w:szCs w:val="24"/>
                  <w:lang w:val="en-US" w:bidi="hi-IN"/>
                </w:rPr>
              </m:ctrlPr>
            </m:fPr>
            <m:num>
              <m:sSup>
                <m:sSupPr>
                  <m:ctrlPr>
                    <w:rPr>
                      <w:rFonts w:ascii="Cambria Math" w:eastAsia="Times New Roman" w:hAnsi="Cambria Math" w:cstheme="majorBidi"/>
                      <w:b/>
                      <w:bCs/>
                      <w:i/>
                      <w:color w:val="000000" w:themeColor="text1"/>
                      <w:sz w:val="24"/>
                      <w:szCs w:val="24"/>
                      <w:lang w:val="en-US" w:bidi="hi-IN"/>
                    </w:rPr>
                  </m:ctrlPr>
                </m:sSupPr>
                <m:e>
                  <m:d>
                    <m:dPr>
                      <m:ctrlPr>
                        <w:rPr>
                          <w:rFonts w:ascii="Cambria Math" w:eastAsia="Times New Roman" w:hAnsi="Cambria Math" w:cstheme="majorBidi"/>
                          <w:b/>
                          <w:bCs/>
                          <w:i/>
                          <w:color w:val="000000" w:themeColor="text1"/>
                          <w:sz w:val="24"/>
                          <w:szCs w:val="24"/>
                          <w:lang w:val="en-US" w:bidi="hi-IN"/>
                        </w:rPr>
                      </m:ctrlPr>
                    </m:dPr>
                    <m:e>
                      <m:r>
                        <m:rPr>
                          <m:sty m:val="bi"/>
                        </m:rPr>
                        <w:rPr>
                          <w:rFonts w:ascii="Cambria Math" w:eastAsia="Times New Roman" w:hAnsi="Cambria Math" w:cstheme="majorBidi"/>
                          <w:color w:val="000000" w:themeColor="text1"/>
                          <w:sz w:val="24"/>
                          <w:szCs w:val="24"/>
                        </w:rPr>
                        <m:t>1.96</m:t>
                      </m:r>
                    </m:e>
                  </m:d>
                </m:e>
                <m:sup>
                  <m:r>
                    <m:rPr>
                      <m:sty m:val="bi"/>
                    </m:rPr>
                    <w:rPr>
                      <w:rFonts w:ascii="Cambria Math" w:eastAsia="Times New Roman" w:hAnsi="Cambria Math" w:cstheme="majorBidi"/>
                      <w:color w:val="000000" w:themeColor="text1"/>
                      <w:sz w:val="24"/>
                      <w:szCs w:val="24"/>
                    </w:rPr>
                    <m:t>2</m:t>
                  </m:r>
                </m:sup>
              </m:sSup>
              <m:r>
                <m:rPr>
                  <m:sty m:val="bi"/>
                </m:rPr>
                <w:rPr>
                  <w:rFonts w:ascii="Cambria Math" w:eastAsia="Times New Roman" w:hAnsi="Cambria Math" w:cstheme="majorBidi"/>
                  <w:color w:val="000000" w:themeColor="text1"/>
                  <w:sz w:val="24"/>
                  <w:szCs w:val="24"/>
                </w:rPr>
                <m:t>×0.5</m:t>
              </m:r>
              <m:d>
                <m:dPr>
                  <m:ctrlPr>
                    <w:rPr>
                      <w:rFonts w:ascii="Cambria Math" w:eastAsia="Times New Roman" w:hAnsi="Cambria Math" w:cstheme="majorBidi"/>
                      <w:b/>
                      <w:bCs/>
                      <w:i/>
                      <w:color w:val="000000" w:themeColor="text1"/>
                      <w:sz w:val="24"/>
                      <w:szCs w:val="24"/>
                      <w:lang w:val="en-US" w:bidi="hi-IN"/>
                    </w:rPr>
                  </m:ctrlPr>
                </m:dPr>
                <m:e>
                  <m:r>
                    <m:rPr>
                      <m:sty m:val="bi"/>
                    </m:rPr>
                    <w:rPr>
                      <w:rFonts w:ascii="Cambria Math" w:eastAsia="Times New Roman" w:hAnsi="Cambria Math" w:cstheme="majorBidi"/>
                      <w:color w:val="000000" w:themeColor="text1"/>
                      <w:sz w:val="24"/>
                      <w:szCs w:val="24"/>
                    </w:rPr>
                    <m:t>1-0.5</m:t>
                  </m:r>
                </m:e>
              </m:d>
            </m:num>
            <m:den>
              <m:sSup>
                <m:sSupPr>
                  <m:ctrlPr>
                    <w:rPr>
                      <w:rFonts w:ascii="Cambria Math" w:eastAsia="Times New Roman" w:hAnsi="Cambria Math" w:cstheme="majorBidi"/>
                      <w:b/>
                      <w:bCs/>
                      <w:i/>
                      <w:color w:val="000000" w:themeColor="text1"/>
                      <w:sz w:val="24"/>
                      <w:szCs w:val="24"/>
                      <w:lang w:val="en-US" w:bidi="hi-IN"/>
                    </w:rPr>
                  </m:ctrlPr>
                </m:sSupPr>
                <m:e>
                  <m:d>
                    <m:dPr>
                      <m:ctrlPr>
                        <w:rPr>
                          <w:rFonts w:ascii="Cambria Math" w:eastAsia="Times New Roman" w:hAnsi="Cambria Math" w:cstheme="majorBidi"/>
                          <w:b/>
                          <w:bCs/>
                          <w:i/>
                          <w:color w:val="000000" w:themeColor="text1"/>
                          <w:sz w:val="24"/>
                          <w:szCs w:val="24"/>
                          <w:lang w:val="en-US" w:bidi="hi-IN"/>
                        </w:rPr>
                      </m:ctrlPr>
                    </m:dPr>
                    <m:e>
                      <m:r>
                        <m:rPr>
                          <m:sty m:val="bi"/>
                        </m:rPr>
                        <w:rPr>
                          <w:rFonts w:ascii="Cambria Math" w:eastAsia="Times New Roman" w:hAnsi="Cambria Math" w:cstheme="majorBidi"/>
                          <w:color w:val="000000" w:themeColor="text1"/>
                          <w:sz w:val="24"/>
                          <w:szCs w:val="24"/>
                        </w:rPr>
                        <m:t>0.05</m:t>
                      </m:r>
                    </m:e>
                  </m:d>
                </m:e>
                <m:sup>
                  <m:r>
                    <m:rPr>
                      <m:sty m:val="bi"/>
                    </m:rPr>
                    <w:rPr>
                      <w:rFonts w:ascii="Cambria Math" w:eastAsia="Times New Roman" w:hAnsi="Cambria Math" w:cstheme="majorBidi"/>
                      <w:color w:val="000000" w:themeColor="text1"/>
                      <w:sz w:val="24"/>
                      <w:szCs w:val="24"/>
                    </w:rPr>
                    <m:t>2</m:t>
                  </m:r>
                </m:sup>
              </m:sSup>
            </m:den>
          </m:f>
          <m:r>
            <m:rPr>
              <m:sty m:val="bi"/>
            </m:rPr>
            <w:rPr>
              <w:rFonts w:ascii="Cambria Math" w:eastAsia="Times New Roman" w:hAnsi="Cambria Math" w:cstheme="majorBidi"/>
              <w:color w:val="000000" w:themeColor="text1"/>
              <w:sz w:val="24"/>
              <w:szCs w:val="24"/>
            </w:rPr>
            <m:t>=</m:t>
          </m:r>
          <m:r>
            <m:rPr>
              <m:sty m:val="bi"/>
            </m:rPr>
            <w:rPr>
              <w:rFonts w:ascii="Cambria Math" w:eastAsia="Times New Roman" w:hAnsi="Cambria Math" w:cstheme="majorBidi"/>
              <w:color w:val="000000" w:themeColor="text1"/>
              <w:sz w:val="24"/>
              <w:szCs w:val="24"/>
            </w:rPr>
            <m:t>384</m:t>
          </m:r>
        </m:oMath>
      </m:oMathPara>
    </w:p>
    <w:p w14:paraId="5EF39509" w14:textId="4AFE575D" w:rsidR="007A126C" w:rsidRPr="005A50A1" w:rsidRDefault="00D9046C" w:rsidP="00D9046C">
      <w:pPr>
        <w:rPr>
          <w:rFonts w:asciiTheme="majorBidi" w:hAnsiTheme="majorBidi" w:cstheme="majorBidi"/>
          <w:b/>
          <w:bCs/>
          <w:sz w:val="24"/>
          <w:szCs w:val="24"/>
        </w:rPr>
      </w:pPr>
      <w:r w:rsidRPr="005A50A1">
        <w:rPr>
          <w:rFonts w:asciiTheme="majorBidi" w:hAnsiTheme="majorBidi" w:cstheme="majorBidi"/>
          <w:b/>
          <w:bCs/>
          <w:sz w:val="24"/>
          <w:szCs w:val="24"/>
        </w:rPr>
        <w:lastRenderedPageBreak/>
        <w:t>Table S</w:t>
      </w:r>
      <w:r w:rsidR="005A50A1" w:rsidRPr="005A50A1">
        <w:rPr>
          <w:rFonts w:asciiTheme="majorBidi" w:hAnsiTheme="majorBidi" w:cstheme="majorBidi"/>
          <w:b/>
          <w:bCs/>
          <w:sz w:val="24"/>
          <w:szCs w:val="24"/>
        </w:rPr>
        <w:t>I</w:t>
      </w:r>
      <w:r w:rsidRPr="005A50A1">
        <w:rPr>
          <w:rFonts w:asciiTheme="majorBidi" w:hAnsiTheme="majorBidi" w:cstheme="majorBidi"/>
          <w:b/>
          <w:bCs/>
          <w:sz w:val="24"/>
          <w:szCs w:val="24"/>
        </w:rPr>
        <w:t>. Sources used to develop the survey questions</w:t>
      </w:r>
      <w:r w:rsidR="00D531A5" w:rsidRPr="005A50A1">
        <w:rPr>
          <w:rFonts w:asciiTheme="majorBidi" w:hAnsiTheme="majorBidi" w:cstheme="majorBidi"/>
          <w:b/>
          <w:bCs/>
          <w:sz w:val="24"/>
          <w:szCs w:val="24"/>
        </w:rPr>
        <w:t xml:space="preserve"> available in (</w:t>
      </w:r>
      <w:r w:rsidR="00B82B3B" w:rsidRPr="005A50A1">
        <w:rPr>
          <w:rFonts w:asciiTheme="majorBidi" w:hAnsiTheme="majorBidi" w:cstheme="majorBidi"/>
          <w:b/>
          <w:bCs/>
          <w:sz w:val="24"/>
          <w:szCs w:val="24"/>
        </w:rPr>
        <w:t>Supplementary data, questionnaire).</w:t>
      </w:r>
    </w:p>
    <w:p w14:paraId="5BB41529" w14:textId="64E48948" w:rsidR="00B059B2" w:rsidRPr="00B82B3B" w:rsidRDefault="00B059B2" w:rsidP="007A126C">
      <w:pPr>
        <w:rPr>
          <w:rFonts w:asciiTheme="majorBidi" w:hAnsiTheme="majorBidi" w:cstheme="majorBidi"/>
          <w:sz w:val="24"/>
          <w:szCs w:val="24"/>
        </w:rPr>
      </w:pPr>
    </w:p>
    <w:tbl>
      <w:tblPr>
        <w:tblStyle w:val="PlainTable2"/>
        <w:tblW w:w="0" w:type="auto"/>
        <w:jc w:val="center"/>
        <w:tblLook w:val="0420" w:firstRow="1" w:lastRow="0" w:firstColumn="0" w:lastColumn="0" w:noHBand="0" w:noVBand="1"/>
      </w:tblPr>
      <w:tblGrid>
        <w:gridCol w:w="4508"/>
        <w:gridCol w:w="4508"/>
      </w:tblGrid>
      <w:tr w:rsidR="00B059B2" w:rsidRPr="00B82B3B" w14:paraId="54F1F6F1" w14:textId="77777777" w:rsidTr="008A01E5">
        <w:trPr>
          <w:cnfStyle w:val="100000000000" w:firstRow="1" w:lastRow="0" w:firstColumn="0" w:lastColumn="0" w:oddVBand="0" w:evenVBand="0" w:oddHBand="0" w:evenHBand="0" w:firstRowFirstColumn="0" w:firstRowLastColumn="0" w:lastRowFirstColumn="0" w:lastRowLastColumn="0"/>
          <w:jc w:val="center"/>
        </w:trPr>
        <w:tc>
          <w:tcPr>
            <w:tcW w:w="4508" w:type="dxa"/>
          </w:tcPr>
          <w:p w14:paraId="20922DF2" w14:textId="5E5A43C6" w:rsidR="00B059B2" w:rsidRPr="00B82B3B" w:rsidRDefault="00486E2E" w:rsidP="008A01E5">
            <w:pPr>
              <w:jc w:val="center"/>
              <w:rPr>
                <w:rFonts w:asciiTheme="majorBidi" w:hAnsiTheme="majorBidi" w:cstheme="majorBidi"/>
                <w:sz w:val="24"/>
                <w:szCs w:val="24"/>
              </w:rPr>
            </w:pPr>
            <w:r w:rsidRPr="00B82B3B">
              <w:rPr>
                <w:rFonts w:asciiTheme="majorBidi" w:hAnsiTheme="majorBidi" w:cstheme="majorBidi"/>
                <w:sz w:val="24"/>
                <w:szCs w:val="24"/>
              </w:rPr>
              <w:t>Question (s)</w:t>
            </w:r>
          </w:p>
        </w:tc>
        <w:tc>
          <w:tcPr>
            <w:tcW w:w="4508" w:type="dxa"/>
          </w:tcPr>
          <w:p w14:paraId="22F96705" w14:textId="071047D7" w:rsidR="00B059B2" w:rsidRPr="00B82B3B" w:rsidRDefault="00486E2E" w:rsidP="008A01E5">
            <w:pPr>
              <w:jc w:val="center"/>
              <w:rPr>
                <w:rFonts w:asciiTheme="majorBidi" w:hAnsiTheme="majorBidi" w:cstheme="majorBidi"/>
                <w:sz w:val="24"/>
                <w:szCs w:val="24"/>
              </w:rPr>
            </w:pPr>
            <w:r w:rsidRPr="00B82B3B">
              <w:rPr>
                <w:rFonts w:asciiTheme="majorBidi" w:hAnsiTheme="majorBidi" w:cstheme="majorBidi"/>
                <w:sz w:val="24"/>
                <w:szCs w:val="24"/>
              </w:rPr>
              <w:t>Source</w:t>
            </w:r>
          </w:p>
        </w:tc>
      </w:tr>
      <w:tr w:rsidR="002C4640" w:rsidRPr="00B82B3B" w14:paraId="4CEE52A5"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9016" w:type="dxa"/>
            <w:gridSpan w:val="2"/>
          </w:tcPr>
          <w:p w14:paraId="3D1E3727" w14:textId="77777777" w:rsidR="008A01E5" w:rsidRDefault="008A01E5" w:rsidP="008A01E5">
            <w:pPr>
              <w:jc w:val="center"/>
              <w:rPr>
                <w:rFonts w:asciiTheme="majorBidi" w:hAnsiTheme="majorBidi" w:cstheme="majorBidi"/>
                <w:b/>
                <w:bCs/>
                <w:sz w:val="24"/>
                <w:szCs w:val="24"/>
              </w:rPr>
            </w:pPr>
          </w:p>
          <w:p w14:paraId="35C7CC1D" w14:textId="51E79A7B" w:rsidR="002C4640" w:rsidRPr="008A01E5" w:rsidRDefault="002C4640" w:rsidP="008A01E5">
            <w:pPr>
              <w:jc w:val="center"/>
              <w:rPr>
                <w:rFonts w:asciiTheme="majorBidi" w:hAnsiTheme="majorBidi" w:cstheme="majorBidi"/>
                <w:b/>
                <w:bCs/>
                <w:sz w:val="24"/>
                <w:szCs w:val="24"/>
              </w:rPr>
            </w:pPr>
            <w:r w:rsidRPr="008A01E5">
              <w:rPr>
                <w:rFonts w:asciiTheme="majorBidi" w:hAnsiTheme="majorBidi" w:cstheme="majorBidi"/>
                <w:b/>
                <w:bCs/>
                <w:sz w:val="24"/>
                <w:szCs w:val="24"/>
              </w:rPr>
              <w:t>Daily eating habits</w:t>
            </w:r>
          </w:p>
        </w:tc>
      </w:tr>
      <w:tr w:rsidR="00B059B2" w:rsidRPr="00B82B3B" w14:paraId="4DEBD0A8" w14:textId="77777777" w:rsidTr="008A01E5">
        <w:trPr>
          <w:jc w:val="center"/>
        </w:trPr>
        <w:tc>
          <w:tcPr>
            <w:tcW w:w="4508" w:type="dxa"/>
          </w:tcPr>
          <w:p w14:paraId="6D753DC6" w14:textId="579ABA79" w:rsidR="00B059B2" w:rsidRPr="00B82B3B" w:rsidRDefault="00D039BB" w:rsidP="007A126C">
            <w:pPr>
              <w:rPr>
                <w:rFonts w:asciiTheme="majorBidi" w:hAnsiTheme="majorBidi" w:cstheme="majorBidi"/>
                <w:sz w:val="24"/>
                <w:szCs w:val="24"/>
              </w:rPr>
            </w:pPr>
            <w:r w:rsidRPr="00B82B3B">
              <w:rPr>
                <w:rFonts w:asciiTheme="majorBidi" w:hAnsiTheme="majorBidi" w:cstheme="majorBidi"/>
                <w:sz w:val="24"/>
                <w:szCs w:val="24"/>
              </w:rPr>
              <w:t>Q12</w:t>
            </w:r>
            <w:r w:rsidR="009A572E" w:rsidRPr="00B82B3B">
              <w:rPr>
                <w:rFonts w:asciiTheme="majorBidi" w:hAnsiTheme="majorBidi" w:cstheme="majorBidi"/>
                <w:sz w:val="24"/>
                <w:szCs w:val="24"/>
                <w:vertAlign w:val="superscript"/>
              </w:rPr>
              <w:t>α</w:t>
            </w:r>
            <w:r w:rsidR="00B82B3B">
              <w:rPr>
                <w:rFonts w:asciiTheme="majorBidi" w:hAnsiTheme="majorBidi" w:cstheme="majorBidi"/>
                <w:sz w:val="24"/>
                <w:szCs w:val="24"/>
              </w:rPr>
              <w:t xml:space="preserve">, </w:t>
            </w:r>
            <w:r w:rsidR="00B82B3B" w:rsidRPr="00B82B3B">
              <w:rPr>
                <w:rFonts w:asciiTheme="majorBidi" w:hAnsiTheme="majorBidi" w:cstheme="majorBidi"/>
                <w:sz w:val="24"/>
                <w:szCs w:val="24"/>
              </w:rPr>
              <w:t>Q18</w:t>
            </w:r>
            <w:r w:rsidR="00B82B3B" w:rsidRPr="00B82B3B">
              <w:rPr>
                <w:rFonts w:asciiTheme="majorBidi" w:hAnsiTheme="majorBidi" w:cstheme="majorBidi"/>
                <w:sz w:val="24"/>
                <w:szCs w:val="24"/>
                <w:vertAlign w:val="superscript"/>
              </w:rPr>
              <w:t>α</w:t>
            </w:r>
            <w:r w:rsidR="00B82B3B">
              <w:rPr>
                <w:rFonts w:asciiTheme="majorBidi" w:hAnsiTheme="majorBidi" w:cstheme="majorBidi"/>
                <w:sz w:val="24"/>
                <w:szCs w:val="24"/>
              </w:rPr>
              <w:t xml:space="preserve">, </w:t>
            </w:r>
            <w:r w:rsidR="00B82B3B" w:rsidRPr="00B82B3B">
              <w:rPr>
                <w:rFonts w:asciiTheme="majorBidi" w:hAnsiTheme="majorBidi" w:cstheme="majorBidi"/>
                <w:sz w:val="24"/>
                <w:szCs w:val="24"/>
              </w:rPr>
              <w:t>Q20</w:t>
            </w:r>
            <w:r w:rsidR="00B82B3B" w:rsidRPr="00B82B3B">
              <w:rPr>
                <w:rFonts w:asciiTheme="majorBidi" w:hAnsiTheme="majorBidi" w:cstheme="majorBidi"/>
                <w:sz w:val="24"/>
                <w:szCs w:val="24"/>
                <w:vertAlign w:val="superscript"/>
              </w:rPr>
              <w:t>α</w:t>
            </w:r>
          </w:p>
        </w:tc>
        <w:tc>
          <w:tcPr>
            <w:tcW w:w="4508" w:type="dxa"/>
          </w:tcPr>
          <w:p w14:paraId="45CFBF54" w14:textId="68E78522" w:rsidR="00B059B2" w:rsidRPr="00B82B3B" w:rsidRDefault="00B8738B" w:rsidP="007A0A9C">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VhuIYD5r","properties":{"formattedCitation":"(1)","plainCitation":"(1)","noteIndex":0},"citationItems":[{"id":116,"uris":["http://zotero.org/users/6307942/items/6F3VVYL9"],"uri":["http://zotero.org/users/6307942/items/6F3VVYL9"],"itemData":{"id":116,"type":"article-journal","abstract":"On December 12th 2019, a new coronavirus (SARS-Cov2) emerged in Wuhan, China, sparking a pandemic of acute respiratory syndrome in humans (COVID-19). On the 24th of April 2020, the number of COVID-19 deaths in the world, according to the COVID-Case Tracker by Johns Hopkins University, was 195,313, and the number of COVID-19 confirmed cases was 2,783,512. The COVID-19 pandemic represents a massive impact on human health, causing sudden lifestyle changes, through social distancing and isolation at home, with social and economic consequences. Optimizing public health during this pandemic requires not only knowledge from the medical and biological sciences, but also of all human sciences related to lifestyle, social and behavioural studies, including dietary habits and lifestyle.","container-title":"Journal of Translational Medicine","DOI":"10.1186/s12967-020-02399-5","ISSN":"1479-5876","issue":"1","journalAbbreviation":"Journal of Translational Medicine","page":"229","source":"BioMed Central","title":"Eating habits and lifestyle changes during COVID-19 lockdown: an Italian survey","title-short":"Eating habits and lifestyle changes during COVID-19 lockdown","volume":"18","author":[{"family":"Di Renzo","given":"Laura"},{"family":"Gualtieri","given":"Paola"},{"family":"Pivari","given":"Francesca"},{"family":"Soldati","given":"Laura"},{"family":"Attinà","given":"Alda"},{"family":"Cinelli","given":"Giulia"},{"family":"Leggeri","given":"Claudia"},{"family":"Caparello","given":"Giovanna"},{"family":"Barrea","given":"Luigi"},{"family":"Scerbo","given":"Francesco"},{"family":"Esposito","given":"Ernesto"},{"family":"De Lorenzo","given":"Antonino"}],"issued":{"date-parts":[["2020",6,8]]}}}],"schema":"https://github.com/citation-style-language/schema/raw/master/csl-citation.json"}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rPr>
              <w:t>(1)</w:t>
            </w:r>
            <w:r w:rsidRPr="00B82B3B">
              <w:rPr>
                <w:rFonts w:asciiTheme="majorBidi" w:hAnsiTheme="majorBidi" w:cstheme="majorBidi"/>
                <w:sz w:val="24"/>
                <w:szCs w:val="24"/>
              </w:rPr>
              <w:fldChar w:fldCharType="end"/>
            </w:r>
          </w:p>
        </w:tc>
      </w:tr>
      <w:tr w:rsidR="00B059B2" w:rsidRPr="00B82B3B" w14:paraId="445E0B9E"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4508" w:type="dxa"/>
          </w:tcPr>
          <w:p w14:paraId="1A2D2D15" w14:textId="20121639" w:rsidR="00B059B2" w:rsidRPr="00B82B3B" w:rsidRDefault="00DE50D6" w:rsidP="007A126C">
            <w:pPr>
              <w:rPr>
                <w:rFonts w:asciiTheme="majorBidi" w:hAnsiTheme="majorBidi" w:cstheme="majorBidi"/>
                <w:sz w:val="24"/>
                <w:szCs w:val="24"/>
                <w:vertAlign w:val="superscript"/>
              </w:rPr>
            </w:pPr>
            <w:r w:rsidRPr="00B82B3B">
              <w:rPr>
                <w:rFonts w:asciiTheme="majorBidi" w:hAnsiTheme="majorBidi" w:cstheme="majorBidi"/>
                <w:sz w:val="24"/>
                <w:szCs w:val="24"/>
              </w:rPr>
              <w:t>Q13</w:t>
            </w:r>
            <w:r w:rsidR="00A11509" w:rsidRPr="00B82B3B">
              <w:rPr>
                <w:rFonts w:asciiTheme="majorBidi" w:hAnsiTheme="majorBidi" w:cstheme="majorBidi"/>
                <w:sz w:val="24"/>
                <w:szCs w:val="24"/>
                <w:vertAlign w:val="superscript"/>
              </w:rPr>
              <w:t>β</w:t>
            </w:r>
          </w:p>
        </w:tc>
        <w:tc>
          <w:tcPr>
            <w:tcW w:w="4508" w:type="dxa"/>
          </w:tcPr>
          <w:p w14:paraId="52272FB5" w14:textId="621755EF" w:rsidR="00B059B2" w:rsidRPr="00B82B3B" w:rsidRDefault="00285C76" w:rsidP="002D79F0">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TZASGyur","properties":{"formattedCitation":"(1\\uc0\\u8211{}3)","plainCitation":"(1–3)","noteIndex":0},"citationItems":[{"id":116,"uris":["http://zotero.org/users/6307942/items/6F3VVYL9"],"uri":["http://zotero.org/users/6307942/items/6F3VVYL9"],"itemData":{"id":116,"type":"article-journal","abstract":"On December 12th 2019, a new coronavirus (SARS-Cov2) emerged in Wuhan, China, sparking a pandemic of acute respiratory syndrome in humans (COVID-19). On the 24th of April 2020, the number of COVID-19 deaths in the world, according to the COVID-Case Tracker by Johns Hopkins University, was 195,313, and the number of COVID-19 confirmed cases was 2,783,512. The COVID-19 pandemic represents a massive impact on human health, causing sudden lifestyle changes, through social distancing and isolation at home, with social and economic consequences. Optimizing public health during this pandemic requires not only knowledge from the medical and biological sciences, but also of all human sciences related to lifestyle, social and behavioural studies, including dietary habits and lifestyle.","container-title":"Journal of Translational Medicine","DOI":"10.1186/s12967-020-02399-5","ISSN":"1479-5876","issue":"1","journalAbbreviation":"Journal of Translational Medicine","page":"229","source":"BioMed Central","title":"Eating habits and lifestyle changes during COVID-19 lockdown: an Italian survey","title-short":"Eating habits and lifestyle changes during COVID-19 lockdown","volume":"18","author":[{"family":"Di Renzo","given":"Laura"},{"family":"Gualtieri","given":"Paola"},{"family":"Pivari","given":"Francesca"},{"family":"Soldati","given":"Laura"},{"family":"Attinà","given":"Alda"},{"family":"Cinelli","given":"Giulia"},{"family":"Leggeri","given":"Claudia"},{"family":"Caparello","given":"Giovanna"},{"family":"Barrea","given":"Luigi"},{"family":"Scerbo","given":"Francesco"},{"family":"Esposito","given":"Ernesto"},{"family":"De Lorenzo","given":"Antonino"}],"issued":{"date-parts":[["2020",6,8]]}}},{"id":122,"uris":["http://zotero.org/users/6307942/items/EUWHJ5PI"],"uri":["http://zotero.org/users/6307942/items/EUWHJ5PI"],"itemData":{"id":122,"type":"article-journal","abstract":"Introduction\nThe goal was to assess individuals’ weight changes and their connections with depressive symptoms, optimism and physical activity.\nMethod\n4379 Spanish citizens, 16–84 years, participated.\nResults\nMost participants declared no weight changes. Males, young and obese individuals had greater weight variability. Depressive symptoms were linked to larger weight changes. Optimism and MVPA followed a descending pattern from ≥−3 kg. MVPA minutes/week and fulfilling physical activity recommendations were inversely associated to weight changes.\nConclusion\nThe COVID-19 confinement impacted individuals’ weight, expanding depreobesity to include weight loss. Optimism and physical activity seemed to be “protective elements”.","container-title":"Obesity Research &amp; Clinical Practice","DOI":"10.1016/j.orcp.2020.07.006","ISSN":"1871-403X","issue":"4","journalAbbreviation":"Obesity Research &amp; Clinical Practice","language":"en","page":"383-385","source":"ScienceDirect","title":"Weight changes during the COVID-19 home confinement. Effects on psychosocial variables","volume":"14","author":[{"family":"Fernandez-Rio","given":"Javier"},{"family":"Cecchini","given":"Jose A."},{"family":"Mendez-Gimenez","given":"Antonio"},{"family":"Carriedo","given":"Alejandro"}],"issued":{"date-parts":[["2020",7,1]]}}},{"id":119,"uris":["http://zotero.org/users/6307942/items/N9TYVVFT"],"uri":["http://zotero.org/users/6307942/items/N9TYVVFT"],"itemData":{"id":119,"type":"article-journal","abstract":"Background The COVID-19 is a global public health emergency resulting in lockdowns, associated diet and lifestyle changes and constrained public health delivery.\nObjective To investigate the impacts of the COVID-19-induced lockdown in Zimbabwe on nutrition, physical activity, alcohol consumption and smoking among Zimbabwean population aged ≥18 years.\nMethods A cross-sectional online survey was conducted using a structured questionnaire to collect information on demographics (age, gender, place of residence, current employment), food system dimensions, diet and physical activity patterns, stress and anxiety, body image perceptions, lifestyle behaviours like smoking, alcohol intake, screen time and ease of access to health services. Results The participants (n=507) were mostly women (63.0%) between the ages of 31 and 40 years (48.1%) and had tertiary education (91.3%). The lockdown resulted in increase in food prices (94.8%) and decrease in availability of nutritious foods (64%). Most (62.5%) of the participants reported a reduction in their physical activity levels. The prevalence of generalised anxiety disorder (GAD) was 40.4% and mostly affecting woman (63.5%, p=0.909), 31–40 years age group (49.6%, p=0.886). Based on the Body Mass Index-based Silhouette Matching Test (BMI-SMT) 44.5% gained weight, 24.3% lost weight and 31.2% did not have weight change. The paired samples t-test showed that there was a significant increase in perceived body weight (p&lt;0.001). More than half (59.6%) reported having difficulties accessing medicinal drugs and 37.8% growth monitoring services.\nConclusions The lockdown period was associated with increase in food prices, decrease in dietary diversification, elevated GAD symptoms, disrupted diet and consumption patterns. There were low levels of physical activity and perceived weight gained during the lockdown period, thus increasing the risk of overweight and obesity. Further studies incorporating participants of different socioeconomic status are warranted to get more conclusive results.","container-title":"BMJ Nutrition, Prevention &amp; Health","DOI":"10.1136/bmjnph-2020-000124","ISSN":"2516-5542","issue":"2","language":"en","note":"publisher: BMJ Specialist Journals\nsection: Original research","source":"nutrition.bmj.com","title":"Effect of the COVID-19-induced lockdown on nutrition, health and lifestyle patterns among adults in Zimbabwe","URL":"https://nutrition.bmj.com/content/3/2/205","volume":"3","author":[{"family":"Matsungo","given":"Tonderayi Mathew"},{"family":"Chopera","given":"Prosper"}],"accessed":{"date-parts":[["2021",1,26]]},"issued":{"date-parts":[["2020",12,1]]}}}],"schema":"https://github.com/citation-style-language/schema/raw/master/csl-citation.json"}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szCs w:val="24"/>
              </w:rPr>
              <w:t>(1–3)</w:t>
            </w:r>
            <w:r w:rsidRPr="00B82B3B">
              <w:rPr>
                <w:rFonts w:asciiTheme="majorBidi" w:hAnsiTheme="majorBidi" w:cstheme="majorBidi"/>
                <w:sz w:val="24"/>
                <w:szCs w:val="24"/>
              </w:rPr>
              <w:fldChar w:fldCharType="end"/>
            </w:r>
          </w:p>
        </w:tc>
      </w:tr>
      <w:tr w:rsidR="00B059B2" w:rsidRPr="00B82B3B" w14:paraId="7C4227EE" w14:textId="77777777" w:rsidTr="008A01E5">
        <w:trPr>
          <w:jc w:val="center"/>
        </w:trPr>
        <w:tc>
          <w:tcPr>
            <w:tcW w:w="4508" w:type="dxa"/>
          </w:tcPr>
          <w:p w14:paraId="66F09692" w14:textId="56AEFAAA" w:rsidR="00B059B2" w:rsidRPr="00F32334" w:rsidRDefault="00B8738B" w:rsidP="007A126C">
            <w:pPr>
              <w:rPr>
                <w:rFonts w:asciiTheme="majorBidi" w:hAnsiTheme="majorBidi" w:cstheme="majorBidi"/>
                <w:sz w:val="24"/>
                <w:szCs w:val="24"/>
              </w:rPr>
            </w:pPr>
            <w:r w:rsidRPr="00B82B3B">
              <w:rPr>
                <w:rFonts w:asciiTheme="majorBidi" w:hAnsiTheme="majorBidi" w:cstheme="majorBidi"/>
                <w:sz w:val="24"/>
                <w:szCs w:val="24"/>
              </w:rPr>
              <w:t>Q14</w:t>
            </w:r>
            <w:r w:rsidRPr="00B82B3B">
              <w:rPr>
                <w:rFonts w:asciiTheme="majorBidi" w:hAnsiTheme="majorBidi" w:cstheme="majorBidi"/>
                <w:sz w:val="24"/>
                <w:szCs w:val="24"/>
                <w:vertAlign w:val="superscript"/>
              </w:rPr>
              <w:t>β</w:t>
            </w:r>
            <w:r w:rsidRPr="00B82B3B">
              <w:rPr>
                <w:rFonts w:asciiTheme="majorBidi" w:hAnsiTheme="majorBidi" w:cstheme="majorBidi"/>
                <w:sz w:val="24"/>
                <w:szCs w:val="24"/>
              </w:rPr>
              <w:t>, Q15</w:t>
            </w:r>
            <w:r w:rsidRPr="00B82B3B">
              <w:rPr>
                <w:rFonts w:asciiTheme="majorBidi" w:hAnsiTheme="majorBidi" w:cstheme="majorBidi"/>
                <w:sz w:val="24"/>
                <w:szCs w:val="24"/>
                <w:vertAlign w:val="superscript"/>
              </w:rPr>
              <w:t>β</w:t>
            </w:r>
            <w:r w:rsidRPr="00B82B3B">
              <w:rPr>
                <w:rFonts w:asciiTheme="majorBidi" w:hAnsiTheme="majorBidi" w:cstheme="majorBidi"/>
                <w:sz w:val="24"/>
                <w:szCs w:val="24"/>
              </w:rPr>
              <w:t>, Q16</w:t>
            </w:r>
            <w:r w:rsidRPr="00B82B3B">
              <w:rPr>
                <w:rFonts w:asciiTheme="majorBidi" w:hAnsiTheme="majorBidi" w:cstheme="majorBidi"/>
                <w:sz w:val="24"/>
                <w:szCs w:val="24"/>
                <w:vertAlign w:val="superscript"/>
              </w:rPr>
              <w:t>β</w:t>
            </w:r>
            <w:r w:rsidRPr="00B82B3B">
              <w:rPr>
                <w:rFonts w:asciiTheme="majorBidi" w:hAnsiTheme="majorBidi" w:cstheme="majorBidi"/>
                <w:sz w:val="24"/>
                <w:szCs w:val="24"/>
              </w:rPr>
              <w:t>, Q17</w:t>
            </w:r>
            <w:r w:rsidRPr="00B82B3B">
              <w:rPr>
                <w:rFonts w:asciiTheme="majorBidi" w:hAnsiTheme="majorBidi" w:cstheme="majorBidi"/>
                <w:sz w:val="24"/>
                <w:szCs w:val="24"/>
                <w:vertAlign w:val="superscript"/>
              </w:rPr>
              <w:t>β</w:t>
            </w:r>
            <w:r w:rsidR="00F32334">
              <w:rPr>
                <w:rFonts w:asciiTheme="majorBidi" w:hAnsiTheme="majorBidi" w:cstheme="majorBidi"/>
                <w:sz w:val="24"/>
                <w:szCs w:val="24"/>
              </w:rPr>
              <w:t>,</w:t>
            </w:r>
            <w:r w:rsidR="00842907">
              <w:rPr>
                <w:rFonts w:asciiTheme="majorBidi" w:hAnsiTheme="majorBidi" w:cstheme="majorBidi"/>
                <w:sz w:val="24"/>
                <w:szCs w:val="24"/>
              </w:rPr>
              <w:t xml:space="preserve"> </w:t>
            </w:r>
            <w:r w:rsidR="00F32334" w:rsidRPr="00B82B3B">
              <w:rPr>
                <w:rFonts w:asciiTheme="majorBidi" w:hAnsiTheme="majorBidi" w:cstheme="majorBidi"/>
                <w:sz w:val="24"/>
                <w:szCs w:val="24"/>
              </w:rPr>
              <w:t>Q19</w:t>
            </w:r>
            <w:r w:rsidR="00F32334" w:rsidRPr="00B82B3B">
              <w:rPr>
                <w:rFonts w:asciiTheme="majorBidi" w:hAnsiTheme="majorBidi" w:cstheme="majorBidi"/>
                <w:sz w:val="24"/>
                <w:szCs w:val="24"/>
                <w:vertAlign w:val="superscript"/>
              </w:rPr>
              <w:t>β</w:t>
            </w:r>
            <w:r w:rsidR="00F32334">
              <w:rPr>
                <w:rFonts w:asciiTheme="majorBidi" w:hAnsiTheme="majorBidi" w:cstheme="majorBidi"/>
                <w:sz w:val="24"/>
                <w:szCs w:val="24"/>
              </w:rPr>
              <w:t xml:space="preserve">, </w:t>
            </w:r>
            <w:r w:rsidR="00F32334" w:rsidRPr="00B82B3B">
              <w:rPr>
                <w:rFonts w:asciiTheme="majorBidi" w:hAnsiTheme="majorBidi" w:cstheme="majorBidi"/>
                <w:sz w:val="24"/>
                <w:szCs w:val="24"/>
              </w:rPr>
              <w:t>Q24</w:t>
            </w:r>
            <w:r w:rsidR="00F32334" w:rsidRPr="00B82B3B">
              <w:rPr>
                <w:rFonts w:asciiTheme="majorBidi" w:hAnsiTheme="majorBidi" w:cstheme="majorBidi"/>
                <w:sz w:val="24"/>
                <w:szCs w:val="24"/>
                <w:vertAlign w:val="superscript"/>
              </w:rPr>
              <w:t>β</w:t>
            </w:r>
          </w:p>
        </w:tc>
        <w:tc>
          <w:tcPr>
            <w:tcW w:w="4508" w:type="dxa"/>
          </w:tcPr>
          <w:p w14:paraId="36CD47A4" w14:textId="759BAF7E" w:rsidR="00B059B2" w:rsidRPr="00B82B3B" w:rsidRDefault="00B8738B" w:rsidP="007A0A9C">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C87FH1Ed","properties":{"formattedCitation":"(1)","plainCitation":"(1)","noteIndex":0},"citationItems":[{"id":116,"uris":["http://zotero.org/users/6307942/items/6F3VVYL9"],"uri":["http://zotero.org/users/6307942/items/6F3VVYL9"],"itemData":{"id":116,"type":"article-journal","abstract":"On December 12th 2019, a new coronavirus (SARS-Cov2) emerged in Wuhan, China, sparking a pandemic of acute respiratory syndrome in humans (COVID-19). On the 24th of April 2020, the number of COVID-19 deaths in the world, according to the COVID-Case Tracker by Johns Hopkins University, was 195,313, and the number of COVID-19 confirmed cases was 2,783,512. The COVID-19 pandemic represents a massive impact on human health, causing sudden lifestyle changes, through social distancing and isolation at home, with social and economic consequences. Optimizing public health during this pandemic requires not only knowledge from the medical and biological sciences, but also of all human sciences related to lifestyle, social and behavioural studies, including dietary habits and lifestyle.","container-title":"Journal of Translational Medicine","DOI":"10.1186/s12967-020-02399-5","ISSN":"1479-5876","issue":"1","journalAbbreviation":"Journal of Translational Medicine","page":"229","source":"BioMed Central","title":"Eating habits and lifestyle changes during COVID-19 lockdown: an Italian survey","title-short":"Eating habits and lifestyle changes during COVID-19 lockdown","volume":"18","author":[{"family":"Di Renzo","given":"Laura"},{"family":"Gualtieri","given":"Paola"},{"family":"Pivari","given":"Francesca"},{"family":"Soldati","given":"Laura"},{"family":"Attinà","given":"Alda"},{"family":"Cinelli","given":"Giulia"},{"family":"Leggeri","given":"Claudia"},{"family":"Caparello","given":"Giovanna"},{"family":"Barrea","given":"Luigi"},{"family":"Scerbo","given":"Francesco"},{"family":"Esposito","given":"Ernesto"},{"family":"De Lorenzo","given":"Antonino"}],"issued":{"date-parts":[["2020",6,8]]}}}],"schema":"https://github.com/citation-style-language/schema/raw/master/csl-citation.json"}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rPr>
              <w:t>(1)</w:t>
            </w:r>
            <w:r w:rsidRPr="00B82B3B">
              <w:rPr>
                <w:rFonts w:asciiTheme="majorBidi" w:hAnsiTheme="majorBidi" w:cstheme="majorBidi"/>
                <w:sz w:val="24"/>
                <w:szCs w:val="24"/>
              </w:rPr>
              <w:fldChar w:fldCharType="end"/>
            </w:r>
          </w:p>
        </w:tc>
      </w:tr>
      <w:tr w:rsidR="00202EE4" w:rsidRPr="00B82B3B" w14:paraId="499537CA"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4508" w:type="dxa"/>
          </w:tcPr>
          <w:p w14:paraId="6C01B846" w14:textId="763E7BD5" w:rsidR="00202EE4" w:rsidRPr="00B82B3B" w:rsidRDefault="00DD2433" w:rsidP="00202EE4">
            <w:pPr>
              <w:rPr>
                <w:rFonts w:asciiTheme="majorBidi" w:hAnsiTheme="majorBidi" w:cstheme="majorBidi"/>
                <w:sz w:val="24"/>
                <w:szCs w:val="24"/>
              </w:rPr>
            </w:pPr>
            <w:r w:rsidRPr="00B82B3B">
              <w:rPr>
                <w:rFonts w:asciiTheme="majorBidi" w:hAnsiTheme="majorBidi" w:cstheme="majorBidi"/>
                <w:sz w:val="24"/>
                <w:szCs w:val="24"/>
              </w:rPr>
              <w:t>Q21</w:t>
            </w:r>
            <w:r w:rsidR="008F46E6" w:rsidRPr="00B82B3B">
              <w:rPr>
                <w:rFonts w:asciiTheme="majorBidi" w:hAnsiTheme="majorBidi" w:cstheme="majorBidi"/>
                <w:sz w:val="24"/>
                <w:szCs w:val="24"/>
                <w:vertAlign w:val="superscript"/>
              </w:rPr>
              <w:t>€</w:t>
            </w:r>
          </w:p>
        </w:tc>
        <w:tc>
          <w:tcPr>
            <w:tcW w:w="4508" w:type="dxa"/>
          </w:tcPr>
          <w:p w14:paraId="190756AF" w14:textId="7C4ECA54" w:rsidR="00202EE4" w:rsidRPr="00B82B3B" w:rsidRDefault="00AD4B41" w:rsidP="007A0A9C">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UZhvbXwa","properties":{"formattedCitation":"(4)","plainCitation":"(4)","noteIndex":0},"citationItems":[{"id":145,"uris":["http://zotero.org/users/6307942/items/QL65G6IS"],"uri":["http://zotero.org/users/6307942/items/QL65G6IS"],"itemData":{"id":145,"type":"article-journal","abstract":"While all groups are affected by the COVID-19 pandemic, the elderly, underrepresented minorities, and those with underlying medical conditions are at the greatest risk. The high rate of consumption of diets high in saturated fats, sugars, and refined carbohydrates (collectively called Western diet, WD) worldwide, contribute to the prevalence of obesity and type 2 diabetes, and could place these populations at an increased risk for severe COVID-19 pathology and mortality. WD consumption activates the innate immune system and impairs adaptive immunity, leading to chronic inflammation and impaired host defense against viruses. Furthermore, peripheral inflammation caused by COVID-19 may have long-term consequences in those that recover, leading to chronic medical conditions such as dementia and neurodegenerative disease, likely through neuroinflammatory mechanisms that can be compounded by an unhealthy diet. Thus, now more than ever, wider access to healthy foods should be a top priority and individuals should be mindful of healthy eating habits to reduce susceptibility to and long-term complications from COVID-19.","container-title":"Brain, Behavior, and Immunity","DOI":"10.1016/j.bbi.2020.04.040","ISSN":"0889-1591","journalAbbreviation":"Brain, Behavior, and Immunity","language":"en","page":"53-54","source":"ScienceDirect","title":"The impact of nutrition on COVID-19 susceptibility and long-term consequences","volume":"87","author":[{"family":"Butler","given":"Michael J."},{"family":"Barrientos","given":"Ruth M."}],"issued":{"date-parts":[["2020",7,1]]}}}],"schema":"https://github.com/citation-style-language/schema/raw/master/csl-citation.json"}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rPr>
              <w:t>(4)</w:t>
            </w:r>
            <w:r w:rsidRPr="00B82B3B">
              <w:rPr>
                <w:rFonts w:asciiTheme="majorBidi" w:hAnsiTheme="majorBidi" w:cstheme="majorBidi"/>
                <w:sz w:val="24"/>
                <w:szCs w:val="24"/>
              </w:rPr>
              <w:fldChar w:fldCharType="end"/>
            </w:r>
          </w:p>
        </w:tc>
      </w:tr>
      <w:tr w:rsidR="00202EE4" w:rsidRPr="00B82B3B" w14:paraId="23167DFB" w14:textId="77777777" w:rsidTr="008A01E5">
        <w:trPr>
          <w:jc w:val="center"/>
        </w:trPr>
        <w:tc>
          <w:tcPr>
            <w:tcW w:w="4508" w:type="dxa"/>
          </w:tcPr>
          <w:p w14:paraId="6CDAFBEF" w14:textId="2C04FBBB" w:rsidR="00202EE4" w:rsidRPr="00B82B3B" w:rsidRDefault="00FC49CD" w:rsidP="00202EE4">
            <w:pPr>
              <w:rPr>
                <w:rFonts w:asciiTheme="majorBidi" w:hAnsiTheme="majorBidi" w:cstheme="majorBidi"/>
                <w:sz w:val="24"/>
                <w:szCs w:val="24"/>
              </w:rPr>
            </w:pPr>
            <w:r w:rsidRPr="00B82B3B">
              <w:rPr>
                <w:rFonts w:asciiTheme="majorBidi" w:hAnsiTheme="majorBidi" w:cstheme="majorBidi"/>
                <w:sz w:val="24"/>
                <w:szCs w:val="24"/>
              </w:rPr>
              <w:t>Q22</w:t>
            </w:r>
            <w:r w:rsidR="008A7CAA" w:rsidRPr="00B82B3B">
              <w:rPr>
                <w:rFonts w:asciiTheme="majorBidi" w:hAnsiTheme="majorBidi" w:cstheme="majorBidi"/>
                <w:sz w:val="24"/>
                <w:szCs w:val="24"/>
                <w:vertAlign w:val="superscript"/>
              </w:rPr>
              <w:t>β</w:t>
            </w:r>
          </w:p>
        </w:tc>
        <w:tc>
          <w:tcPr>
            <w:tcW w:w="4508" w:type="dxa"/>
          </w:tcPr>
          <w:p w14:paraId="28000041" w14:textId="600A69B5" w:rsidR="004760B0" w:rsidRPr="00B82B3B" w:rsidRDefault="004760B0" w:rsidP="007A0A9C">
            <w:pPr>
              <w:rPr>
                <w:rFonts w:asciiTheme="majorBidi" w:hAnsiTheme="majorBidi" w:cstheme="majorBidi"/>
                <w:sz w:val="24"/>
                <w:szCs w:val="24"/>
              </w:rPr>
            </w:pPr>
            <w:r>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JoHDc1xz","properties":{"formattedCitation":"(1,5)","plainCitation":"(1,5)","noteIndex":0},"citationItems":[{"id":116,"uris":["http://zotero.org/users/6307942/items/6F3VVYL9"],"uri":["http://zotero.org/users/6307942/items/6F3VVYL9"],"itemData":{"id":116,"type":"article-journal","abstract":"On December 12th 2019, a new coronavirus (SARS-Cov2) emerged in Wuhan, China, sparking a pandemic of acute respiratory syndrome in humans (COVID-19). On the 24th of April 2020, the number of COVID-19 deaths in the world, according to the COVID-Case Tracker by Johns Hopkins University, was 195,313, and the number of COVID-19 confirmed cases was 2,783,512. The COVID-19 pandemic represents a massive impact on human health, causing sudden lifestyle changes, through social distancing and isolation at home, with social and economic consequences. Optimizing public health during this pandemic requires not only knowledge from the medical and biological sciences, but also of all human sciences related to lifestyle, social and behavioural studies, including dietary habits and lifestyle.","container-title":"Journal of Translational Medicine","DOI":"10.1186/s12967-020-02399-5","ISSN":"1479-5876","issue":"1","journalAbbreviation":"Journal of Translational Medicine","page":"229","source":"BioMed Central","title":"Eating habits and lifestyle changes during COVID-19 lockdown: an Italian survey","title-short":"Eating habits and lifestyle changes during COVID-19 lockdown","volume":"18","author":[{"family":"Di Renzo","given":"Laura"},{"family":"Gualtieri","given":"Paola"},{"family":"Pivari","given":"Francesca"},{"family":"Soldati","given":"Laura"},{"family":"Attinà","given":"Alda"},{"family":"Cinelli","given":"Giulia"},{"family":"Leggeri","given":"Claudia"},{"family":"Caparello","given":"Giovanna"},{"family":"Barrea","given":"Luigi"},{"family":"Scerbo","given":"Francesco"},{"family":"Esposito","given":"Ernesto"},{"family":"De Lorenzo","given":"Antonino"}],"issued":{"date-parts":[["2020",6,8]]}}},{"id":130,"uris":["http://zotero.org/users/6307942/items/ENGHU3H7"],"uri":["http://zotero.org/users/6307942/items/ENGHU3H7"],"itemData":{"id":130,"type":"article-journal","abstract":"Background: The aims of the present study were to assess changes in lifestyles in the general population in response to coronavirus disease 2019 (COVID-19) lockdown and the influence of COVID-19 perceptions, as assessed by the Extended Parallel Process Model (EPPM), on these changes. Methods: Data were collected from 4005 individuals through an online survey conducted 3 to 4 weeks after the nationwide lockdown implementation in France. Participants were asked whether they practiced five behaviours (i.e.: screen watching, snacking, eating fruits and vegetables, exercising, and walking) less often, as often as, or more often than prior to the lockdown. Beliefs and expectations towards the COVID-19 epidemic were also assessed using an adapted version of EPPM, together with sociodemographic and environmental variables. Results: More than 8 in 10 respondents reported unhealthy changes in lifestyle since the lockdown, mostly in relation to physical activity. The unhealthy changes were positively associated with male sex (Rate ratio (RR) = 1.17; Confidence Interval [95% CI] = 1.10 – 1.24), living urban density, having garden (RR=1.16 [1.07 – 1.26]), financial difficulties because of COVID-19 (RR=1.09 [1.02 – 1.18]), lack of fear control (RR=1.04 [1.01 – 1.09]), and negatively with cognitive avoidance (RR=0.92 [0.89 – 0.95]). Less than 4 in 10 respondents reported healthy changes, mostly in relation to better eating habits. They were positively associated with living with more than two persons (RR=1.22 [1.02-1.45]), having a terrace (RR=1.14 [1.02 – 1.29], perceived efficacy (RR=1.11 [1.04 – 1.08]) and negatively with being aged 40 or higher. Alcohol consumption overall declined in regular drinkers, while a slight increase in tobacco use was observed in regular smokers, Discussion: The COVID-19 pandemic and lockdown resulted in frequent and mostly unhealthy changes in lifestyle among in the general population. They were related to individual and environmental characteristics, but also to EPPM appraisals in the in the wake of fear appeal from COVID-19 campaigns. Communication and preventive measures should include messages and initiatives towards the maintenance of healthy lifestyles during pandemics such as the adaptation of physical activity and eating guidelines to the particular contexts of mobility restriction and infection control.","container-title":"Frontiers in Psychology","DOI":"10.3389/fpsyg.2020.579460","ISSN":"1664-1078","journalAbbreviation":"Front. Psychol.","language":"English","note":"publisher: Frontiers","source":"Frontiers","title":"Socio-Cognitive Factors Associated With Lifestyle Changes in Response to the COVID-19 Epidemic in the General Population: Results From a Cross-Sectional Study in France","title-short":"Socio-Cognitive Factors Associated With Lifestyle Changes in Response to the COVID-19 Epidemic in the General Population","URL":"https://www.frontiersin.org/articles/10.3389/fpsyg.2020.579460/full","volume":"11","author":[{"family":"Constant","given":"Aymery"},{"family":"Conserve","given":"Donaldson Fadael"},{"family":"Gallopel-Morvan","given":"Karine"},{"family":"Raude","given":"Jocelyn"}],"accessed":{"date-parts":[["2021",1,26]]},"issued":{"date-parts":[["2020"]]}}}],"schema":"https://github.com/citation-style-language/schema/raw/master/csl-citation.json"} </w:instrText>
            </w:r>
            <w:r>
              <w:rPr>
                <w:rFonts w:asciiTheme="majorBidi" w:hAnsiTheme="majorBidi" w:cstheme="majorBidi"/>
                <w:sz w:val="24"/>
                <w:szCs w:val="24"/>
              </w:rPr>
              <w:fldChar w:fldCharType="separate"/>
            </w:r>
            <w:r w:rsidR="007A0A9C" w:rsidRPr="007A0A9C">
              <w:rPr>
                <w:rFonts w:ascii="Times New Roman" w:hAnsi="Times New Roman" w:cs="Times New Roman"/>
                <w:sz w:val="24"/>
              </w:rPr>
              <w:t>(1,5)</w:t>
            </w:r>
            <w:r>
              <w:rPr>
                <w:rFonts w:asciiTheme="majorBidi" w:hAnsiTheme="majorBidi" w:cstheme="majorBidi"/>
                <w:sz w:val="24"/>
                <w:szCs w:val="24"/>
              </w:rPr>
              <w:fldChar w:fldCharType="end"/>
            </w:r>
          </w:p>
        </w:tc>
      </w:tr>
      <w:tr w:rsidR="00202EE4" w:rsidRPr="00B82B3B" w14:paraId="0F324BEE"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4508" w:type="dxa"/>
          </w:tcPr>
          <w:p w14:paraId="30EBBAC9" w14:textId="60F2ED6E" w:rsidR="00202EE4" w:rsidRPr="00B82B3B" w:rsidRDefault="00FC49CD" w:rsidP="00202EE4">
            <w:pPr>
              <w:rPr>
                <w:rFonts w:asciiTheme="majorBidi" w:hAnsiTheme="majorBidi" w:cstheme="majorBidi"/>
                <w:sz w:val="24"/>
                <w:szCs w:val="24"/>
              </w:rPr>
            </w:pPr>
            <w:r w:rsidRPr="00B82B3B">
              <w:rPr>
                <w:rFonts w:asciiTheme="majorBidi" w:hAnsiTheme="majorBidi" w:cstheme="majorBidi"/>
                <w:sz w:val="24"/>
                <w:szCs w:val="24"/>
              </w:rPr>
              <w:t>Q23</w:t>
            </w:r>
            <w:r w:rsidR="00150323" w:rsidRPr="00B82B3B">
              <w:rPr>
                <w:rFonts w:asciiTheme="majorBidi" w:hAnsiTheme="majorBidi" w:cstheme="majorBidi"/>
                <w:sz w:val="24"/>
                <w:szCs w:val="24"/>
                <w:vertAlign w:val="superscript"/>
              </w:rPr>
              <w:t>β</w:t>
            </w:r>
          </w:p>
        </w:tc>
        <w:tc>
          <w:tcPr>
            <w:tcW w:w="4508" w:type="dxa"/>
          </w:tcPr>
          <w:p w14:paraId="5E697820" w14:textId="4542CFB7" w:rsidR="00F32334" w:rsidRPr="00B82B3B" w:rsidRDefault="007A0A9C" w:rsidP="007A0A9C">
            <w:pPr>
              <w:rPr>
                <w:rFonts w:asciiTheme="majorBidi" w:hAnsiTheme="majorBidi" w:cstheme="majorBidi"/>
                <w:sz w:val="24"/>
                <w:szCs w:val="24"/>
              </w:rPr>
            </w:pP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Io2CySKv","properties":{"formattedCitation":"(5,6)","plainCitation":"(5,6)","noteIndex":0},"citationItems":[{"id":127,"uris":["http://zotero.org/users/6307942/items/RUGLYES4"],"uri":["http://zotero.org/users/6307942/items/RUGLYES4"],"itemData":{"id":127,"type":"article-journal","abstract":"Background: Public health recommendations and governmental measures during the COVID-19 pandemic have resulted in numerous restrictions on daily living including social distancing, isolation and home confinement. While these measures are imperative to abate the spreading of COVID-19, the impact of these restrictions on health behaviours and lifestyles at home is undefined. Therefore, an international online survey was launched in April 2020, in seven languages, to elucidate the behavioural and lifestyle consequences of COVID-19 restrictions. This report presents the results from the first thousand responders on physical activity (PA) and nutrition behaviours. Methods: Following a structured review of the literature, the &amp;ldquo;Effects of home Confinement on multiple Lifestyle Behaviours during the COVID-19 outbreak (ECLB-COVID19)&amp;rdquo; Electronic survey was designed by a steering group of multidisciplinary scientists and academics. The survey was uploaded and shared on the Google online survey platform. Thirty-five research organisations from Europe, North-Africa, Western Asia and the Americas promoted the survey in English, German, French, Arabic, Spanish, Portuguese and Slovenian languages. Questions were presented in a differential format, with questions related to responses &amp;ldquo;before&amp;rdquo; and &amp;ldquo;during&amp;rdquo; confinement conditions. Results: 1047 replies (54% women) from Asia (36%), Africa (40%), Europe (21%) and other (3%) were included in the analysis. The COVID-19 home confinement had a negative effect on all PA intensity levels (vigorous, moderate, walking and overall). Additionally, daily sitting time increased from 5 to 8 h per day. Food consumption and meal patterns (the type of food, eating out of control, snacks between meals, number of main meals) were more unhealthy during confinement, with only alcohol binge drinking decreasing significantly. Conclusion: While isolation is a necessary measure to protect public health, results indicate that it alters physical activity and eating behaviours in a health compromising direction. A more detailed analysis of survey data will allow for a segregation of these responses in different age groups, countries and other subgroups, which will help develop interventions to mitigate the negative lifestyle behaviours that have manifested during the COVID-19 confinement.","container-title":"Nutrients","DOI":"10.3390/nu12061583","issue":"6","language":"en","note":"number: 6\npublisher: Multidisciplinary Digital Publishing Institute","page":"1583","source":"www.mdpi.com","title":"Effects of COVID-19 Home Confinement on Eating Behaviour and Physical Activity: Results of the ECLB-COVID19 International Online Survey","title-short":"Effects of COVID-19 Home Confinement on Eating Behaviour and Physical Activity","volume":"12","author":[{"family":"Ammar","given":"Achraf"},{"family":"Brach","given":"Michael"},{"family":"Trabelsi","given":"Khaled"},{"family":"Chtourou","given":"Hamdi"},{"family":"Boukhris","given":"Omar"},{"family":"Masmoudi","given":"Liwa"},{"family":"Bouaziz","given":"Bassem"},{"family":"Bentlage","given":"Ellen"},{"family":"How","given":"Daniella"},{"family":"Ahmed","given":"Mona"},{"family":"Müller","given":"Patrick"},{"family":"Müller","given":"Notger"},{"family":"Aloui","given":"Asma"},{"family":"Hammouda","given":"Omar"},{"family":"Paineiras-Domingos","given":"Laisa Liane"},{"family":"Braakman-Jansen","given":"Annemarie"},{"family":"Wrede","given":"Christian"},{"family":"Bastoni","given":"Sofia"},{"family":"Pernambuco","given":"Carlos Soares"},{"family":"Mataruna","given":"Leonardo"},{"family":"Taheri","given":"Morteza"},{"family":"Irandoust","given":"Khadijeh"},{"family":"Khacharem","given":"Aïmen"},{"family":"Bragazzi","given":"Nicola L."},{"family":"Chamari","given":"Karim"},{"family":"Glenn","given":"Jordan M."},{"family":"Bott","given":"Nicholas T."},{"family":"Gargouri","given":"Faiez"},{"family":"Chaari","given":"Lotfi"},{"family":"Batatia","given":"Hadj"},{"family":"Ali","given":"Gamal Mohamed"},{"family":"Abdelkarim","given":"Osama"},{"family":"Jarraya","given":"Mohamed"},{"family":"El Abed","given":"Kais"},{"family":"Souissi","given":"Nizar"},{"family":"Van Gemert-Pijnen","given":"Lisette"},{"family":"Riemann","given":"Bryan L."},{"family":"Riemann","given":"Laurel"},{"family":"Moalla","given":"Wassim"},{"family":"Gómez-Raja","given":"Jonathan"},{"family":"Epstein","given":"Monique"},{"family":"Sanderman","given":"Robbert"},{"family":"Schulz","given":"Sebastian V. W."},{"family":"Jerg","given":"Achim"},{"family":"Al-Horani","given":"Ramzi"},{"family":"Mansi","given":"Taiysir"},{"family":"Jmail","given":"Mohamed"},{"family":"Barbosa","given":"Fernando"},{"family":"Ferreira-Santos","given":"Fernando"},{"family":"Šimunič","given":"Boštjan"},{"family":"Pišot","given":"Rado"},{"family":"Gaggioli","given":"Andrea"},{"family":"Bailey","given":"Stephen J."},{"family":"Steinacker","given":"Jürgen M."},{"family":"Driss","given":"Tarak"},{"family":"Hoekelmann","given":"Anita"},{"family":"On Behalf of the ECLB-COVID19 Consortium","given":""}],"issued":{"date-parts":[["2020",6]]}}},{"id":130,"uris":["http://zotero.org/users/6307942/items/ENGHU3H7"],"uri":["http://zotero.org/users/6307942/items/ENGHU3H7"],"itemData":{"id":130,"type":"article-journal","abstract":"Background: The aims of the present study were to assess changes in lifestyles in the general population in response to coronavirus disease 2019 (COVID-19) lockdown and the influence of COVID-19 perceptions, as assessed by the Extended Parallel Process Model (EPPM), on these changes. Methods: Data were collected from 4005 individuals through an online survey conducted 3 to 4 weeks after the nationwide lockdown implementation in France. Participants were asked whether they practiced five behaviours (i.e.: screen watching, snacking, eating fruits and vegetables, exercising, and walking) less often, as often as, or more often than prior to the lockdown. Beliefs and expectations towards the COVID-19 epidemic were also assessed using an adapted version of EPPM, together with sociodemographic and environmental variables. Results: More than 8 in 10 respondents reported unhealthy changes in lifestyle since the lockdown, mostly in relation to physical activity. The unhealthy changes were positively associated with male sex (Rate ratio (RR) = 1.17; Confidence Interval [95% CI] = 1.10 – 1.24), living urban density, having garden (RR=1.16 [1.07 – 1.26]), financial difficulties because of COVID-19 (RR=1.09 [1.02 – 1.18]), lack of fear control (RR=1.04 [1.01 – 1.09]), and negatively with cognitive avoidance (RR=0.92 [0.89 – 0.95]). Less than 4 in 10 respondents reported healthy changes, mostly in relation to better eating habits. They were positively associated with living with more than two persons (RR=1.22 [1.02-1.45]), having a terrace (RR=1.14 [1.02 – 1.29], perceived efficacy (RR=1.11 [1.04 – 1.08]) and negatively with being aged 40 or higher. Alcohol consumption overall declined in regular drinkers, while a slight increase in tobacco use was observed in regular smokers, Discussion: The COVID-19 pandemic and lockdown resulted in frequent and mostly unhealthy changes in lifestyle among in the general population. They were related to individual and environmental characteristics, but also to EPPM appraisals in the in the wake of fear appeal from COVID-19 campaigns. Communication and preventive measures should include messages and initiatives towards the maintenance of healthy lifestyles during pandemics such as the adaptation of physical activity and eating guidelines to the particular contexts of mobility restriction and infection control.","container-title":"Frontiers in Psychology","DOI":"10.3389/fpsyg.2020.579460","ISSN":"1664-1078","journalAbbreviation":"Front. Psychol.","language":"English","note":"publisher: Frontiers","source":"Frontiers","title":"Socio-Cognitive Factors Associated With Lifestyle Changes in Response to the COVID-19 Epidemic in the General Population: Results From a Cross-Sectional Study in France","title-short":"Socio-Cognitive Factors Associated With Lifestyle Changes in Response to the COVID-19 Epidemic in the General Population","URL":"https://www.frontiersin.org/articles/10.3389/fpsyg.2020.579460/full","volume":"11","author":[{"family":"Constant","given":"Aymery"},{"family":"Conserve","given":"Donaldson Fadael"},{"family":"Gallopel-Morvan","given":"Karine"},{"family":"Raude","given":"Jocelyn"}],"accessed":{"date-parts":[["2021",1,26]]},"issued":{"date-parts":[["2020"]]}}}],"schema":"https://github.com/citation-style-language/schema/raw/master/csl-citation.json"} </w:instrText>
            </w:r>
            <w:r>
              <w:rPr>
                <w:rFonts w:asciiTheme="majorBidi" w:hAnsiTheme="majorBidi" w:cstheme="majorBidi"/>
                <w:sz w:val="24"/>
                <w:szCs w:val="24"/>
              </w:rPr>
              <w:fldChar w:fldCharType="separate"/>
            </w:r>
            <w:r w:rsidRPr="007A0A9C">
              <w:rPr>
                <w:rFonts w:ascii="Times New Roman" w:hAnsi="Times New Roman" w:cs="Times New Roman"/>
                <w:sz w:val="24"/>
              </w:rPr>
              <w:t>(5,6)</w:t>
            </w:r>
            <w:r>
              <w:rPr>
                <w:rFonts w:asciiTheme="majorBidi" w:hAnsiTheme="majorBidi" w:cstheme="majorBidi"/>
                <w:sz w:val="24"/>
                <w:szCs w:val="24"/>
              </w:rPr>
              <w:fldChar w:fldCharType="end"/>
            </w:r>
          </w:p>
        </w:tc>
      </w:tr>
      <w:tr w:rsidR="00202EE4" w:rsidRPr="00B82B3B" w14:paraId="072396AE" w14:textId="77777777" w:rsidTr="008A01E5">
        <w:trPr>
          <w:jc w:val="center"/>
        </w:trPr>
        <w:tc>
          <w:tcPr>
            <w:tcW w:w="4508" w:type="dxa"/>
          </w:tcPr>
          <w:p w14:paraId="50B5BC11" w14:textId="2488926C" w:rsidR="00202EE4" w:rsidRPr="00B82B3B" w:rsidRDefault="00FC49CD" w:rsidP="00202EE4">
            <w:pPr>
              <w:rPr>
                <w:rFonts w:asciiTheme="majorBidi" w:hAnsiTheme="majorBidi" w:cstheme="majorBidi"/>
                <w:sz w:val="24"/>
                <w:szCs w:val="24"/>
              </w:rPr>
            </w:pPr>
            <w:r w:rsidRPr="00B82B3B">
              <w:rPr>
                <w:rFonts w:asciiTheme="majorBidi" w:hAnsiTheme="majorBidi" w:cstheme="majorBidi"/>
                <w:sz w:val="24"/>
                <w:szCs w:val="24"/>
              </w:rPr>
              <w:t>Q25</w:t>
            </w:r>
            <w:r w:rsidR="00731534" w:rsidRPr="00B82B3B">
              <w:rPr>
                <w:rFonts w:asciiTheme="majorBidi" w:hAnsiTheme="majorBidi" w:cstheme="majorBidi"/>
                <w:sz w:val="24"/>
                <w:szCs w:val="24"/>
                <w:vertAlign w:val="superscript"/>
              </w:rPr>
              <w:t>£</w:t>
            </w:r>
          </w:p>
        </w:tc>
        <w:tc>
          <w:tcPr>
            <w:tcW w:w="4508" w:type="dxa"/>
          </w:tcPr>
          <w:p w14:paraId="66FCB11D" w14:textId="77777777" w:rsidR="00202EE4" w:rsidRPr="00B82B3B" w:rsidRDefault="00202EE4" w:rsidP="00202EE4">
            <w:pPr>
              <w:rPr>
                <w:rFonts w:asciiTheme="majorBidi" w:hAnsiTheme="majorBidi" w:cstheme="majorBidi"/>
                <w:sz w:val="24"/>
                <w:szCs w:val="24"/>
              </w:rPr>
            </w:pPr>
          </w:p>
        </w:tc>
      </w:tr>
      <w:tr w:rsidR="00202EE4" w:rsidRPr="00B82B3B" w14:paraId="33372789"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4508" w:type="dxa"/>
          </w:tcPr>
          <w:p w14:paraId="7B584F53" w14:textId="0CC38F16" w:rsidR="00202EE4" w:rsidRPr="00B82B3B" w:rsidRDefault="00FC49CD" w:rsidP="00202EE4">
            <w:pPr>
              <w:rPr>
                <w:rFonts w:asciiTheme="majorBidi" w:hAnsiTheme="majorBidi" w:cstheme="majorBidi"/>
                <w:sz w:val="24"/>
                <w:szCs w:val="24"/>
              </w:rPr>
            </w:pPr>
            <w:r w:rsidRPr="00B82B3B">
              <w:rPr>
                <w:rFonts w:asciiTheme="majorBidi" w:hAnsiTheme="majorBidi" w:cstheme="majorBidi"/>
                <w:sz w:val="24"/>
                <w:szCs w:val="24"/>
              </w:rPr>
              <w:t>Q26</w:t>
            </w:r>
            <w:r w:rsidR="00264E71" w:rsidRPr="00B82B3B">
              <w:rPr>
                <w:rFonts w:asciiTheme="majorBidi" w:hAnsiTheme="majorBidi" w:cstheme="majorBidi"/>
                <w:sz w:val="24"/>
                <w:szCs w:val="24"/>
                <w:vertAlign w:val="superscript"/>
              </w:rPr>
              <w:t>€</w:t>
            </w:r>
          </w:p>
        </w:tc>
        <w:tc>
          <w:tcPr>
            <w:tcW w:w="4508" w:type="dxa"/>
          </w:tcPr>
          <w:p w14:paraId="05E81340" w14:textId="6A19E03E" w:rsidR="00202EE4" w:rsidRPr="00B82B3B" w:rsidRDefault="00264E71" w:rsidP="007A0A9C">
            <w:pPr>
              <w:rPr>
                <w:rFonts w:asciiTheme="majorBidi" w:hAnsiTheme="majorBidi" w:cstheme="majorBidi"/>
                <w:sz w:val="24"/>
                <w:szCs w:val="24"/>
              </w:rPr>
            </w:pPr>
            <w:r w:rsidRPr="00B82B3B">
              <w:rPr>
                <w:rFonts w:asciiTheme="majorBidi" w:hAnsiTheme="majorBidi" w:cstheme="majorBidi"/>
                <w:sz w:val="24"/>
                <w:szCs w:val="24"/>
                <w:lang w:bidi="ar-KW"/>
              </w:rPr>
              <w:fldChar w:fldCharType="begin"/>
            </w:r>
            <w:r w:rsidR="007A0A9C">
              <w:rPr>
                <w:rFonts w:asciiTheme="majorBidi" w:hAnsiTheme="majorBidi" w:cstheme="majorBidi"/>
                <w:sz w:val="24"/>
                <w:szCs w:val="24"/>
                <w:lang w:bidi="ar-KW"/>
              </w:rPr>
              <w:instrText xml:space="preserve"> ADDIN ZOTERO_ITEM CSL_CITATION {"citationID":"I4pqy0iJ","properties":{"formattedCitation":"(7)","plainCitation":"(7)","noteIndex":0},"citationItems":[{"id":132,"uris":["http://zotero.org/users/6307942/items/62PY5E8Y"],"uri":["http://zotero.org/users/6307942/items/62PY5E8Y"],"itemData":{"id":132,"type":"article-journal","abstract":"News and social media platforms have implicated dietary supplements in the treatment and prevention of coronavirus disease 2019 (COVID-19). During this pandemic when information quickly evolves in the presence of contradicting messages and misinformation, the role of the pharmacist is essential. Here, we review theoretical mechanisms and evidence related to efficacy and safety of select supplements in the setting of COVID-19, including vitamin C, vitamin D, zinc, elderberry, and silver. Evidence evaluating these supplements in COVID-19 patients is lacking, and providers and patients should not rely on dietary supplements to prevent or treat COVID-19. Rather, reference to evidence-based guidelines should guide treatment decisions.","container-title":"Annals of Pharmacotherapy","DOI":"10.1177/1060028020928052","ISSN":"1060-0280","issue":"8","journalAbbreviation":"Ann Pharmacother","language":"en","note":"publisher: SAGE Publications Inc","page":"820-826","source":"SAGE Journals","title":"Myth Busters: Dietary Supplements and COVID-19","title-short":"Myth Busters","volume":"54","author":[{"family":"Adams","given":"Kathleen K."},{"family":"Baker","given":"William L."},{"family":"Sobieraj","given":"Diana M."}],"issued":{"date-parts":[["2020",8,1]]}},"locator":"-19"}],"schema":"https://github.com/citation-style-language/schema/raw/master/csl-citation.json"} </w:instrText>
            </w:r>
            <w:r w:rsidRPr="00B82B3B">
              <w:rPr>
                <w:rFonts w:asciiTheme="majorBidi" w:hAnsiTheme="majorBidi" w:cstheme="majorBidi"/>
                <w:sz w:val="24"/>
                <w:szCs w:val="24"/>
                <w:lang w:bidi="ar-KW"/>
              </w:rPr>
              <w:fldChar w:fldCharType="separate"/>
            </w:r>
            <w:r w:rsidR="007A0A9C" w:rsidRPr="007A0A9C">
              <w:rPr>
                <w:rFonts w:ascii="Times New Roman" w:hAnsi="Times New Roman" w:cs="Times New Roman"/>
                <w:sz w:val="24"/>
              </w:rPr>
              <w:t>(7)</w:t>
            </w:r>
            <w:r w:rsidRPr="00B82B3B">
              <w:rPr>
                <w:rFonts w:asciiTheme="majorBidi" w:hAnsiTheme="majorBidi" w:cstheme="majorBidi"/>
                <w:sz w:val="24"/>
                <w:szCs w:val="24"/>
                <w:lang w:bidi="ar-KW"/>
              </w:rPr>
              <w:fldChar w:fldCharType="end"/>
            </w:r>
          </w:p>
        </w:tc>
      </w:tr>
      <w:tr w:rsidR="007F35BB" w:rsidRPr="00B82B3B" w14:paraId="53AC3C75" w14:textId="77777777" w:rsidTr="008A01E5">
        <w:trPr>
          <w:jc w:val="center"/>
        </w:trPr>
        <w:tc>
          <w:tcPr>
            <w:tcW w:w="9016" w:type="dxa"/>
            <w:gridSpan w:val="2"/>
          </w:tcPr>
          <w:p w14:paraId="1E482CB3" w14:textId="77777777" w:rsidR="008A01E5" w:rsidRDefault="008A01E5" w:rsidP="008A01E5">
            <w:pPr>
              <w:jc w:val="center"/>
              <w:rPr>
                <w:rFonts w:asciiTheme="majorBidi" w:hAnsiTheme="majorBidi" w:cstheme="majorBidi"/>
                <w:b/>
                <w:bCs/>
                <w:sz w:val="24"/>
                <w:szCs w:val="24"/>
              </w:rPr>
            </w:pPr>
          </w:p>
          <w:p w14:paraId="449999C0" w14:textId="0F111B12" w:rsidR="007F35BB" w:rsidRPr="008A01E5" w:rsidRDefault="007F35BB" w:rsidP="008A01E5">
            <w:pPr>
              <w:jc w:val="center"/>
              <w:rPr>
                <w:rFonts w:asciiTheme="majorBidi" w:hAnsiTheme="majorBidi" w:cstheme="majorBidi"/>
                <w:b/>
                <w:bCs/>
                <w:sz w:val="24"/>
                <w:szCs w:val="24"/>
              </w:rPr>
            </w:pPr>
            <w:r w:rsidRPr="008A01E5">
              <w:rPr>
                <w:rFonts w:asciiTheme="majorBidi" w:hAnsiTheme="majorBidi" w:cstheme="majorBidi"/>
                <w:b/>
                <w:bCs/>
                <w:sz w:val="24"/>
                <w:szCs w:val="24"/>
              </w:rPr>
              <w:t>Lifestyle</w:t>
            </w:r>
          </w:p>
        </w:tc>
      </w:tr>
      <w:tr w:rsidR="004760B0" w:rsidRPr="00B82B3B" w14:paraId="181D7D67"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4508" w:type="dxa"/>
          </w:tcPr>
          <w:p w14:paraId="7C8A0D68" w14:textId="79A6F2D9"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Q27</w:t>
            </w:r>
            <w:r w:rsidRPr="00B82B3B">
              <w:rPr>
                <w:rFonts w:asciiTheme="majorBidi" w:hAnsiTheme="majorBidi" w:cstheme="majorBidi"/>
                <w:sz w:val="24"/>
                <w:szCs w:val="24"/>
                <w:vertAlign w:val="superscript"/>
              </w:rPr>
              <w:t>β</w:t>
            </w:r>
          </w:p>
        </w:tc>
        <w:tc>
          <w:tcPr>
            <w:tcW w:w="4508" w:type="dxa"/>
          </w:tcPr>
          <w:p w14:paraId="5731447E" w14:textId="03E3B2CD" w:rsidR="004760B0" w:rsidRPr="00B82B3B" w:rsidRDefault="004760B0" w:rsidP="007A0A9C">
            <w:pPr>
              <w:rPr>
                <w:rFonts w:asciiTheme="majorBidi" w:hAnsiTheme="majorBidi" w:cstheme="majorBidi"/>
                <w:sz w:val="24"/>
                <w:szCs w:val="24"/>
              </w:rPr>
            </w:pPr>
            <w:r>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enafpSOb","properties":{"formattedCitation":"(1,5)","plainCitation":"(1,5)","noteIndex":0},"citationItems":[{"id":116,"uris":["http://zotero.org/users/6307942/items/6F3VVYL9"],"uri":["http://zotero.org/users/6307942/items/6F3VVYL9"],"itemData":{"id":116,"type":"article-journal","abstract":"On December 12th 2019, a new coronavirus (SARS-Cov2) emerged in Wuhan, China, sparking a pandemic of acute respiratory syndrome in humans (COVID-19). On the 24th of April 2020, the number of COVID-19 deaths in the world, according to the COVID-Case Tracker by Johns Hopkins University, was 195,313, and the number of COVID-19 confirmed cases was 2,783,512. The COVID-19 pandemic represents a massive impact on human health, causing sudden lifestyle changes, through social distancing and isolation at home, with social and economic consequences. Optimizing public health during this pandemic requires not only knowledge from the medical and biological sciences, but also of all human sciences related to lifestyle, social and behavioural studies, including dietary habits and lifestyle.","container-title":"Journal of Translational Medicine","DOI":"10.1186/s12967-020-02399-5","ISSN":"1479-5876","issue":"1","journalAbbreviation":"Journal of Translational Medicine","page":"229","source":"BioMed Central","title":"Eating habits and lifestyle changes during COVID-19 lockdown: an Italian survey","title-short":"Eating habits and lifestyle changes during COVID-19 lockdown","volume":"18","author":[{"family":"Di Renzo","given":"Laura"},{"family":"Gualtieri","given":"Paola"},{"family":"Pivari","given":"Francesca"},{"family":"Soldati","given":"Laura"},{"family":"Attinà","given":"Alda"},{"family":"Cinelli","given":"Giulia"},{"family":"Leggeri","given":"Claudia"},{"family":"Caparello","given":"Giovanna"},{"family":"Barrea","given":"Luigi"},{"family":"Scerbo","given":"Francesco"},{"family":"Esposito","given":"Ernesto"},{"family":"De Lorenzo","given":"Antonino"}],"issued":{"date-parts":[["2020",6,8]]}}},{"id":130,"uris":["http://zotero.org/users/6307942/items/ENGHU3H7"],"uri":["http://zotero.org/users/6307942/items/ENGHU3H7"],"itemData":{"id":130,"type":"article-journal","abstract":"Background: The aims of the present study were to assess changes in lifestyles in the general population in response to coronavirus disease 2019 (COVID-19) lockdown and the influence of COVID-19 perceptions, as assessed by the Extended Parallel Process Model (EPPM), on these changes. Methods: Data were collected from 4005 individuals through an online survey conducted 3 to 4 weeks after the nationwide lockdown implementation in France. Participants were asked whether they practiced five behaviours (i.e.: screen watching, snacking, eating fruits and vegetables, exercising, and walking) less often, as often as, or more often than prior to the lockdown. Beliefs and expectations towards the COVID-19 epidemic were also assessed using an adapted version of EPPM, together with sociodemographic and environmental variables. Results: More than 8 in 10 respondents reported unhealthy changes in lifestyle since the lockdown, mostly in relation to physical activity. The unhealthy changes were positively associated with male sex (Rate ratio (RR) = 1.17; Confidence Interval [95% CI] = 1.10 – 1.24), living urban density, having garden (RR=1.16 [1.07 – 1.26]), financial difficulties because of COVID-19 (RR=1.09 [1.02 – 1.18]), lack of fear control (RR=1.04 [1.01 – 1.09]), and negatively with cognitive avoidance (RR=0.92 [0.89 – 0.95]). Less than 4 in 10 respondents reported healthy changes, mostly in relation to better eating habits. They were positively associated with living with more than two persons (RR=1.22 [1.02-1.45]), having a terrace (RR=1.14 [1.02 – 1.29], perceived efficacy (RR=1.11 [1.04 – 1.08]) and negatively with being aged 40 or higher. Alcohol consumption overall declined in regular drinkers, while a slight increase in tobacco use was observed in regular smokers, Discussion: The COVID-19 pandemic and lockdown resulted in frequent and mostly unhealthy changes in lifestyle among in the general population. They were related to individual and environmental characteristics, but also to EPPM appraisals in the in the wake of fear appeal from COVID-19 campaigns. Communication and preventive measures should include messages and initiatives towards the maintenance of healthy lifestyles during pandemics such as the adaptation of physical activity and eating guidelines to the particular contexts of mobility restriction and infection control.","container-title":"Frontiers in Psychology","DOI":"10.3389/fpsyg.2020.579460","ISSN":"1664-1078","journalAbbreviation":"Front. Psychol.","language":"English","note":"publisher: Frontiers","source":"Frontiers","title":"Socio-Cognitive Factors Associated With Lifestyle Changes in Response to the COVID-19 Epidemic in the General Population: Results From a Cross-Sectional Study in France","title-short":"Socio-Cognitive Factors Associated With Lifestyle Changes in Response to the COVID-19 Epidemic in the General Population","URL":"https://www.frontiersin.org/articles/10.3389/fpsyg.2020.579460/full","volume":"11","author":[{"family":"Constant","given":"Aymery"},{"family":"Conserve","given":"Donaldson Fadael"},{"family":"Gallopel-Morvan","given":"Karine"},{"family":"Raude","given":"Jocelyn"}],"accessed":{"date-parts":[["2021",1,26]]},"issued":{"date-parts":[["2020"]]}}}],"schema":"https://github.com/citation-style-language/schema/raw/master/csl-citation.json"} </w:instrText>
            </w:r>
            <w:r>
              <w:rPr>
                <w:rFonts w:asciiTheme="majorBidi" w:hAnsiTheme="majorBidi" w:cstheme="majorBidi"/>
                <w:sz w:val="24"/>
                <w:szCs w:val="24"/>
              </w:rPr>
              <w:fldChar w:fldCharType="separate"/>
            </w:r>
            <w:r w:rsidR="007A0A9C" w:rsidRPr="007A0A9C">
              <w:rPr>
                <w:rFonts w:ascii="Times New Roman" w:hAnsi="Times New Roman" w:cs="Times New Roman"/>
                <w:sz w:val="24"/>
              </w:rPr>
              <w:t>(1,5)</w:t>
            </w:r>
            <w:r>
              <w:rPr>
                <w:rFonts w:asciiTheme="majorBidi" w:hAnsiTheme="majorBidi" w:cstheme="majorBidi"/>
                <w:sz w:val="24"/>
                <w:szCs w:val="24"/>
              </w:rPr>
              <w:fldChar w:fldCharType="end"/>
            </w:r>
          </w:p>
        </w:tc>
      </w:tr>
      <w:tr w:rsidR="004760B0" w:rsidRPr="00B82B3B" w14:paraId="0733B6FB" w14:textId="77777777" w:rsidTr="008A01E5">
        <w:trPr>
          <w:jc w:val="center"/>
        </w:trPr>
        <w:tc>
          <w:tcPr>
            <w:tcW w:w="4508" w:type="dxa"/>
          </w:tcPr>
          <w:p w14:paraId="3E6093E9" w14:textId="5B9756CE"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Q28</w:t>
            </w:r>
            <w:r w:rsidRPr="00B82B3B">
              <w:rPr>
                <w:rFonts w:asciiTheme="majorBidi" w:hAnsiTheme="majorBidi" w:cstheme="majorBidi"/>
                <w:sz w:val="24"/>
                <w:szCs w:val="24"/>
                <w:vertAlign w:val="superscript"/>
              </w:rPr>
              <w:t>β</w:t>
            </w:r>
          </w:p>
        </w:tc>
        <w:tc>
          <w:tcPr>
            <w:tcW w:w="4508" w:type="dxa"/>
          </w:tcPr>
          <w:p w14:paraId="1A173407" w14:textId="4C6B4B0D" w:rsidR="004760B0" w:rsidRPr="00B82B3B" w:rsidRDefault="004760B0" w:rsidP="007A0A9C">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vl38pAY7","properties":{"formattedCitation":"(8)","plainCitation":"(8)","noteIndex":0},"citationItems":[{"id":143,"uris":["http://zotero.org/users/6307942/items/RIWFFAVM"],"uri":["http://zotero.org/users/6307942/items/RIWFFAVM"],"itemData":{"id":143,"type":"article-journal","abstract":"Introduction:\nTo mitigate the spread of the pandemic coronavirus infection (COVID-19), governments across the world have adopted “lockdowns” which have confined many individuals to their homes. This disrupts normal life routines, elements of which are important circadian cues. The pandemic is also associated with new stressors, altered roles, and uncertainties about health and economic security, which are also likely to affect sleep. The current study is an online survey of sleep experience, routines, physical activity, and symptoms of anxiety and depression, to study the alterations associated with the lockdown.\n\nMaterials and Methods:\nThe survey was conducted in early May 2020 using a questionnaire circulated through social media platforms. Questions related to demographic characteristics, current and previous sleep schedules, routine, and working patterns. Insomnia (Insomnia Severity Index - 4), Stress (Perceived Stress Scale - 4), anxiety and depressive symptoms (Patient Health Questionnaire - 4) and physical activity (International Physical Activities Questionnaire) were assessed using standardized instruments.\n\nResults:\nA total of 958 valid responses were received. Compared to the prelockdown period, there was a shift to a later bedtime and waking time, with a reduction in night-time sleep and an increase in day-time napping. These effects were visible across occupational groups, but mostly affected working individuals except health professionals. Sleep quality deteriorated across groups. Reductions in sleep duration were associated with depressive symptoms.\n\nConclusions:\nThe COVID-19 lockdown is associated with changes in sleep schedule and in the quantity and quality of night-time sleep. Although these changes are associated with elevated rates of emotional symptoms, it is unclear from these cross-sectional results, whether sleep deterioration produces psychological distress, or vice versa.","container-title":"Indian Journal of Psychiatry","DOI":"10.4103/psychiatry.IndianJPsychiatry_523_20","ISSN":"0019-5545","issue":"4","journalAbbreviation":"Indian J Psychiatry","note":"PMID: 33165382\nPMCID: PMC7597722","page":"370-378","source":"PubMed Central","title":"Changes in sleep pattern and sleep quality during COVID-19 lockdown","volume":"62","author":[{"family":"Gupta","given":"Ravi"},{"family":"Grover","given":"Sandeep"},{"family":"Basu","given":"Aniruddha"},{"family":"Krishnan","given":"Vijay"},{"family":"Tripathi","given":"Adarsh"},{"family":"Subramanyam","given":"Alka"},{"family":"Nischal","given":"Anil"},{"family":"Hussain","given":"Arshad"},{"family":"Mehra","given":"Aseem"},{"family":"Ambekar","given":"Atul"},{"family":"Saha","given":"Gautam"},{"family":"Mishra","given":"Kshirod Kumar"},{"family":"Bathla","given":"Manish"},{"family":"Jagiwala","given":"Mukesh"},{"family":"Manjunatha","given":"Narayana"},{"family":"Nebhinani","given":"Naresh"},{"family":"Gaur","given":"Navendu"},{"family":"Kumar","given":"Niraj"},{"family":"Dalal","given":"Pronob Kumar"},{"family":"Kumar","given":"Pankaj"},{"family":"Midha","given":"Purav Kumar"},{"family":"Daga","given":"Ritu"},{"family":"Tikka","given":"Sai Krishna"},{"family":"Praharaj","given":"Samir Kumar"},{"family":"Goyal","given":"Sandeep Kumar"},{"family":"Kanchan","given":"Shweta"},{"family":"Sarkar","given":"Siddharth"},{"family":"Das","given":"Sourav"},{"family":"Sarkhel","given":"Sujit"},{"family":"Padhy","given":"Susanta Kumar"},{"family":"Sahoo","given":"Swapnajeet"},{"family":"Satyanarayana Rao","given":"T S"},{"family":"Dubey","given":"Vaibhav"},{"family":"Menon","given":"Vikas"},{"family":"Chhabra","given":"Vishal"},{"family":"Lahan","given":"Vivekanand"},{"family":"Avasthi","given":"Ajit"}],"issued":{"date-parts":[["2020"]]}}}],"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rPr>
              <w:t>(8)</w:t>
            </w:r>
            <w:r w:rsidRPr="00B82B3B">
              <w:rPr>
                <w:rFonts w:asciiTheme="majorBidi" w:hAnsiTheme="majorBidi" w:cstheme="majorBidi"/>
                <w:sz w:val="24"/>
                <w:szCs w:val="24"/>
              </w:rPr>
              <w:fldChar w:fldCharType="end"/>
            </w:r>
          </w:p>
        </w:tc>
      </w:tr>
      <w:tr w:rsidR="004760B0" w:rsidRPr="00B82B3B" w14:paraId="00A18059"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4508" w:type="dxa"/>
          </w:tcPr>
          <w:p w14:paraId="4B1E7860" w14:textId="565F6010" w:rsidR="004760B0" w:rsidRPr="004C524F" w:rsidRDefault="004760B0" w:rsidP="004760B0">
            <w:pPr>
              <w:rPr>
                <w:rFonts w:asciiTheme="majorBidi" w:hAnsiTheme="majorBidi" w:cstheme="majorBidi"/>
                <w:sz w:val="24"/>
                <w:szCs w:val="24"/>
              </w:rPr>
            </w:pPr>
            <w:r w:rsidRPr="00B82B3B">
              <w:rPr>
                <w:rFonts w:asciiTheme="majorBidi" w:hAnsiTheme="majorBidi" w:cstheme="majorBidi"/>
                <w:sz w:val="24"/>
                <w:szCs w:val="24"/>
              </w:rPr>
              <w:t>Q29</w:t>
            </w:r>
            <w:r w:rsidRPr="00B82B3B">
              <w:rPr>
                <w:rFonts w:asciiTheme="majorBidi" w:hAnsiTheme="majorBidi" w:cstheme="majorBidi"/>
                <w:sz w:val="24"/>
                <w:szCs w:val="24"/>
                <w:vertAlign w:val="superscript"/>
              </w:rPr>
              <w:t>β</w:t>
            </w:r>
            <w:r w:rsidR="004C524F">
              <w:rPr>
                <w:rFonts w:asciiTheme="majorBidi" w:hAnsiTheme="majorBidi" w:cstheme="majorBidi"/>
                <w:sz w:val="24"/>
                <w:szCs w:val="24"/>
              </w:rPr>
              <w:t xml:space="preserve">, </w:t>
            </w:r>
            <w:r w:rsidR="004C524F" w:rsidRPr="00B82B3B">
              <w:rPr>
                <w:rFonts w:asciiTheme="majorBidi" w:hAnsiTheme="majorBidi" w:cstheme="majorBidi"/>
                <w:sz w:val="24"/>
                <w:szCs w:val="24"/>
              </w:rPr>
              <w:t>Q30</w:t>
            </w:r>
            <w:r w:rsidR="004C524F" w:rsidRPr="00B82B3B">
              <w:rPr>
                <w:rFonts w:asciiTheme="majorBidi" w:hAnsiTheme="majorBidi" w:cstheme="majorBidi"/>
                <w:sz w:val="24"/>
                <w:szCs w:val="24"/>
                <w:vertAlign w:val="superscript"/>
              </w:rPr>
              <w:t>β</w:t>
            </w:r>
          </w:p>
        </w:tc>
        <w:tc>
          <w:tcPr>
            <w:tcW w:w="4508" w:type="dxa"/>
          </w:tcPr>
          <w:p w14:paraId="6AFCD5C3" w14:textId="409507DD" w:rsidR="004760B0" w:rsidRPr="00B82B3B" w:rsidRDefault="004760B0" w:rsidP="007A0A9C">
            <w:pPr>
              <w:rPr>
                <w:rFonts w:asciiTheme="majorBidi" w:hAnsiTheme="majorBidi" w:cstheme="majorBidi"/>
                <w:sz w:val="24"/>
                <w:szCs w:val="24"/>
              </w:rPr>
            </w:pPr>
            <w:r>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YsInUpD8","properties":{"formattedCitation":"(1,6)","plainCitation":"(1,6)","noteIndex":0},"citationItems":[{"id":127,"uris":["http://zotero.org/users/6307942/items/RUGLYES4"],"uri":["http://zotero.org/users/6307942/items/RUGLYES4"],"itemData":{"id":127,"type":"article-journal","abstract":"Background: Public health recommendations and governmental measures during the COVID-19 pandemic have resulted in numerous restrictions on daily living including social distancing, isolation and home confinement. While these measures are imperative to abate the spreading of COVID-19, the impact of these restrictions on health behaviours and lifestyles at home is undefined. Therefore, an international online survey was launched in April 2020, in seven languages, to elucidate the behavioural and lifestyle consequences of COVID-19 restrictions. This report presents the results from the first thousand responders on physical activity (PA) and nutrition behaviours. Methods: Following a structured review of the literature, the &amp;ldquo;Effects of home Confinement on multiple Lifestyle Behaviours during the COVID-19 outbreak (ECLB-COVID19)&amp;rdquo; Electronic survey was designed by a steering group of multidisciplinary scientists and academics. The survey was uploaded and shared on the Google online survey platform. Thirty-five research organisations from Europe, North-Africa, Western Asia and the Americas promoted the survey in English, German, French, Arabic, Spanish, Portuguese and Slovenian languages. Questions were presented in a differential format, with questions related to responses &amp;ldquo;before&amp;rdquo; and &amp;ldquo;during&amp;rdquo; confinement conditions. Results: 1047 replies (54% women) from Asia (36%), Africa (40%), Europe (21%) and other (3%) were included in the analysis. The COVID-19 home confinement had a negative effect on all PA intensity levels (vigorous, moderate, walking and overall). Additionally, daily sitting time increased from 5 to 8 h per day. Food consumption and meal patterns (the type of food, eating out of control, snacks between meals, number of main meals) were more unhealthy during confinement, with only alcohol binge drinking decreasing significantly. Conclusion: While isolation is a necessary measure to protect public health, results indicate that it alters physical activity and eating behaviours in a health compromising direction. A more detailed analysis of survey data will allow for a segregation of these responses in different age groups, countries and other subgroups, which will help develop interventions to mitigate the negative lifestyle behaviours that have manifested during the COVID-19 confinement.","container-title":"Nutrients","DOI":"10.3390/nu12061583","issue":"6","language":"en","note":"number: 6\npublisher: Multidisciplinary Digital Publishing Institute","page":"1583","source":"www.mdpi.com","title":"Effects of COVID-19 Home Confinement on Eating Behaviour and Physical Activity: Results of the ECLB-COVID19 International Online Survey","title-short":"Effects of COVID-19 Home Confinement on Eating Behaviour and Physical Activity","volume":"12","author":[{"family":"Ammar","given":"Achraf"},{"family":"Brach","given":"Michael"},{"family":"Trabelsi","given":"Khaled"},{"family":"Chtourou","given":"Hamdi"},{"family":"Boukhris","given":"Omar"},{"family":"Masmoudi","given":"Liwa"},{"family":"Bouaziz","given":"Bassem"},{"family":"Bentlage","given":"Ellen"},{"family":"How","given":"Daniella"},{"family":"Ahmed","given":"Mona"},{"family":"Müller","given":"Patrick"},{"family":"Müller","given":"Notger"},{"family":"Aloui","given":"Asma"},{"family":"Hammouda","given":"Omar"},{"family":"Paineiras-Domingos","given":"Laisa Liane"},{"family":"Braakman-Jansen","given":"Annemarie"},{"family":"Wrede","given":"Christian"},{"family":"Bastoni","given":"Sofia"},{"family":"Pernambuco","given":"Carlos Soares"},{"family":"Mataruna","given":"Leonardo"},{"family":"Taheri","given":"Morteza"},{"family":"Irandoust","given":"Khadijeh"},{"family":"Khacharem","given":"Aïmen"},{"family":"Bragazzi","given":"Nicola L."},{"family":"Chamari","given":"Karim"},{"family":"Glenn","given":"Jordan M."},{"family":"Bott","given":"Nicholas T."},{"family":"Gargouri","given":"Faiez"},{"family":"Chaari","given":"Lotfi"},{"family":"Batatia","given":"Hadj"},{"family":"Ali","given":"Gamal Mohamed"},{"family":"Abdelkarim","given":"Osama"},{"family":"Jarraya","given":"Mohamed"},{"family":"El Abed","given":"Kais"},{"family":"Souissi","given":"Nizar"},{"family":"Van Gemert-Pijnen","given":"Lisette"},{"family":"Riemann","given":"Bryan L."},{"family":"Riemann","given":"Laurel"},{"family":"Moalla","given":"Wassim"},{"family":"Gómez-Raja","given":"Jonathan"},{"family":"Epstein","given":"Monique"},{"family":"Sanderman","given":"Robbert"},{"family":"Schulz","given":"Sebastian V. W."},{"family":"Jerg","given":"Achim"},{"family":"Al-Horani","given":"Ramzi"},{"family":"Mansi","given":"Taiysir"},{"family":"Jmail","given":"Mohamed"},{"family":"Barbosa","given":"Fernando"},{"family":"Ferreira-Santos","given":"Fernando"},{"family":"Šimunič","given":"Boštjan"},{"family":"Pišot","given":"Rado"},{"family":"Gaggioli","given":"Andrea"},{"family":"Bailey","given":"Stephen J."},{"family":"Steinacker","given":"Jürgen M."},{"family":"Driss","given":"Tarak"},{"family":"Hoekelmann","given":"Anita"},{"family":"On Behalf of the ECLB-COVID19 Consortium","given":""}],"issued":{"date-parts":[["2020",6]]}}},{"id":116,"uris":["http://zotero.org/users/6307942/items/6F3VVYL9"],"uri":["http://zotero.org/users/6307942/items/6F3VVYL9"],"itemData":{"id":116,"type":"article-journal","abstract":"On December 12th 2019, a new coronavirus (SARS-Cov2) emerged in Wuhan, China, sparking a pandemic of acute respiratory syndrome in humans (COVID-19). On the 24th of April 2020, the number of COVID-19 deaths in the world, according to the COVID-Case Tracker by Johns Hopkins University, was 195,313, and the number of COVID-19 confirmed cases was 2,783,512. The COVID-19 pandemic represents a massive impact on human health, causing sudden lifestyle changes, through social distancing and isolation at home, with social and economic consequences. Optimizing public health during this pandemic requires not only knowledge from the medical and biological sciences, but also of all human sciences related to lifestyle, social and behavioural studies, including dietary habits and lifestyle.","container-title":"Journal of Translational Medicine","DOI":"10.1186/s12967-020-02399-5","ISSN":"1479-5876","issue":"1","journalAbbreviation":"Journal of Translational Medicine","page":"229","source":"BioMed Central","title":"Eating habits and lifestyle changes during COVID-19 lockdown: an Italian survey","title-short":"Eating habits and lifestyle changes during COVID-19 lockdown","volume":"18","author":[{"family":"Di Renzo","given":"Laura"},{"family":"Gualtieri","given":"Paola"},{"family":"Pivari","given":"Francesca"},{"family":"Soldati","given":"Laura"},{"family":"Attinà","given":"Alda"},{"family":"Cinelli","given":"Giulia"},{"family":"Leggeri","given":"Claudia"},{"family":"Caparello","given":"Giovanna"},{"family":"Barrea","given":"Luigi"},{"family":"Scerbo","given":"Francesco"},{"family":"Esposito","given":"Ernesto"},{"family":"De Lorenzo","given":"Antonino"}],"issued":{"date-parts":[["2020",6,8]]}}}],"schema":"https://github.com/citation-style-language/schema/raw/master/csl-citation.json"} </w:instrText>
            </w:r>
            <w:r>
              <w:rPr>
                <w:rFonts w:asciiTheme="majorBidi" w:hAnsiTheme="majorBidi" w:cstheme="majorBidi"/>
                <w:sz w:val="24"/>
                <w:szCs w:val="24"/>
              </w:rPr>
              <w:fldChar w:fldCharType="separate"/>
            </w:r>
            <w:r w:rsidR="007A0A9C" w:rsidRPr="007A0A9C">
              <w:rPr>
                <w:rFonts w:ascii="Times New Roman" w:hAnsi="Times New Roman" w:cs="Times New Roman"/>
                <w:sz w:val="24"/>
              </w:rPr>
              <w:t>(1,6)</w:t>
            </w:r>
            <w:r>
              <w:rPr>
                <w:rFonts w:asciiTheme="majorBidi" w:hAnsiTheme="majorBidi" w:cstheme="majorBidi"/>
                <w:sz w:val="24"/>
                <w:szCs w:val="24"/>
              </w:rPr>
              <w:fldChar w:fldCharType="end"/>
            </w:r>
          </w:p>
        </w:tc>
      </w:tr>
      <w:tr w:rsidR="004760B0" w:rsidRPr="00B82B3B" w14:paraId="64497D5D" w14:textId="77777777" w:rsidTr="008A01E5">
        <w:trPr>
          <w:jc w:val="center"/>
        </w:trPr>
        <w:tc>
          <w:tcPr>
            <w:tcW w:w="4508" w:type="dxa"/>
          </w:tcPr>
          <w:p w14:paraId="1854BB54" w14:textId="71DBD459" w:rsidR="004760B0" w:rsidRPr="004760B0" w:rsidRDefault="004760B0" w:rsidP="004760B0">
            <w:pPr>
              <w:rPr>
                <w:rFonts w:asciiTheme="majorBidi" w:hAnsiTheme="majorBidi" w:cstheme="majorBidi"/>
                <w:sz w:val="24"/>
                <w:szCs w:val="24"/>
              </w:rPr>
            </w:pPr>
            <w:r w:rsidRPr="00B82B3B">
              <w:rPr>
                <w:rFonts w:asciiTheme="majorBidi" w:hAnsiTheme="majorBidi" w:cstheme="majorBidi"/>
                <w:sz w:val="24"/>
                <w:szCs w:val="24"/>
              </w:rPr>
              <w:t>Q31</w:t>
            </w:r>
            <w:r w:rsidRPr="00B82B3B">
              <w:rPr>
                <w:rFonts w:asciiTheme="majorBidi" w:hAnsiTheme="majorBidi" w:cstheme="majorBidi"/>
                <w:sz w:val="24"/>
                <w:szCs w:val="24"/>
                <w:vertAlign w:val="superscript"/>
              </w:rPr>
              <w:t>β</w:t>
            </w:r>
            <w:r>
              <w:rPr>
                <w:rFonts w:asciiTheme="majorBidi" w:hAnsiTheme="majorBidi" w:cstheme="majorBidi"/>
                <w:sz w:val="24"/>
                <w:szCs w:val="24"/>
              </w:rPr>
              <w:t xml:space="preserve">, </w:t>
            </w:r>
            <w:r w:rsidRPr="00B82B3B">
              <w:rPr>
                <w:rFonts w:asciiTheme="majorBidi" w:hAnsiTheme="majorBidi" w:cstheme="majorBidi"/>
                <w:sz w:val="24"/>
                <w:szCs w:val="24"/>
              </w:rPr>
              <w:t>Q32</w:t>
            </w:r>
            <w:r w:rsidRPr="00B82B3B">
              <w:rPr>
                <w:rFonts w:asciiTheme="majorBidi" w:hAnsiTheme="majorBidi" w:cstheme="majorBidi"/>
                <w:sz w:val="24"/>
                <w:szCs w:val="24"/>
                <w:vertAlign w:val="superscript"/>
              </w:rPr>
              <w:t>β</w:t>
            </w:r>
          </w:p>
        </w:tc>
        <w:tc>
          <w:tcPr>
            <w:tcW w:w="4508" w:type="dxa"/>
          </w:tcPr>
          <w:p w14:paraId="05A3498E" w14:textId="425D1763" w:rsidR="004760B0" w:rsidRPr="00B82B3B" w:rsidRDefault="004760B0" w:rsidP="007A0A9C">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KVbV3aG2","properties":{"formattedCitation":"(1)","plainCitation":"(1)","noteIndex":0},"citationItems":[{"id":116,"uris":["http://zotero.org/users/6307942/items/6F3VVYL9"],"uri":["http://zotero.org/users/6307942/items/6F3VVYL9"],"itemData":{"id":116,"type":"article-journal","abstract":"On December 12th 2019, a new coronavirus (SARS-Cov2) emerged in Wuhan, China, sparking a pandemic of acute respiratory syndrome in humans (COVID-19). On the 24th of April 2020, the number of COVID-19 deaths in the world, according to the COVID-Case Tracker by Johns Hopkins University, was 195,313, and the number of COVID-19 confirmed cases was 2,783,512. The COVID-19 pandemic represents a massive impact on human health, causing sudden lifestyle changes, through social distancing and isolation at home, with social and economic consequences. Optimizing public health during this pandemic requires not only knowledge from the medical and biological sciences, but also of all human sciences related to lifestyle, social and behavioural studies, including dietary habits and lifestyle.","container-title":"Journal of Translational Medicine","DOI":"10.1186/s12967-020-02399-5","ISSN":"1479-5876","issue":"1","journalAbbreviation":"Journal of Translational Medicine","page":"229","source":"BioMed Central","title":"Eating habits and lifestyle changes during COVID-19 lockdown: an Italian survey","title-short":"Eating habits and lifestyle changes during COVID-19 lockdown","volume":"18","author":[{"family":"Di Renzo","given":"Laura"},{"family":"Gualtieri","given":"Paola"},{"family":"Pivari","given":"Francesca"},{"family":"Soldati","given":"Laura"},{"family":"Attinà","given":"Alda"},{"family":"Cinelli","given":"Giulia"},{"family":"Leggeri","given":"Claudia"},{"family":"Caparello","given":"Giovanna"},{"family":"Barrea","given":"Luigi"},{"family":"Scerbo","given":"Francesco"},{"family":"Esposito","given":"Ernesto"},{"family":"De Lorenzo","given":"Antonino"}],"issued":{"date-parts":[["2020",6,8]]}}}],"schema":"https://github.com/citation-style-language/schema/raw/master/csl-citation.json"}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rPr>
              <w:t>(1)</w:t>
            </w:r>
            <w:r w:rsidRPr="00B82B3B">
              <w:rPr>
                <w:rFonts w:asciiTheme="majorBidi" w:hAnsiTheme="majorBidi" w:cstheme="majorBidi"/>
                <w:sz w:val="24"/>
                <w:szCs w:val="24"/>
              </w:rPr>
              <w:fldChar w:fldCharType="end"/>
            </w:r>
          </w:p>
        </w:tc>
      </w:tr>
      <w:tr w:rsidR="004760B0" w:rsidRPr="00B82B3B" w14:paraId="2BBED474"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4508" w:type="dxa"/>
          </w:tcPr>
          <w:p w14:paraId="2E40E259" w14:textId="2C80FE75"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Q33</w:t>
            </w:r>
            <w:r w:rsidRPr="00B82B3B">
              <w:rPr>
                <w:rFonts w:asciiTheme="majorBidi" w:hAnsiTheme="majorBidi" w:cstheme="majorBidi"/>
                <w:sz w:val="24"/>
                <w:szCs w:val="24"/>
                <w:vertAlign w:val="superscript"/>
              </w:rPr>
              <w:t>β</w:t>
            </w:r>
          </w:p>
        </w:tc>
        <w:tc>
          <w:tcPr>
            <w:tcW w:w="4508" w:type="dxa"/>
          </w:tcPr>
          <w:p w14:paraId="0A384514" w14:textId="1188B6E7" w:rsidR="004760B0" w:rsidRPr="00B82B3B" w:rsidRDefault="004760B0" w:rsidP="007A0A9C">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xD6Tepnf","properties":{"formattedCitation":"(3)","plainCitation":"(3)","noteIndex":0},"citationItems":[{"id":119,"uris":["http://zotero.org/users/6307942/items/N9TYVVFT"],"uri":["http://zotero.org/users/6307942/items/N9TYVVFT"],"itemData":{"id":119,"type":"article-journal","abstract":"Background The COVID-19 is a global public health emergency resulting in lockdowns, associated diet and lifestyle changes and constrained public health delivery.\nObjective To investigate the impacts of the COVID-19-induced lockdown in Zimbabwe on nutrition, physical activity, alcohol consumption and smoking among Zimbabwean population aged ≥18 years.\nMethods A cross-sectional online survey was conducted using a structured questionnaire to collect information on demographics (age, gender, place of residence, current employment), food system dimensions, diet and physical activity patterns, stress and anxiety, body image perceptions, lifestyle behaviours like smoking, alcohol intake, screen time and ease of access to health services. Results The participants (n=507) were mostly women (63.0%) between the ages of 31 and 40 years (48.1%) and had tertiary education (91.3%). The lockdown resulted in increase in food prices (94.8%) and decrease in availability of nutritious foods (64%). Most (62.5%) of the participants reported a reduction in their physical activity levels. The prevalence of generalised anxiety disorder (GAD) was 40.4% and mostly affecting woman (63.5%, p=0.909), 31–40 years age group (49.6%, p=0.886). Based on the Body Mass Index-based Silhouette Matching Test (BMI-SMT) 44.5% gained weight, 24.3% lost weight and 31.2% did not have weight change. The paired samples t-test showed that there was a significant increase in perceived body weight (p&lt;0.001). More than half (59.6%) reported having difficulties accessing medicinal drugs and 37.8% growth monitoring services.\nConclusions The lockdown period was associated with increase in food prices, decrease in dietary diversification, elevated GAD symptoms, disrupted diet and consumption patterns. There were low levels of physical activity and perceived weight gained during the lockdown period, thus increasing the risk of overweight and obesity. Further studies incorporating participants of different socioeconomic status are warranted to get more conclusive results.","container-title":"BMJ Nutrition, Prevention &amp; Health","DOI":"10.1136/bmjnph-2020-000124","ISSN":"2516-5542","issue":"2","language":"en","note":"publisher: BMJ Specialist Journals\nsection: Original research","source":"nutrition.bmj.com","title":"Effect of the COVID-19-induced lockdown on nutrition, health and lifestyle patterns among adults in Zimbabwe","URL":"https://nutrition.bmj.com/content/3/2/205","volume":"3","author":[{"family":"Matsungo","given":"Tonderayi Mathew"},{"family":"Chopera","given":"Prosper"}],"accessed":{"date-parts":[["2021",1,26]]},"issued":{"date-parts":[["2020",12,1]]}}}],"schema":"https://github.com/citation-style-language/schema/raw/master/csl-citation.json"}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rPr>
              <w:t>(3)</w:t>
            </w:r>
            <w:r w:rsidRPr="00B82B3B">
              <w:rPr>
                <w:rFonts w:asciiTheme="majorBidi" w:hAnsiTheme="majorBidi" w:cstheme="majorBidi"/>
                <w:sz w:val="24"/>
                <w:szCs w:val="24"/>
              </w:rPr>
              <w:fldChar w:fldCharType="end"/>
            </w:r>
          </w:p>
        </w:tc>
      </w:tr>
      <w:tr w:rsidR="004760B0" w:rsidRPr="00B82B3B" w14:paraId="56E75B87" w14:textId="77777777" w:rsidTr="008A01E5">
        <w:trPr>
          <w:jc w:val="center"/>
        </w:trPr>
        <w:tc>
          <w:tcPr>
            <w:tcW w:w="4508" w:type="dxa"/>
          </w:tcPr>
          <w:p w14:paraId="52E924DB" w14:textId="61D72F19"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Q34</w:t>
            </w:r>
            <w:r w:rsidRPr="00B82B3B">
              <w:rPr>
                <w:rFonts w:asciiTheme="majorBidi" w:hAnsiTheme="majorBidi" w:cstheme="majorBidi"/>
                <w:sz w:val="24"/>
                <w:szCs w:val="24"/>
                <w:vertAlign w:val="superscript"/>
              </w:rPr>
              <w:t>€</w:t>
            </w:r>
          </w:p>
        </w:tc>
        <w:tc>
          <w:tcPr>
            <w:tcW w:w="4508" w:type="dxa"/>
          </w:tcPr>
          <w:p w14:paraId="5537C0AC" w14:textId="45891DC5" w:rsidR="004760B0" w:rsidRPr="00B82B3B" w:rsidRDefault="004760B0" w:rsidP="007A0A9C">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b1RYOKMS","properties":{"formattedCitation":"(9)","plainCitation":"(9)","noteIndex":0},"citationItems":[{"id":140,"uris":["http://zotero.org/users/6307942/items/42G9KQQI"],"uri":["http://zotero.org/users/6307942/items/42G9KQQI"],"itemData":{"id":140,"type":"article-journal","abstract":"We address the diffusion of information about the COVID-19 with a massive data analysis on Twitter, Instagram, YouTube, Reddit and Gab. We analyze engagement and interest in the COVID-19 topic and provide a differential assessment on the evolution of the discourse on a global scale for each platform and their users. We fit information spreading with epidemic models characterizing the basic reproduction number $$R_0$$R0for each social media platform. Moreover, we identify information spreading from questionable sources, finding different volumes of misinformation in each platform. However, information from both reliable and questionable sources do not present different spreading patterns. Finally, we provide platform-dependent numerical estimates of rumors’ amplification.","container-title":"Scientific Reports","DOI":"10.1038/s41598-020-73510-5","ISSN":"2045-2322","issue":"1","language":"en","note":"number: 1\npublisher: Nature Publishing Group","page":"16598","source":"www.nature.com","title":"The COVID-19 social media infodemic","volume":"10","author":[{"family":"Cinelli","given":"Matteo"},{"family":"Quattrociocchi","given":"Walter"},{"family":"Galeazzi","given":"Alessandro"},{"family":"Valensise","given":"Carlo Michele"},{"family":"Brugnoli","given":"Emanuele"},{"family":"Schmidt","given":"Ana Lucia"},{"family":"Zola","given":"Paola"},{"family":"Zollo","given":"Fabiana"},{"family":"Scala","given":"Antonio"}],"issued":{"date-parts":[["2020",10,6]]}}}],"schema":"https://github.com/citation-style-language/schema/raw/master/csl-citation.json"}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rPr>
              <w:t>(9)</w:t>
            </w:r>
            <w:r w:rsidRPr="00B82B3B">
              <w:rPr>
                <w:rFonts w:asciiTheme="majorBidi" w:hAnsiTheme="majorBidi" w:cstheme="majorBidi"/>
                <w:sz w:val="24"/>
                <w:szCs w:val="24"/>
              </w:rPr>
              <w:fldChar w:fldCharType="end"/>
            </w:r>
          </w:p>
        </w:tc>
      </w:tr>
      <w:tr w:rsidR="004760B0" w:rsidRPr="00B82B3B" w14:paraId="4147E83F"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4508" w:type="dxa"/>
          </w:tcPr>
          <w:p w14:paraId="04AF2A1B" w14:textId="7DA50070"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Q35</w:t>
            </w:r>
            <w:r w:rsidRPr="00B82B3B">
              <w:rPr>
                <w:rFonts w:asciiTheme="majorBidi" w:hAnsiTheme="majorBidi" w:cstheme="majorBidi"/>
                <w:sz w:val="24"/>
                <w:szCs w:val="24"/>
                <w:vertAlign w:val="superscript"/>
              </w:rPr>
              <w:t>β</w:t>
            </w:r>
          </w:p>
        </w:tc>
        <w:tc>
          <w:tcPr>
            <w:tcW w:w="4508" w:type="dxa"/>
          </w:tcPr>
          <w:p w14:paraId="4EEEFC0A" w14:textId="02B35052" w:rsidR="004760B0" w:rsidRPr="00B82B3B" w:rsidRDefault="004760B0" w:rsidP="007A0A9C">
            <w:pPr>
              <w:rPr>
                <w:rFonts w:asciiTheme="majorBidi" w:hAnsiTheme="majorBidi" w:cstheme="majorBidi"/>
                <w:sz w:val="24"/>
                <w:szCs w:val="24"/>
              </w:rPr>
            </w:pPr>
            <w:r w:rsidRPr="00B82B3B">
              <w:rPr>
                <w:rFonts w:asciiTheme="majorBidi" w:hAnsiTheme="majorBidi" w:cstheme="majorBidi"/>
                <w:sz w:val="24"/>
                <w:szCs w:val="24"/>
              </w:rPr>
              <w:fldChar w:fldCharType="begin"/>
            </w:r>
            <w:r w:rsidR="007A0A9C">
              <w:rPr>
                <w:rFonts w:asciiTheme="majorBidi" w:hAnsiTheme="majorBidi" w:cstheme="majorBidi"/>
                <w:sz w:val="24"/>
                <w:szCs w:val="24"/>
              </w:rPr>
              <w:instrText xml:space="preserve"> ADDIN ZOTERO_ITEM CSL_CITATION {"citationID":"hOp3Yr4H","properties":{"formattedCitation":"(10)","plainCitation":"(10)","noteIndex":0},"citationItems":[{"id":124,"uris":["http://zotero.org/users/6307942/items/IQXZA45Z"],"uri":["http://zotero.org/users/6307942/items/IQXZA45Z"],"itemData":{"id":124,"type":"article-journal","abstract":"The emergence of COVID -19 pandemic has severely impacted individuals from all walks of life. The rapid spread of the disease to nearly all parts of the country has posed enormous health, economic, environmental and social challenges to the entire human population. In the absence of any effective drugs and vaccines for treatment, social distancing and other preventive measures are the only alternatives. Lockdown is among one of the options suggested by WHO to reduce spread of the virus. India was quick to close its international borders and enforce the world&amp;rsquo;s largest COVID lockdown on March 22, 2020. The present study attempts to highlight the impact of imposed nationwide lockdown on society and environment alike along with analysis of lifestyle changes. The study was based on an online survey using a structured questionnaire with over 1000 responders across the country. The pandemic situation demands a certain way of shaping the society to reduce virus spread and safeguard oneself. In this study, we analysed the changes that the society has undergone during lockdown to mitigate the spreading of the infection. We also addressed the changes that have become part of our lives during lockdown &amp;ndash; hygiene and health consciousness, work from home (WFM), online teaching, digital shopping, changing internet habits and societal changes.","DOI":"10.20944/preprints202006.0129.v1","language":"en","note":"publisher: Preprints","source":"www.preprints.org","title":"Impact of Lockdown due to COVID-19 Outbreak : Lifestyle Changes and Public Health Concerns in India","title-short":"Impact of Lockdown due to COVID-19 Outbreak","URL":"https://www.preprints.org/manuscript/202006.0129/v1","author":[{"family":"Narayanan","given":"Latha"},{"family":"Pandit","given":"Mansi"},{"family":"Basu","given":"Subhro"},{"family":"Karmakar","given":"Arijeet"},{"family":"Bidhan","given":"Vanshika"},{"family":"Kumar","given":"Hrithik"},{"family":"Brar","given":"Kousheen"}],"accessed":{"date-parts":[["2021",1,26]]},"issued":{"date-parts":[["2020",6,10]]}}}],"schema":"https://github.com/citation-style-language/schema/raw/master/csl-citation.json"} </w:instrText>
            </w:r>
            <w:r w:rsidRPr="00B82B3B">
              <w:rPr>
                <w:rFonts w:asciiTheme="majorBidi" w:hAnsiTheme="majorBidi" w:cstheme="majorBidi"/>
                <w:sz w:val="24"/>
                <w:szCs w:val="24"/>
              </w:rPr>
              <w:fldChar w:fldCharType="separate"/>
            </w:r>
            <w:r w:rsidR="007A0A9C" w:rsidRPr="007A0A9C">
              <w:rPr>
                <w:rFonts w:ascii="Times New Roman" w:hAnsi="Times New Roman" w:cs="Times New Roman"/>
                <w:sz w:val="24"/>
              </w:rPr>
              <w:t>(10)</w:t>
            </w:r>
            <w:r w:rsidRPr="00B82B3B">
              <w:rPr>
                <w:rFonts w:asciiTheme="majorBidi" w:hAnsiTheme="majorBidi" w:cstheme="majorBidi"/>
                <w:sz w:val="24"/>
                <w:szCs w:val="24"/>
              </w:rPr>
              <w:fldChar w:fldCharType="end"/>
            </w:r>
          </w:p>
        </w:tc>
      </w:tr>
      <w:tr w:rsidR="004760B0" w:rsidRPr="00B82B3B" w14:paraId="109DD69E" w14:textId="77777777" w:rsidTr="008A01E5">
        <w:trPr>
          <w:jc w:val="center"/>
        </w:trPr>
        <w:tc>
          <w:tcPr>
            <w:tcW w:w="4508" w:type="dxa"/>
          </w:tcPr>
          <w:p w14:paraId="7EA57FD7" w14:textId="08F32FB0" w:rsidR="004760B0" w:rsidRPr="00B82B3B" w:rsidRDefault="004760B0" w:rsidP="004760B0">
            <w:pPr>
              <w:rPr>
                <w:rFonts w:asciiTheme="majorBidi" w:hAnsiTheme="majorBidi" w:cstheme="majorBidi"/>
                <w:sz w:val="24"/>
                <w:szCs w:val="24"/>
                <w:vertAlign w:val="superscript"/>
              </w:rPr>
            </w:pPr>
            <w:r w:rsidRPr="00B82B3B">
              <w:rPr>
                <w:rFonts w:asciiTheme="majorBidi" w:hAnsiTheme="majorBidi" w:cstheme="majorBidi"/>
                <w:sz w:val="24"/>
                <w:szCs w:val="24"/>
              </w:rPr>
              <w:t>Q36</w:t>
            </w:r>
            <w:r w:rsidRPr="00B82B3B">
              <w:rPr>
                <w:rFonts w:asciiTheme="majorBidi" w:hAnsiTheme="majorBidi" w:cstheme="majorBidi"/>
                <w:sz w:val="24"/>
                <w:szCs w:val="24"/>
                <w:vertAlign w:val="superscript"/>
              </w:rPr>
              <w:t>€</w:t>
            </w:r>
          </w:p>
        </w:tc>
        <w:tc>
          <w:tcPr>
            <w:tcW w:w="4508" w:type="dxa"/>
          </w:tcPr>
          <w:p w14:paraId="2E265BD5" w14:textId="1E085753" w:rsidR="004760B0" w:rsidRPr="00B82B3B" w:rsidRDefault="000B0C26" w:rsidP="007A0A9C">
            <w:pPr>
              <w:rPr>
                <w:rFonts w:asciiTheme="majorBidi" w:hAnsiTheme="majorBidi" w:cstheme="majorBidi"/>
                <w:sz w:val="24"/>
                <w:szCs w:val="24"/>
                <w:rtl/>
                <w:lang w:bidi="ar-KW"/>
              </w:rPr>
            </w:pPr>
            <w:r>
              <w:rPr>
                <w:rFonts w:asciiTheme="majorBidi" w:hAnsiTheme="majorBidi" w:cstheme="majorBidi"/>
                <w:sz w:val="24"/>
                <w:szCs w:val="24"/>
                <w:lang w:bidi="ar-KW"/>
              </w:rPr>
              <w:fldChar w:fldCharType="begin"/>
            </w:r>
            <w:r w:rsidR="007A0A9C">
              <w:rPr>
                <w:rFonts w:asciiTheme="majorBidi" w:hAnsiTheme="majorBidi" w:cstheme="majorBidi"/>
                <w:sz w:val="24"/>
                <w:szCs w:val="24"/>
                <w:lang w:bidi="ar-KW"/>
              </w:rPr>
              <w:instrText xml:space="preserve"> ADDIN ZOTERO_ITEM CSL_CITATION {"citationID":"JCTJ8rwE","properties":{"formattedCitation":"(11)","plainCitation":"(11)","noteIndex":0},"citationItems":[{"id":148,"uris":["http://zotero.org/users/6307942/items/VTZSLXJU"],"uri":["http://zotero.org/users/6307942/items/VTZSLXJU"],"itemData":{"id":148,"type":"article-journal","container-title":"Family Process","DOI":"10.1111/famp.12543","ISSN":"1545-5300","issue":"2","journalAbbreviation":"Fam Process","language":"eng","note":"PMID: 32412686\nPMCID: PMC7273068","page":"309-312","source":"PubMed","title":"Family in the Age of COVID-19","volume":"59","author":[{"family":"Lebow","given":"Jay L."}],"issued":{"date-parts":[["2020",6]]}}}],"schema":"https://github.com/citation-style-language/schema/raw/master/csl-citation.json"} </w:instrText>
            </w:r>
            <w:r>
              <w:rPr>
                <w:rFonts w:asciiTheme="majorBidi" w:hAnsiTheme="majorBidi" w:cstheme="majorBidi"/>
                <w:sz w:val="24"/>
                <w:szCs w:val="24"/>
                <w:lang w:bidi="ar-KW"/>
              </w:rPr>
              <w:fldChar w:fldCharType="separate"/>
            </w:r>
            <w:r w:rsidR="007A0A9C" w:rsidRPr="007A0A9C">
              <w:rPr>
                <w:rFonts w:ascii="Times New Roman" w:hAnsi="Times New Roman" w:cs="Times New Roman"/>
                <w:sz w:val="24"/>
              </w:rPr>
              <w:t>(11)</w:t>
            </w:r>
            <w:r>
              <w:rPr>
                <w:rFonts w:asciiTheme="majorBidi" w:hAnsiTheme="majorBidi" w:cstheme="majorBidi"/>
                <w:sz w:val="24"/>
                <w:szCs w:val="24"/>
                <w:lang w:bidi="ar-KW"/>
              </w:rPr>
              <w:fldChar w:fldCharType="end"/>
            </w:r>
          </w:p>
        </w:tc>
      </w:tr>
      <w:tr w:rsidR="004760B0" w:rsidRPr="00B82B3B" w14:paraId="4E9837CA" w14:textId="77777777" w:rsidTr="008A01E5">
        <w:trPr>
          <w:cnfStyle w:val="000000100000" w:firstRow="0" w:lastRow="0" w:firstColumn="0" w:lastColumn="0" w:oddVBand="0" w:evenVBand="0" w:oddHBand="1" w:evenHBand="0" w:firstRowFirstColumn="0" w:firstRowLastColumn="0" w:lastRowFirstColumn="0" w:lastRowLastColumn="0"/>
          <w:jc w:val="center"/>
        </w:trPr>
        <w:tc>
          <w:tcPr>
            <w:tcW w:w="9016" w:type="dxa"/>
            <w:gridSpan w:val="2"/>
          </w:tcPr>
          <w:p w14:paraId="67F8CCDD" w14:textId="70820B2E"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 xml:space="preserve">β – </w:t>
            </w:r>
            <w:r w:rsidR="002E752F">
              <w:rPr>
                <w:rFonts w:asciiTheme="majorBidi" w:hAnsiTheme="majorBidi" w:cstheme="majorBidi"/>
                <w:sz w:val="24"/>
                <w:szCs w:val="24"/>
              </w:rPr>
              <w:t>implemented with modification</w:t>
            </w:r>
            <w:r w:rsidRPr="00B82B3B">
              <w:rPr>
                <w:rFonts w:asciiTheme="majorBidi" w:hAnsiTheme="majorBidi" w:cstheme="majorBidi"/>
                <w:sz w:val="24"/>
                <w:szCs w:val="24"/>
              </w:rPr>
              <w:t xml:space="preserve"> from another </w:t>
            </w:r>
            <w:proofErr w:type="gramStart"/>
            <w:r w:rsidRPr="00B82B3B">
              <w:rPr>
                <w:rFonts w:asciiTheme="majorBidi" w:hAnsiTheme="majorBidi" w:cstheme="majorBidi"/>
                <w:sz w:val="24"/>
                <w:szCs w:val="24"/>
              </w:rPr>
              <w:t>survey</w:t>
            </w:r>
            <w:proofErr w:type="gramEnd"/>
          </w:p>
          <w:p w14:paraId="49817CF6" w14:textId="0925292E"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 xml:space="preserve">α – </w:t>
            </w:r>
            <w:r w:rsidR="002E752F">
              <w:rPr>
                <w:rFonts w:asciiTheme="majorBidi" w:hAnsiTheme="majorBidi" w:cstheme="majorBidi"/>
                <w:sz w:val="24"/>
                <w:szCs w:val="24"/>
              </w:rPr>
              <w:t xml:space="preserve">implemented </w:t>
            </w:r>
            <w:r w:rsidRPr="00B82B3B">
              <w:rPr>
                <w:rFonts w:asciiTheme="majorBidi" w:hAnsiTheme="majorBidi" w:cstheme="majorBidi"/>
                <w:sz w:val="24"/>
                <w:szCs w:val="24"/>
              </w:rPr>
              <w:t xml:space="preserve">from another </w:t>
            </w:r>
            <w:proofErr w:type="gramStart"/>
            <w:r w:rsidRPr="00B82B3B">
              <w:rPr>
                <w:rFonts w:asciiTheme="majorBidi" w:hAnsiTheme="majorBidi" w:cstheme="majorBidi"/>
                <w:sz w:val="24"/>
                <w:szCs w:val="24"/>
              </w:rPr>
              <w:t>survey</w:t>
            </w:r>
            <w:proofErr w:type="gramEnd"/>
          </w:p>
          <w:p w14:paraId="647AAD96" w14:textId="77777777"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 xml:space="preserve">€ – created based on information from published </w:t>
            </w:r>
            <w:proofErr w:type="gramStart"/>
            <w:r w:rsidRPr="00B82B3B">
              <w:rPr>
                <w:rFonts w:asciiTheme="majorBidi" w:hAnsiTheme="majorBidi" w:cstheme="majorBidi"/>
                <w:sz w:val="24"/>
                <w:szCs w:val="24"/>
              </w:rPr>
              <w:t>articles</w:t>
            </w:r>
            <w:proofErr w:type="gramEnd"/>
          </w:p>
          <w:p w14:paraId="28D35608" w14:textId="63985471" w:rsidR="004760B0" w:rsidRPr="00B82B3B" w:rsidRDefault="004760B0" w:rsidP="004760B0">
            <w:pPr>
              <w:rPr>
                <w:rFonts w:asciiTheme="majorBidi" w:hAnsiTheme="majorBidi" w:cstheme="majorBidi"/>
                <w:sz w:val="24"/>
                <w:szCs w:val="24"/>
              </w:rPr>
            </w:pPr>
            <w:r w:rsidRPr="00B82B3B">
              <w:rPr>
                <w:rFonts w:asciiTheme="majorBidi" w:hAnsiTheme="majorBidi" w:cstheme="majorBidi"/>
                <w:sz w:val="24"/>
                <w:szCs w:val="24"/>
              </w:rPr>
              <w:t>£ – explanatory question</w:t>
            </w:r>
          </w:p>
        </w:tc>
      </w:tr>
    </w:tbl>
    <w:p w14:paraId="2E73768F" w14:textId="77777777" w:rsidR="00B059B2" w:rsidRPr="00B82B3B" w:rsidRDefault="00B059B2" w:rsidP="007A126C">
      <w:pPr>
        <w:rPr>
          <w:rFonts w:asciiTheme="majorBidi" w:hAnsiTheme="majorBidi" w:cstheme="majorBidi"/>
          <w:sz w:val="24"/>
          <w:szCs w:val="24"/>
        </w:rPr>
      </w:pPr>
    </w:p>
    <w:p w14:paraId="7E7CD0ED" w14:textId="77777777" w:rsidR="00DC1D22" w:rsidRDefault="00DC1D22">
      <w:pPr>
        <w:rPr>
          <w:rFonts w:asciiTheme="majorBidi" w:hAnsiTheme="majorBidi" w:cstheme="majorBidi"/>
          <w:sz w:val="24"/>
          <w:szCs w:val="24"/>
        </w:rPr>
      </w:pPr>
    </w:p>
    <w:p w14:paraId="51B7E422" w14:textId="77777777" w:rsidR="00DC1D22" w:rsidRDefault="00DC1D22">
      <w:pPr>
        <w:rPr>
          <w:rFonts w:asciiTheme="majorBidi" w:hAnsiTheme="majorBidi" w:cstheme="majorBidi"/>
          <w:sz w:val="24"/>
          <w:szCs w:val="24"/>
        </w:rPr>
      </w:pPr>
    </w:p>
    <w:p w14:paraId="265193E9" w14:textId="77777777" w:rsidR="00DC1D22" w:rsidRDefault="00DC1D22">
      <w:pPr>
        <w:rPr>
          <w:rFonts w:asciiTheme="majorBidi" w:hAnsiTheme="majorBidi" w:cstheme="majorBidi"/>
          <w:sz w:val="24"/>
          <w:szCs w:val="24"/>
        </w:rPr>
      </w:pPr>
    </w:p>
    <w:p w14:paraId="0BF78A52" w14:textId="77777777" w:rsidR="00DC1D22" w:rsidRDefault="00DC1D22">
      <w:pPr>
        <w:rPr>
          <w:rFonts w:asciiTheme="majorBidi" w:hAnsiTheme="majorBidi" w:cstheme="majorBidi"/>
          <w:sz w:val="24"/>
          <w:szCs w:val="24"/>
        </w:rPr>
      </w:pPr>
    </w:p>
    <w:p w14:paraId="47324BA4" w14:textId="77777777" w:rsidR="00DC1D22" w:rsidRDefault="00DC1D22">
      <w:pPr>
        <w:rPr>
          <w:rFonts w:asciiTheme="majorBidi" w:hAnsiTheme="majorBidi" w:cstheme="majorBidi"/>
          <w:sz w:val="24"/>
          <w:szCs w:val="24"/>
        </w:rPr>
      </w:pPr>
    </w:p>
    <w:p w14:paraId="00835048" w14:textId="09C93584" w:rsidR="00DC1D22" w:rsidRDefault="00DC1D22">
      <w:pPr>
        <w:rPr>
          <w:rFonts w:asciiTheme="majorBidi" w:hAnsiTheme="majorBidi" w:cstheme="majorBidi"/>
          <w:sz w:val="24"/>
          <w:szCs w:val="24"/>
        </w:rPr>
      </w:pPr>
    </w:p>
    <w:p w14:paraId="0716BADD" w14:textId="200F3868" w:rsidR="005A50A1" w:rsidRDefault="005A50A1">
      <w:pPr>
        <w:rPr>
          <w:rFonts w:asciiTheme="majorBidi" w:hAnsiTheme="majorBidi" w:cstheme="majorBidi"/>
          <w:sz w:val="24"/>
          <w:szCs w:val="24"/>
        </w:rPr>
      </w:pPr>
    </w:p>
    <w:p w14:paraId="02F3A156" w14:textId="57811285" w:rsidR="005A50A1" w:rsidRDefault="005A50A1">
      <w:pPr>
        <w:rPr>
          <w:rFonts w:asciiTheme="majorBidi" w:hAnsiTheme="majorBidi" w:cstheme="majorBidi"/>
          <w:sz w:val="24"/>
          <w:szCs w:val="24"/>
        </w:rPr>
      </w:pPr>
    </w:p>
    <w:p w14:paraId="0DB04D97" w14:textId="77777777" w:rsidR="005A50A1" w:rsidRDefault="005A50A1">
      <w:pPr>
        <w:rPr>
          <w:rFonts w:asciiTheme="majorBidi" w:hAnsiTheme="majorBidi" w:cstheme="majorBidi"/>
          <w:sz w:val="24"/>
          <w:szCs w:val="24"/>
        </w:rPr>
      </w:pPr>
    </w:p>
    <w:p w14:paraId="638921D9" w14:textId="1A6A6DFE" w:rsidR="005A50A1" w:rsidRDefault="005A50A1">
      <w:pPr>
        <w:rPr>
          <w:rFonts w:asciiTheme="majorBidi" w:hAnsiTheme="majorBidi" w:cstheme="majorBidi"/>
          <w:sz w:val="24"/>
          <w:szCs w:val="24"/>
        </w:rPr>
      </w:pPr>
    </w:p>
    <w:p w14:paraId="000A6FA3" w14:textId="2B6962D5" w:rsidR="005A50A1" w:rsidRDefault="005A50A1">
      <w:pPr>
        <w:rPr>
          <w:rFonts w:asciiTheme="majorBidi" w:hAnsiTheme="majorBidi" w:cstheme="majorBidi"/>
          <w:sz w:val="24"/>
          <w:szCs w:val="24"/>
        </w:rPr>
      </w:pPr>
    </w:p>
    <w:p w14:paraId="1F4F52FA" w14:textId="49DC214C" w:rsidR="005A50A1" w:rsidRPr="009859F4" w:rsidRDefault="005A50A1" w:rsidP="005A50A1">
      <w:pPr>
        <w:rPr>
          <w:rFonts w:asciiTheme="majorBidi" w:hAnsiTheme="majorBidi" w:cstheme="majorBidi"/>
          <w:b/>
          <w:bCs/>
          <w:sz w:val="24"/>
          <w:szCs w:val="24"/>
          <w:lang w:bidi="ar-EG"/>
        </w:rPr>
      </w:pPr>
      <w:r w:rsidRPr="009859F4">
        <w:rPr>
          <w:rFonts w:asciiTheme="majorBidi" w:hAnsiTheme="majorBidi" w:cstheme="majorBidi"/>
          <w:b/>
          <w:bCs/>
          <w:sz w:val="24"/>
          <w:szCs w:val="24"/>
          <w:lang w:bidi="ar-EG"/>
        </w:rPr>
        <w:lastRenderedPageBreak/>
        <w:t xml:space="preserve">Table </w:t>
      </w:r>
      <w:r>
        <w:rPr>
          <w:rFonts w:asciiTheme="majorBidi" w:hAnsiTheme="majorBidi" w:cstheme="majorBidi"/>
          <w:b/>
          <w:bCs/>
          <w:sz w:val="24"/>
          <w:szCs w:val="24"/>
          <w:lang w:bidi="ar-EG"/>
        </w:rPr>
        <w:t>SII</w:t>
      </w:r>
      <w:r w:rsidRPr="009859F4">
        <w:rPr>
          <w:rFonts w:asciiTheme="majorBidi" w:hAnsiTheme="majorBidi" w:cstheme="majorBidi"/>
          <w:b/>
          <w:bCs/>
          <w:sz w:val="24"/>
          <w:szCs w:val="24"/>
          <w:lang w:bidi="ar-EG"/>
        </w:rPr>
        <w:t>. Cronbach's Alpha measures summary</w:t>
      </w:r>
    </w:p>
    <w:p w14:paraId="412EFEF0" w14:textId="77777777" w:rsidR="005A50A1" w:rsidRDefault="005A50A1" w:rsidP="005A50A1">
      <w:pPr>
        <w:autoSpaceDE w:val="0"/>
        <w:autoSpaceDN w:val="0"/>
        <w:adjustRightInd w:val="0"/>
        <w:spacing w:after="0" w:line="240" w:lineRule="auto"/>
        <w:rPr>
          <w:rFonts w:ascii="Times New Roman" w:hAnsi="Times New Roman" w:cs="Times New Roman"/>
          <w:sz w:val="24"/>
          <w:szCs w:val="24"/>
        </w:rPr>
      </w:pPr>
    </w:p>
    <w:tbl>
      <w:tblPr>
        <w:tblStyle w:val="PlainTable2"/>
        <w:tblpPr w:leftFromText="180" w:rightFromText="180" w:horzAnchor="margin" w:tblpY="1290"/>
        <w:tblW w:w="8752" w:type="dxa"/>
        <w:tblLook w:val="04A0" w:firstRow="1" w:lastRow="0" w:firstColumn="1" w:lastColumn="0" w:noHBand="0" w:noVBand="1"/>
      </w:tblPr>
      <w:tblGrid>
        <w:gridCol w:w="2596"/>
        <w:gridCol w:w="2009"/>
        <w:gridCol w:w="1944"/>
        <w:gridCol w:w="2203"/>
      </w:tblGrid>
      <w:tr w:rsidR="005A50A1" w:rsidRPr="005A50A1" w14:paraId="0640A8BA" w14:textId="77777777" w:rsidTr="00564D6A">
        <w:trPr>
          <w:cnfStyle w:val="100000000000" w:firstRow="1" w:lastRow="0" w:firstColumn="0" w:lastColumn="0" w:oddVBand="0" w:evenVBand="0" w:oddHBand="0"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2596" w:type="dxa"/>
          </w:tcPr>
          <w:p w14:paraId="3E6CC7E4" w14:textId="77777777" w:rsidR="005A50A1" w:rsidRPr="005A50A1" w:rsidRDefault="005A50A1" w:rsidP="00564D6A">
            <w:pPr>
              <w:jc w:val="center"/>
              <w:rPr>
                <w:rFonts w:asciiTheme="majorBidi" w:hAnsiTheme="majorBidi" w:cstheme="majorBidi"/>
                <w:sz w:val="20"/>
                <w:szCs w:val="20"/>
                <w:lang w:bidi="ar-EG"/>
              </w:rPr>
            </w:pPr>
            <w:r w:rsidRPr="005A50A1">
              <w:rPr>
                <w:rFonts w:asciiTheme="majorBidi" w:hAnsiTheme="majorBidi" w:cstheme="majorBidi"/>
                <w:sz w:val="20"/>
                <w:szCs w:val="20"/>
                <w:lang w:bidi="ar-EG"/>
              </w:rPr>
              <w:t>items</w:t>
            </w:r>
          </w:p>
        </w:tc>
        <w:tc>
          <w:tcPr>
            <w:tcW w:w="2009" w:type="dxa"/>
          </w:tcPr>
          <w:p w14:paraId="6E3D5822" w14:textId="77777777" w:rsidR="005A50A1" w:rsidRPr="005A50A1" w:rsidRDefault="005A50A1" w:rsidP="00564D6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sidRPr="005A50A1">
              <w:rPr>
                <w:rFonts w:asciiTheme="majorBidi" w:hAnsiTheme="majorBidi" w:cstheme="majorBidi"/>
                <w:sz w:val="20"/>
                <w:szCs w:val="20"/>
                <w:lang w:bidi="ar-EG"/>
              </w:rPr>
              <w:t>Numbers of questions in each item</w:t>
            </w:r>
          </w:p>
        </w:tc>
        <w:tc>
          <w:tcPr>
            <w:tcW w:w="1944" w:type="dxa"/>
          </w:tcPr>
          <w:p w14:paraId="426AF62E" w14:textId="77777777" w:rsidR="005A50A1" w:rsidRPr="005A50A1" w:rsidRDefault="005A50A1" w:rsidP="00564D6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sidRPr="005A50A1">
              <w:rPr>
                <w:rFonts w:asciiTheme="majorBidi" w:hAnsiTheme="majorBidi" w:cstheme="majorBidi"/>
                <w:sz w:val="20"/>
                <w:szCs w:val="20"/>
                <w:lang w:bidi="ar-EG"/>
              </w:rPr>
              <w:t>Cronbach's Alpha</w:t>
            </w:r>
          </w:p>
        </w:tc>
        <w:tc>
          <w:tcPr>
            <w:tcW w:w="2203" w:type="dxa"/>
          </w:tcPr>
          <w:p w14:paraId="1C7316DC" w14:textId="77777777" w:rsidR="005A50A1" w:rsidRPr="005A50A1" w:rsidRDefault="005A50A1" w:rsidP="00564D6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sidRPr="005A50A1">
              <w:rPr>
                <w:rFonts w:asciiTheme="majorBidi" w:hAnsiTheme="majorBidi" w:cstheme="majorBidi"/>
                <w:sz w:val="20"/>
                <w:szCs w:val="20"/>
                <w:lang w:bidi="ar-EG"/>
              </w:rPr>
              <w:t>Cronbach's Alpha Based on Standardized Items</w:t>
            </w:r>
          </w:p>
        </w:tc>
      </w:tr>
      <w:tr w:rsidR="005A50A1" w:rsidRPr="005A50A1" w14:paraId="36501BDC" w14:textId="77777777" w:rsidTr="005A50A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96" w:type="dxa"/>
          </w:tcPr>
          <w:p w14:paraId="7C4A22F1" w14:textId="090466A7" w:rsidR="005A50A1" w:rsidRPr="005A50A1" w:rsidRDefault="005A50A1" w:rsidP="005A50A1">
            <w:pPr>
              <w:jc w:val="center"/>
              <w:rPr>
                <w:rFonts w:asciiTheme="majorBidi" w:hAnsiTheme="majorBidi" w:cstheme="majorBidi"/>
                <w:b w:val="0"/>
                <w:bCs w:val="0"/>
                <w:sz w:val="20"/>
                <w:szCs w:val="20"/>
                <w:lang w:bidi="ar-EG"/>
              </w:rPr>
            </w:pPr>
            <w:r w:rsidRPr="005A50A1">
              <w:rPr>
                <w:rFonts w:asciiTheme="majorBidi" w:hAnsiTheme="majorBidi" w:cstheme="majorBidi"/>
                <w:b w:val="0"/>
                <w:bCs w:val="0"/>
                <w:sz w:val="20"/>
                <w:szCs w:val="20"/>
                <w:lang w:bidi="ar-EG"/>
              </w:rPr>
              <w:t>daily eating habits</w:t>
            </w:r>
          </w:p>
        </w:tc>
        <w:tc>
          <w:tcPr>
            <w:tcW w:w="2009" w:type="dxa"/>
          </w:tcPr>
          <w:p w14:paraId="432B68C4" w14:textId="77777777" w:rsidR="005A50A1" w:rsidRPr="005A50A1" w:rsidRDefault="005A50A1" w:rsidP="00564D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5A50A1">
              <w:rPr>
                <w:rFonts w:asciiTheme="majorBidi" w:hAnsiTheme="majorBidi" w:cstheme="majorBidi"/>
                <w:color w:val="000000"/>
                <w:sz w:val="20"/>
                <w:szCs w:val="20"/>
              </w:rPr>
              <w:t>28</w:t>
            </w:r>
          </w:p>
        </w:tc>
        <w:tc>
          <w:tcPr>
            <w:tcW w:w="1944" w:type="dxa"/>
          </w:tcPr>
          <w:p w14:paraId="735F12B9" w14:textId="77777777" w:rsidR="005A50A1" w:rsidRPr="005A50A1" w:rsidRDefault="005A50A1" w:rsidP="00564D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5A50A1">
              <w:rPr>
                <w:rFonts w:asciiTheme="majorBidi" w:hAnsiTheme="majorBidi" w:cstheme="majorBidi"/>
                <w:color w:val="000000"/>
                <w:sz w:val="20"/>
                <w:szCs w:val="20"/>
              </w:rPr>
              <w:t>0.729</w:t>
            </w:r>
          </w:p>
        </w:tc>
        <w:tc>
          <w:tcPr>
            <w:tcW w:w="2203" w:type="dxa"/>
          </w:tcPr>
          <w:p w14:paraId="215E3626" w14:textId="77777777" w:rsidR="005A50A1" w:rsidRPr="005A50A1" w:rsidRDefault="005A50A1" w:rsidP="00564D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5A50A1">
              <w:rPr>
                <w:rFonts w:asciiTheme="majorBidi" w:hAnsiTheme="majorBidi" w:cstheme="majorBidi"/>
                <w:color w:val="000000" w:themeColor="text1"/>
                <w:sz w:val="20"/>
                <w:szCs w:val="20"/>
              </w:rPr>
              <w:t>0.807</w:t>
            </w:r>
          </w:p>
        </w:tc>
      </w:tr>
      <w:tr w:rsidR="005A50A1" w:rsidRPr="005A50A1" w14:paraId="434C0D17" w14:textId="77777777" w:rsidTr="005A50A1">
        <w:trPr>
          <w:trHeight w:val="132"/>
        </w:trPr>
        <w:tc>
          <w:tcPr>
            <w:cnfStyle w:val="001000000000" w:firstRow="0" w:lastRow="0" w:firstColumn="1" w:lastColumn="0" w:oddVBand="0" w:evenVBand="0" w:oddHBand="0" w:evenHBand="0" w:firstRowFirstColumn="0" w:firstRowLastColumn="0" w:lastRowFirstColumn="0" w:lastRowLastColumn="0"/>
            <w:tcW w:w="2596" w:type="dxa"/>
          </w:tcPr>
          <w:p w14:paraId="3202F48B" w14:textId="23BB2181" w:rsidR="005A50A1" w:rsidRPr="005A50A1" w:rsidRDefault="005A50A1" w:rsidP="005A50A1">
            <w:pPr>
              <w:jc w:val="center"/>
              <w:rPr>
                <w:rFonts w:asciiTheme="majorBidi" w:hAnsiTheme="majorBidi" w:cstheme="majorBidi"/>
                <w:b w:val="0"/>
                <w:bCs w:val="0"/>
                <w:sz w:val="20"/>
                <w:szCs w:val="20"/>
                <w:lang w:bidi="ar-EG"/>
              </w:rPr>
            </w:pPr>
            <w:r w:rsidRPr="005A50A1">
              <w:rPr>
                <w:rFonts w:asciiTheme="majorBidi" w:hAnsiTheme="majorBidi" w:cstheme="majorBidi"/>
                <w:b w:val="0"/>
                <w:bCs w:val="0"/>
                <w:sz w:val="20"/>
                <w:szCs w:val="20"/>
                <w:lang w:bidi="ar-EG"/>
              </w:rPr>
              <w:t>lifestyle</w:t>
            </w:r>
          </w:p>
        </w:tc>
        <w:tc>
          <w:tcPr>
            <w:tcW w:w="2009" w:type="dxa"/>
          </w:tcPr>
          <w:p w14:paraId="366C4E84" w14:textId="77777777" w:rsidR="005A50A1" w:rsidRPr="005A50A1" w:rsidRDefault="005A50A1" w:rsidP="00564D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5A50A1">
              <w:rPr>
                <w:rFonts w:asciiTheme="majorBidi" w:hAnsiTheme="majorBidi" w:cstheme="majorBidi"/>
                <w:color w:val="000000"/>
                <w:sz w:val="20"/>
                <w:szCs w:val="20"/>
              </w:rPr>
              <w:t>18</w:t>
            </w:r>
          </w:p>
        </w:tc>
        <w:tc>
          <w:tcPr>
            <w:tcW w:w="1944" w:type="dxa"/>
          </w:tcPr>
          <w:p w14:paraId="740CE582" w14:textId="77777777" w:rsidR="005A50A1" w:rsidRPr="005A50A1" w:rsidRDefault="005A50A1" w:rsidP="00564D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5A50A1">
              <w:rPr>
                <w:rFonts w:asciiTheme="majorBidi" w:hAnsiTheme="majorBidi" w:cstheme="majorBidi"/>
                <w:color w:val="000000"/>
                <w:sz w:val="20"/>
                <w:szCs w:val="20"/>
              </w:rPr>
              <w:t>0.697</w:t>
            </w:r>
          </w:p>
        </w:tc>
        <w:tc>
          <w:tcPr>
            <w:tcW w:w="2203" w:type="dxa"/>
          </w:tcPr>
          <w:p w14:paraId="2DCD97FA" w14:textId="77777777" w:rsidR="005A50A1" w:rsidRPr="005A50A1" w:rsidRDefault="005A50A1" w:rsidP="00564D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5A50A1">
              <w:rPr>
                <w:rFonts w:asciiTheme="majorBidi" w:hAnsiTheme="majorBidi" w:cstheme="majorBidi"/>
                <w:color w:val="000000" w:themeColor="text1"/>
                <w:sz w:val="20"/>
                <w:szCs w:val="20"/>
              </w:rPr>
              <w:t>0.658</w:t>
            </w:r>
          </w:p>
        </w:tc>
      </w:tr>
      <w:tr w:rsidR="005A50A1" w:rsidRPr="005A50A1" w14:paraId="4DD3DAA2" w14:textId="77777777" w:rsidTr="00564D6A">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596" w:type="dxa"/>
          </w:tcPr>
          <w:p w14:paraId="579EF8D5" w14:textId="77777777" w:rsidR="005A50A1" w:rsidRPr="005A50A1" w:rsidRDefault="005A50A1" w:rsidP="00564D6A">
            <w:pPr>
              <w:jc w:val="center"/>
              <w:rPr>
                <w:rFonts w:asciiTheme="majorBidi" w:hAnsiTheme="majorBidi" w:cstheme="majorBidi"/>
                <w:b w:val="0"/>
                <w:bCs w:val="0"/>
                <w:sz w:val="20"/>
                <w:szCs w:val="20"/>
                <w:lang w:bidi="ar-EG"/>
              </w:rPr>
            </w:pPr>
            <w:r w:rsidRPr="005A50A1">
              <w:rPr>
                <w:rFonts w:asciiTheme="majorBidi" w:hAnsiTheme="majorBidi" w:cstheme="majorBidi"/>
                <w:b w:val="0"/>
                <w:bCs w:val="0"/>
                <w:sz w:val="20"/>
                <w:szCs w:val="20"/>
                <w:lang w:bidi="ar-EG"/>
              </w:rPr>
              <w:t>Total items</w:t>
            </w:r>
          </w:p>
        </w:tc>
        <w:tc>
          <w:tcPr>
            <w:tcW w:w="2009" w:type="dxa"/>
          </w:tcPr>
          <w:p w14:paraId="08BCD62E" w14:textId="1907D995" w:rsidR="005A50A1" w:rsidRPr="005A50A1" w:rsidRDefault="005A50A1" w:rsidP="00564D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5A50A1">
              <w:rPr>
                <w:rFonts w:asciiTheme="majorBidi" w:hAnsiTheme="majorBidi" w:cstheme="majorBidi"/>
                <w:color w:val="000000"/>
                <w:sz w:val="20"/>
                <w:szCs w:val="20"/>
              </w:rPr>
              <w:t>46</w:t>
            </w:r>
          </w:p>
        </w:tc>
        <w:tc>
          <w:tcPr>
            <w:tcW w:w="1944" w:type="dxa"/>
          </w:tcPr>
          <w:p w14:paraId="4F714B2C" w14:textId="77777777" w:rsidR="005A50A1" w:rsidRPr="005A50A1" w:rsidRDefault="005A50A1" w:rsidP="00564D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5A50A1">
              <w:rPr>
                <w:rFonts w:asciiTheme="majorBidi" w:hAnsiTheme="majorBidi" w:cstheme="majorBidi"/>
                <w:color w:val="000000"/>
                <w:sz w:val="20"/>
                <w:szCs w:val="20"/>
              </w:rPr>
              <w:t>0.786</w:t>
            </w:r>
          </w:p>
        </w:tc>
        <w:tc>
          <w:tcPr>
            <w:tcW w:w="2203" w:type="dxa"/>
          </w:tcPr>
          <w:p w14:paraId="485DB41F" w14:textId="77777777" w:rsidR="005A50A1" w:rsidRPr="005A50A1" w:rsidRDefault="005A50A1" w:rsidP="00564D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5A50A1">
              <w:rPr>
                <w:rFonts w:asciiTheme="majorBidi" w:hAnsiTheme="majorBidi" w:cstheme="majorBidi"/>
                <w:color w:val="000000" w:themeColor="text1"/>
                <w:sz w:val="20"/>
                <w:szCs w:val="20"/>
              </w:rPr>
              <w:t>0.822</w:t>
            </w:r>
          </w:p>
        </w:tc>
      </w:tr>
    </w:tbl>
    <w:p w14:paraId="19D13506" w14:textId="5D32E3F2" w:rsidR="005A50A1" w:rsidRDefault="005A50A1" w:rsidP="005A50A1">
      <w:pPr>
        <w:autoSpaceDE w:val="0"/>
        <w:autoSpaceDN w:val="0"/>
        <w:adjustRightInd w:val="0"/>
        <w:spacing w:after="0" w:line="240" w:lineRule="auto"/>
        <w:rPr>
          <w:rFonts w:ascii="Times New Roman" w:hAnsi="Times New Roman" w:cs="Times New Roman"/>
          <w:sz w:val="24"/>
          <w:szCs w:val="24"/>
        </w:rPr>
      </w:pPr>
    </w:p>
    <w:p w14:paraId="045FAB4F" w14:textId="77777777" w:rsidR="005A50A1" w:rsidRDefault="005A50A1" w:rsidP="005A50A1">
      <w:pPr>
        <w:autoSpaceDE w:val="0"/>
        <w:autoSpaceDN w:val="0"/>
        <w:adjustRightInd w:val="0"/>
        <w:spacing w:after="0" w:line="240" w:lineRule="auto"/>
        <w:rPr>
          <w:rFonts w:ascii="Times New Roman" w:hAnsi="Times New Roman" w:cs="Times New Roman"/>
          <w:sz w:val="24"/>
          <w:szCs w:val="24"/>
        </w:rPr>
      </w:pPr>
    </w:p>
    <w:p w14:paraId="09EBDDE2" w14:textId="77777777" w:rsidR="005A50A1" w:rsidRDefault="005A50A1" w:rsidP="005A50A1">
      <w:pPr>
        <w:autoSpaceDE w:val="0"/>
        <w:autoSpaceDN w:val="0"/>
        <w:adjustRightInd w:val="0"/>
        <w:spacing w:after="0" w:line="240" w:lineRule="auto"/>
        <w:rPr>
          <w:rFonts w:ascii="Times New Roman" w:hAnsi="Times New Roman" w:cs="Times New Roman"/>
          <w:sz w:val="24"/>
          <w:szCs w:val="24"/>
        </w:rPr>
      </w:pPr>
    </w:p>
    <w:p w14:paraId="38ABCB25" w14:textId="4E128C65" w:rsidR="005A50A1" w:rsidRPr="009859F4" w:rsidRDefault="005A50A1" w:rsidP="005A50A1">
      <w:pPr>
        <w:autoSpaceDE w:val="0"/>
        <w:autoSpaceDN w:val="0"/>
        <w:adjustRightInd w:val="0"/>
        <w:spacing w:after="0" w:line="240" w:lineRule="auto"/>
        <w:rPr>
          <w:rFonts w:ascii="Times New Roman" w:hAnsi="Times New Roman" w:cs="Times New Roman"/>
          <w:b/>
          <w:bCs/>
          <w:sz w:val="24"/>
          <w:szCs w:val="24"/>
        </w:rPr>
      </w:pPr>
      <w:r w:rsidRPr="009859F4">
        <w:rPr>
          <w:rFonts w:ascii="Times New Roman" w:hAnsi="Times New Roman" w:cs="Times New Roman"/>
          <w:b/>
          <w:bCs/>
          <w:sz w:val="24"/>
          <w:szCs w:val="24"/>
        </w:rPr>
        <w:t xml:space="preserve">Table </w:t>
      </w:r>
      <w:r>
        <w:rPr>
          <w:rFonts w:ascii="Times New Roman" w:hAnsi="Times New Roman" w:cs="Times New Roman"/>
          <w:b/>
          <w:bCs/>
          <w:sz w:val="24"/>
          <w:szCs w:val="24"/>
        </w:rPr>
        <w:t>SIII</w:t>
      </w:r>
      <w:r w:rsidRPr="009859F4">
        <w:rPr>
          <w:rFonts w:ascii="Times New Roman" w:hAnsi="Times New Roman" w:cs="Times New Roman"/>
          <w:b/>
          <w:bCs/>
          <w:sz w:val="24"/>
          <w:szCs w:val="24"/>
        </w:rPr>
        <w:t xml:space="preserve">: measuring </w:t>
      </w:r>
      <w:r w:rsidRPr="009859F4">
        <w:rPr>
          <w:rFonts w:ascii="Times New Roman" w:hAnsi="Times New Roman" w:cs="Times New Roman"/>
          <w:b/>
          <w:bCs/>
          <w:i/>
          <w:iCs/>
          <w:sz w:val="24"/>
          <w:szCs w:val="24"/>
        </w:rPr>
        <w:t>daily eating habits</w:t>
      </w:r>
      <w:r w:rsidRPr="009859F4">
        <w:rPr>
          <w:rFonts w:ascii="Times New Roman" w:hAnsi="Times New Roman" w:cs="Times New Roman"/>
          <w:b/>
          <w:bCs/>
          <w:sz w:val="24"/>
          <w:szCs w:val="24"/>
        </w:rPr>
        <w:t xml:space="preserve"> as an induvial domain.</w:t>
      </w:r>
    </w:p>
    <w:p w14:paraId="319D0C14" w14:textId="77777777" w:rsidR="005A50A1" w:rsidRDefault="005A50A1" w:rsidP="005A50A1">
      <w:pPr>
        <w:autoSpaceDE w:val="0"/>
        <w:autoSpaceDN w:val="0"/>
        <w:adjustRightInd w:val="0"/>
        <w:spacing w:after="0" w:line="240" w:lineRule="auto"/>
        <w:rPr>
          <w:rFonts w:ascii="Times New Roman" w:hAnsi="Times New Roman" w:cs="Times New Roman"/>
          <w:sz w:val="24"/>
          <w:szCs w:val="24"/>
        </w:rPr>
      </w:pPr>
    </w:p>
    <w:p w14:paraId="70E53999" w14:textId="77777777" w:rsidR="005A50A1" w:rsidRPr="00A5531C" w:rsidRDefault="005A50A1" w:rsidP="005A50A1">
      <w:pPr>
        <w:autoSpaceDE w:val="0"/>
        <w:autoSpaceDN w:val="0"/>
        <w:adjustRightInd w:val="0"/>
        <w:spacing w:after="0" w:line="240" w:lineRule="auto"/>
        <w:rPr>
          <w:rFonts w:ascii="Times New Roman" w:hAnsi="Times New Roman" w:cs="Times New Roman"/>
          <w:sz w:val="24"/>
          <w:szCs w:val="24"/>
        </w:rPr>
      </w:pPr>
    </w:p>
    <w:tbl>
      <w:tblPr>
        <w:tblStyle w:val="PlainTable2"/>
        <w:tblW w:w="7950" w:type="dxa"/>
        <w:tblLook w:val="0400" w:firstRow="0" w:lastRow="0" w:firstColumn="0" w:lastColumn="0" w:noHBand="0" w:noVBand="1"/>
      </w:tblPr>
      <w:tblGrid>
        <w:gridCol w:w="6021"/>
        <w:gridCol w:w="1929"/>
      </w:tblGrid>
      <w:tr w:rsidR="005A50A1" w:rsidRPr="00FD0CAE" w14:paraId="26F1D4AA"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24DF96B9" w14:textId="77777777" w:rsidR="005A50A1" w:rsidRPr="009859F4" w:rsidRDefault="005A50A1" w:rsidP="00564D6A">
            <w:pPr>
              <w:rPr>
                <w:rFonts w:asciiTheme="majorBidi" w:hAnsiTheme="majorBidi" w:cstheme="majorBidi"/>
                <w:b/>
                <w:bCs/>
                <w:sz w:val="20"/>
                <w:szCs w:val="20"/>
                <w:lang w:bidi="ar-EG"/>
              </w:rPr>
            </w:pPr>
            <w:r w:rsidRPr="009859F4">
              <w:rPr>
                <w:rFonts w:asciiTheme="majorBidi" w:hAnsiTheme="majorBidi" w:cstheme="majorBidi"/>
                <w:b/>
                <w:bCs/>
                <w:sz w:val="20"/>
                <w:szCs w:val="20"/>
                <w:lang w:bidi="ar-EG"/>
              </w:rPr>
              <w:t>Daily eating habits</w:t>
            </w:r>
          </w:p>
          <w:p w14:paraId="30A5FFAA" w14:textId="77777777" w:rsidR="005A50A1" w:rsidRPr="009859F4" w:rsidRDefault="005A50A1" w:rsidP="00564D6A">
            <w:pPr>
              <w:rPr>
                <w:rFonts w:asciiTheme="majorBidi" w:hAnsiTheme="majorBidi" w:cstheme="majorBidi"/>
                <w:b/>
                <w:bCs/>
                <w:sz w:val="20"/>
                <w:szCs w:val="20"/>
              </w:rPr>
            </w:pPr>
          </w:p>
        </w:tc>
        <w:tc>
          <w:tcPr>
            <w:tcW w:w="0" w:type="auto"/>
          </w:tcPr>
          <w:p w14:paraId="6B4DE908" w14:textId="77777777" w:rsidR="005A50A1" w:rsidRPr="009859F4" w:rsidRDefault="005A50A1" w:rsidP="00564D6A">
            <w:pPr>
              <w:rPr>
                <w:rFonts w:asciiTheme="majorBidi" w:hAnsiTheme="majorBidi" w:cstheme="majorBidi"/>
                <w:b/>
                <w:bCs/>
                <w:sz w:val="20"/>
                <w:szCs w:val="20"/>
              </w:rPr>
            </w:pPr>
            <w:r w:rsidRPr="009859F4">
              <w:rPr>
                <w:rFonts w:asciiTheme="majorBidi" w:hAnsiTheme="majorBidi" w:cstheme="majorBidi"/>
                <w:b/>
                <w:bCs/>
                <w:sz w:val="20"/>
                <w:szCs w:val="20"/>
              </w:rPr>
              <w:t>Cronbach's Alpha</w:t>
            </w:r>
          </w:p>
        </w:tc>
      </w:tr>
      <w:tr w:rsidR="005A50A1" w:rsidRPr="00FD0CAE" w14:paraId="4F6054B6" w14:textId="77777777" w:rsidTr="00564D6A">
        <w:trPr>
          <w:trHeight w:val="19"/>
        </w:trPr>
        <w:tc>
          <w:tcPr>
            <w:tcW w:w="0" w:type="auto"/>
          </w:tcPr>
          <w:p w14:paraId="267841DF"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 xml:space="preserve"> Did you change your eating habits during confinement?</w:t>
            </w:r>
          </w:p>
        </w:tc>
        <w:tc>
          <w:tcPr>
            <w:tcW w:w="0" w:type="auto"/>
          </w:tcPr>
          <w:p w14:paraId="6E83BFC1"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.728</w:t>
            </w:r>
          </w:p>
        </w:tc>
      </w:tr>
      <w:tr w:rsidR="005A50A1" w:rsidRPr="00FD0CAE" w14:paraId="288608AC" w14:textId="77777777" w:rsidTr="00564D6A">
        <w:trPr>
          <w:cnfStyle w:val="000000100000" w:firstRow="0" w:lastRow="0" w:firstColumn="0" w:lastColumn="0" w:oddVBand="0" w:evenVBand="0" w:oddHBand="1" w:evenHBand="0" w:firstRowFirstColumn="0" w:firstRowLastColumn="0" w:lastRowFirstColumn="0" w:lastRowLastColumn="0"/>
          <w:trHeight w:val="51"/>
        </w:trPr>
        <w:tc>
          <w:tcPr>
            <w:tcW w:w="0" w:type="auto"/>
          </w:tcPr>
          <w:p w14:paraId="3D9E9EDD"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  Did your weight change from before confinement?</w:t>
            </w:r>
          </w:p>
        </w:tc>
        <w:tc>
          <w:tcPr>
            <w:tcW w:w="0" w:type="auto"/>
          </w:tcPr>
          <w:p w14:paraId="09414879"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.726</w:t>
            </w:r>
          </w:p>
        </w:tc>
      </w:tr>
      <w:tr w:rsidR="005A50A1" w:rsidRPr="00FD0CAE" w14:paraId="53FDE52F" w14:textId="77777777" w:rsidTr="00564D6A">
        <w:trPr>
          <w:trHeight w:val="19"/>
        </w:trPr>
        <w:tc>
          <w:tcPr>
            <w:tcW w:w="0" w:type="auto"/>
          </w:tcPr>
          <w:p w14:paraId="39078999"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fruits and vegetables per week before</w:t>
            </w:r>
          </w:p>
        </w:tc>
        <w:tc>
          <w:tcPr>
            <w:tcW w:w="0" w:type="auto"/>
          </w:tcPr>
          <w:p w14:paraId="7136879F"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.719</w:t>
            </w:r>
          </w:p>
        </w:tc>
      </w:tr>
      <w:tr w:rsidR="005A50A1" w:rsidRPr="00FD0CAE" w14:paraId="1833630A"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4E4E10D1"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fruits and vegetables per week after</w:t>
            </w:r>
          </w:p>
        </w:tc>
        <w:tc>
          <w:tcPr>
            <w:tcW w:w="0" w:type="auto"/>
          </w:tcPr>
          <w:p w14:paraId="23E80C7A"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.723</w:t>
            </w:r>
          </w:p>
        </w:tc>
      </w:tr>
      <w:tr w:rsidR="005A50A1" w:rsidRPr="00FD0CAE" w14:paraId="47A05100" w14:textId="77777777" w:rsidTr="00564D6A">
        <w:trPr>
          <w:trHeight w:val="43"/>
        </w:trPr>
        <w:tc>
          <w:tcPr>
            <w:tcW w:w="0" w:type="auto"/>
          </w:tcPr>
          <w:p w14:paraId="066B2B63"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 xml:space="preserve"> How many times do you eat carbohydrates per day before</w:t>
            </w:r>
          </w:p>
        </w:tc>
        <w:tc>
          <w:tcPr>
            <w:tcW w:w="0" w:type="auto"/>
          </w:tcPr>
          <w:p w14:paraId="586C23A5"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.715</w:t>
            </w:r>
          </w:p>
        </w:tc>
      </w:tr>
      <w:tr w:rsidR="005A50A1" w:rsidRPr="00FD0CAE" w14:paraId="0B50F257"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6C504197"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carbohydrates per day after</w:t>
            </w:r>
          </w:p>
        </w:tc>
        <w:tc>
          <w:tcPr>
            <w:tcW w:w="0" w:type="auto"/>
          </w:tcPr>
          <w:p w14:paraId="5DF140D4"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.722</w:t>
            </w:r>
          </w:p>
        </w:tc>
      </w:tr>
      <w:tr w:rsidR="005A50A1" w:rsidRPr="00FD0CAE" w14:paraId="08DF229A" w14:textId="77777777" w:rsidTr="00564D6A">
        <w:trPr>
          <w:trHeight w:val="19"/>
        </w:trPr>
        <w:tc>
          <w:tcPr>
            <w:tcW w:w="0" w:type="auto"/>
          </w:tcPr>
          <w:p w14:paraId="3B6DA79B"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meats and poultry per week before</w:t>
            </w:r>
          </w:p>
        </w:tc>
        <w:tc>
          <w:tcPr>
            <w:tcW w:w="0" w:type="auto"/>
          </w:tcPr>
          <w:p w14:paraId="78C3C164"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.708</w:t>
            </w:r>
          </w:p>
        </w:tc>
      </w:tr>
      <w:tr w:rsidR="005A50A1" w:rsidRPr="00FD0CAE" w14:paraId="48A4E3F1"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733F186D"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meats and poultry per week after</w:t>
            </w:r>
          </w:p>
        </w:tc>
        <w:tc>
          <w:tcPr>
            <w:tcW w:w="0" w:type="auto"/>
          </w:tcPr>
          <w:p w14:paraId="56990D6D"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.712</w:t>
            </w:r>
          </w:p>
        </w:tc>
      </w:tr>
      <w:tr w:rsidR="005A50A1" w:rsidRPr="00FD0CAE" w14:paraId="256A79B3" w14:textId="77777777" w:rsidTr="00564D6A">
        <w:trPr>
          <w:trHeight w:val="19"/>
        </w:trPr>
        <w:tc>
          <w:tcPr>
            <w:tcW w:w="0" w:type="auto"/>
          </w:tcPr>
          <w:p w14:paraId="78C96A1E"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seafood per week before</w:t>
            </w:r>
          </w:p>
        </w:tc>
        <w:tc>
          <w:tcPr>
            <w:tcW w:w="0" w:type="auto"/>
          </w:tcPr>
          <w:p w14:paraId="61F8EB5F"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.718</w:t>
            </w:r>
          </w:p>
        </w:tc>
      </w:tr>
      <w:tr w:rsidR="005A50A1" w:rsidRPr="00FD0CAE" w14:paraId="6D68021E"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00CB87DF"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seafood per week before</w:t>
            </w:r>
          </w:p>
        </w:tc>
        <w:tc>
          <w:tcPr>
            <w:tcW w:w="0" w:type="auto"/>
          </w:tcPr>
          <w:p w14:paraId="1B282033"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.725</w:t>
            </w:r>
          </w:p>
        </w:tc>
      </w:tr>
      <w:tr w:rsidR="005A50A1" w:rsidRPr="00FD0CAE" w14:paraId="0443F505" w14:textId="77777777" w:rsidTr="00564D6A">
        <w:trPr>
          <w:trHeight w:val="19"/>
        </w:trPr>
        <w:tc>
          <w:tcPr>
            <w:tcW w:w="0" w:type="auto"/>
          </w:tcPr>
          <w:p w14:paraId="4A262A14"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litres (L) of water do you drink per day after</w:t>
            </w:r>
          </w:p>
        </w:tc>
        <w:tc>
          <w:tcPr>
            <w:tcW w:w="0" w:type="auto"/>
          </w:tcPr>
          <w:p w14:paraId="35291629"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.724</w:t>
            </w:r>
          </w:p>
        </w:tc>
      </w:tr>
      <w:tr w:rsidR="005A50A1" w:rsidRPr="00FD0CAE" w14:paraId="5433C663"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3E1B774A"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litres (L) of water do you drink per day before</w:t>
            </w:r>
          </w:p>
        </w:tc>
        <w:tc>
          <w:tcPr>
            <w:tcW w:w="0" w:type="auto"/>
          </w:tcPr>
          <w:p w14:paraId="3EBC2DBF"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.725</w:t>
            </w:r>
          </w:p>
        </w:tc>
      </w:tr>
      <w:tr w:rsidR="005A50A1" w:rsidRPr="00FD0CAE" w14:paraId="6C2226B2" w14:textId="77777777" w:rsidTr="00564D6A">
        <w:trPr>
          <w:trHeight w:val="19"/>
        </w:trPr>
        <w:tc>
          <w:tcPr>
            <w:tcW w:w="0" w:type="auto"/>
          </w:tcPr>
          <w:p w14:paraId="614EA12D"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dairy products do you consumer per day before</w:t>
            </w:r>
          </w:p>
        </w:tc>
        <w:tc>
          <w:tcPr>
            <w:tcW w:w="0" w:type="auto"/>
          </w:tcPr>
          <w:p w14:paraId="208A13B1"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.716</w:t>
            </w:r>
          </w:p>
        </w:tc>
      </w:tr>
      <w:tr w:rsidR="005A50A1" w:rsidRPr="00FD0CAE" w14:paraId="7907F773"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753359BF"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dairy products do you consumer per day after</w:t>
            </w:r>
          </w:p>
        </w:tc>
        <w:tc>
          <w:tcPr>
            <w:tcW w:w="0" w:type="auto"/>
          </w:tcPr>
          <w:p w14:paraId="4E06E18F"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.720</w:t>
            </w:r>
          </w:p>
        </w:tc>
      </w:tr>
      <w:tr w:rsidR="005A50A1" w:rsidRPr="00FD0CAE" w14:paraId="16815F75" w14:textId="77777777" w:rsidTr="00564D6A">
        <w:trPr>
          <w:trHeight w:val="19"/>
        </w:trPr>
        <w:tc>
          <w:tcPr>
            <w:tcW w:w="0" w:type="auto"/>
          </w:tcPr>
          <w:p w14:paraId="41ACE213"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eggs do you consume per week before?</w:t>
            </w:r>
          </w:p>
        </w:tc>
        <w:tc>
          <w:tcPr>
            <w:tcW w:w="0" w:type="auto"/>
          </w:tcPr>
          <w:p w14:paraId="2069D0F1"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.717</w:t>
            </w:r>
          </w:p>
        </w:tc>
      </w:tr>
      <w:tr w:rsidR="005A50A1" w:rsidRPr="00FD0CAE" w14:paraId="6204047A"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7C37BDED"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eggs do you consume per week after?</w:t>
            </w:r>
          </w:p>
        </w:tc>
        <w:tc>
          <w:tcPr>
            <w:tcW w:w="0" w:type="auto"/>
          </w:tcPr>
          <w:p w14:paraId="017E36AC"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.721</w:t>
            </w:r>
          </w:p>
        </w:tc>
      </w:tr>
      <w:tr w:rsidR="005A50A1" w:rsidRPr="00FD0CAE" w14:paraId="62F23AE6" w14:textId="77777777" w:rsidTr="00564D6A">
        <w:trPr>
          <w:trHeight w:val="314"/>
        </w:trPr>
        <w:tc>
          <w:tcPr>
            <w:tcW w:w="0" w:type="auto"/>
          </w:tcPr>
          <w:p w14:paraId="4F2CABAA"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teaspoons of sugar do you consume per day after</w:t>
            </w:r>
          </w:p>
        </w:tc>
        <w:tc>
          <w:tcPr>
            <w:tcW w:w="0" w:type="auto"/>
          </w:tcPr>
          <w:p w14:paraId="7FC27AE9"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.718</w:t>
            </w:r>
          </w:p>
        </w:tc>
      </w:tr>
      <w:tr w:rsidR="005A50A1" w:rsidRPr="00FD0CAE" w14:paraId="6FD33875" w14:textId="77777777" w:rsidTr="00564D6A">
        <w:trPr>
          <w:cnfStyle w:val="000000100000" w:firstRow="0" w:lastRow="0" w:firstColumn="0" w:lastColumn="0" w:oddVBand="0" w:evenVBand="0" w:oddHBand="1" w:evenHBand="0" w:firstRowFirstColumn="0" w:firstRowLastColumn="0" w:lastRowFirstColumn="0" w:lastRowLastColumn="0"/>
          <w:trHeight w:val="102"/>
        </w:trPr>
        <w:tc>
          <w:tcPr>
            <w:tcW w:w="0" w:type="auto"/>
          </w:tcPr>
          <w:p w14:paraId="01CA65F2"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teaspoons of sugar do you consume per day before</w:t>
            </w:r>
          </w:p>
        </w:tc>
        <w:tc>
          <w:tcPr>
            <w:tcW w:w="0" w:type="auto"/>
          </w:tcPr>
          <w:p w14:paraId="4CB5A6F7"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.721</w:t>
            </w:r>
          </w:p>
        </w:tc>
      </w:tr>
      <w:tr w:rsidR="005A50A1" w:rsidRPr="00FD0CAE" w14:paraId="3666E4A2" w14:textId="77777777" w:rsidTr="00564D6A">
        <w:trPr>
          <w:trHeight w:val="314"/>
        </w:trPr>
        <w:tc>
          <w:tcPr>
            <w:tcW w:w="0" w:type="auto"/>
          </w:tcPr>
          <w:p w14:paraId="1529D279"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snacks do you consume per week before?</w:t>
            </w:r>
          </w:p>
        </w:tc>
        <w:tc>
          <w:tcPr>
            <w:tcW w:w="0" w:type="auto"/>
          </w:tcPr>
          <w:p w14:paraId="007C2A14"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.719</w:t>
            </w:r>
          </w:p>
        </w:tc>
      </w:tr>
      <w:tr w:rsidR="005A50A1" w:rsidRPr="00FD0CAE" w14:paraId="329EE3EE" w14:textId="77777777" w:rsidTr="00564D6A">
        <w:trPr>
          <w:cnfStyle w:val="000000100000" w:firstRow="0" w:lastRow="0" w:firstColumn="0" w:lastColumn="0" w:oddVBand="0" w:evenVBand="0" w:oddHBand="1" w:evenHBand="0" w:firstRowFirstColumn="0" w:firstRowLastColumn="0" w:lastRowFirstColumn="0" w:lastRowLastColumn="0"/>
          <w:trHeight w:val="314"/>
        </w:trPr>
        <w:tc>
          <w:tcPr>
            <w:tcW w:w="0" w:type="auto"/>
          </w:tcPr>
          <w:p w14:paraId="245DEA81"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snacks do you consume per week after?</w:t>
            </w:r>
          </w:p>
        </w:tc>
        <w:tc>
          <w:tcPr>
            <w:tcW w:w="0" w:type="auto"/>
          </w:tcPr>
          <w:p w14:paraId="41FA1906"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.724</w:t>
            </w:r>
          </w:p>
        </w:tc>
      </w:tr>
      <w:tr w:rsidR="005A50A1" w:rsidRPr="00FD0CAE" w14:paraId="4924A50C" w14:textId="77777777" w:rsidTr="00564D6A">
        <w:trPr>
          <w:trHeight w:val="314"/>
        </w:trPr>
        <w:tc>
          <w:tcPr>
            <w:tcW w:w="0" w:type="auto"/>
          </w:tcPr>
          <w:p w14:paraId="149AF8C1"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fast food per week before?</w:t>
            </w:r>
          </w:p>
        </w:tc>
        <w:tc>
          <w:tcPr>
            <w:tcW w:w="0" w:type="auto"/>
          </w:tcPr>
          <w:p w14:paraId="1845CF0B"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.716</w:t>
            </w:r>
          </w:p>
        </w:tc>
      </w:tr>
      <w:tr w:rsidR="005A50A1" w:rsidRPr="00FD0CAE" w14:paraId="7F244478" w14:textId="77777777" w:rsidTr="00564D6A">
        <w:trPr>
          <w:cnfStyle w:val="000000100000" w:firstRow="0" w:lastRow="0" w:firstColumn="0" w:lastColumn="0" w:oddVBand="0" w:evenVBand="0" w:oddHBand="1" w:evenHBand="0" w:firstRowFirstColumn="0" w:firstRowLastColumn="0" w:lastRowFirstColumn="0" w:lastRowLastColumn="0"/>
          <w:trHeight w:val="314"/>
        </w:trPr>
        <w:tc>
          <w:tcPr>
            <w:tcW w:w="0" w:type="auto"/>
          </w:tcPr>
          <w:p w14:paraId="1DDCA536"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eat fast food per week after?</w:t>
            </w:r>
          </w:p>
        </w:tc>
        <w:tc>
          <w:tcPr>
            <w:tcW w:w="0" w:type="auto"/>
          </w:tcPr>
          <w:p w14:paraId="34BAD904"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.726</w:t>
            </w:r>
          </w:p>
        </w:tc>
      </w:tr>
      <w:tr w:rsidR="005A50A1" w:rsidRPr="00FD0CAE" w14:paraId="1BFD2299" w14:textId="77777777" w:rsidTr="00564D6A">
        <w:trPr>
          <w:trHeight w:val="209"/>
        </w:trPr>
        <w:tc>
          <w:tcPr>
            <w:tcW w:w="0" w:type="auto"/>
          </w:tcPr>
          <w:p w14:paraId="2D639D84"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What are drinks do you consume per day before?</w:t>
            </w:r>
          </w:p>
        </w:tc>
        <w:tc>
          <w:tcPr>
            <w:tcW w:w="0" w:type="auto"/>
          </w:tcPr>
          <w:p w14:paraId="619E9669"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.743</w:t>
            </w:r>
          </w:p>
        </w:tc>
      </w:tr>
      <w:tr w:rsidR="005A50A1" w:rsidRPr="00FD0CAE" w14:paraId="6590970F" w14:textId="77777777" w:rsidTr="00564D6A">
        <w:trPr>
          <w:cnfStyle w:val="000000100000" w:firstRow="0" w:lastRow="0" w:firstColumn="0" w:lastColumn="0" w:oddVBand="0" w:evenVBand="0" w:oddHBand="1" w:evenHBand="0" w:firstRowFirstColumn="0" w:firstRowLastColumn="0" w:lastRowFirstColumn="0" w:lastRowLastColumn="0"/>
          <w:trHeight w:val="209"/>
        </w:trPr>
        <w:tc>
          <w:tcPr>
            <w:tcW w:w="0" w:type="auto"/>
          </w:tcPr>
          <w:p w14:paraId="59250300"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What are drinks do you consume per day after</w:t>
            </w:r>
          </w:p>
        </w:tc>
        <w:tc>
          <w:tcPr>
            <w:tcW w:w="0" w:type="auto"/>
          </w:tcPr>
          <w:p w14:paraId="7BF0F269"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.745</w:t>
            </w:r>
          </w:p>
        </w:tc>
      </w:tr>
      <w:tr w:rsidR="005A50A1" w:rsidRPr="00FD0CAE" w14:paraId="68C78403" w14:textId="77777777" w:rsidTr="00564D6A">
        <w:trPr>
          <w:trHeight w:val="314"/>
        </w:trPr>
        <w:tc>
          <w:tcPr>
            <w:tcW w:w="0" w:type="auto"/>
          </w:tcPr>
          <w:p w14:paraId="77001075"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cups of drinks do you consume per day before?</w:t>
            </w:r>
          </w:p>
        </w:tc>
        <w:tc>
          <w:tcPr>
            <w:tcW w:w="0" w:type="auto"/>
          </w:tcPr>
          <w:p w14:paraId="58845BED"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.717</w:t>
            </w:r>
          </w:p>
        </w:tc>
      </w:tr>
      <w:tr w:rsidR="005A50A1" w:rsidRPr="00FD0CAE" w14:paraId="30CE5ABE" w14:textId="77777777" w:rsidTr="00564D6A">
        <w:trPr>
          <w:cnfStyle w:val="000000100000" w:firstRow="0" w:lastRow="0" w:firstColumn="0" w:lastColumn="0" w:oddVBand="0" w:evenVBand="0" w:oddHBand="1" w:evenHBand="0" w:firstRowFirstColumn="0" w:firstRowLastColumn="0" w:lastRowFirstColumn="0" w:lastRowLastColumn="0"/>
          <w:trHeight w:val="314"/>
        </w:trPr>
        <w:tc>
          <w:tcPr>
            <w:tcW w:w="0" w:type="auto"/>
          </w:tcPr>
          <w:p w14:paraId="49205D07"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cups of drinks do you consume per day after?</w:t>
            </w:r>
          </w:p>
        </w:tc>
        <w:tc>
          <w:tcPr>
            <w:tcW w:w="0" w:type="auto"/>
          </w:tcPr>
          <w:p w14:paraId="799DABA2"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.720</w:t>
            </w:r>
          </w:p>
        </w:tc>
      </w:tr>
      <w:tr w:rsidR="005A50A1" w:rsidRPr="00FD0CAE" w14:paraId="5D76DB67" w14:textId="77777777" w:rsidTr="00564D6A">
        <w:trPr>
          <w:trHeight w:val="314"/>
        </w:trPr>
        <w:tc>
          <w:tcPr>
            <w:tcW w:w="0" w:type="auto"/>
          </w:tcPr>
          <w:p w14:paraId="777BEC48"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What are the dietary supplements do you consume per day before?</w:t>
            </w:r>
          </w:p>
        </w:tc>
        <w:tc>
          <w:tcPr>
            <w:tcW w:w="0" w:type="auto"/>
          </w:tcPr>
          <w:p w14:paraId="68248E60"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.718</w:t>
            </w:r>
          </w:p>
        </w:tc>
      </w:tr>
      <w:tr w:rsidR="005A50A1" w:rsidRPr="00FD0CAE" w14:paraId="3D87A8B2" w14:textId="77777777" w:rsidTr="00564D6A">
        <w:trPr>
          <w:cnfStyle w:val="000000100000" w:firstRow="0" w:lastRow="0" w:firstColumn="0" w:lastColumn="0" w:oddVBand="0" w:evenVBand="0" w:oddHBand="1" w:evenHBand="0" w:firstRowFirstColumn="0" w:firstRowLastColumn="0" w:lastRowFirstColumn="0" w:lastRowLastColumn="0"/>
          <w:trHeight w:val="314"/>
        </w:trPr>
        <w:tc>
          <w:tcPr>
            <w:tcW w:w="0" w:type="auto"/>
          </w:tcPr>
          <w:p w14:paraId="33CBF927"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What are the dietary supplements do you consume per day after</w:t>
            </w:r>
          </w:p>
        </w:tc>
        <w:tc>
          <w:tcPr>
            <w:tcW w:w="0" w:type="auto"/>
          </w:tcPr>
          <w:p w14:paraId="332214E0" w14:textId="77777777" w:rsidR="005A50A1" w:rsidRPr="00FD0CAE" w:rsidRDefault="005A50A1" w:rsidP="00564D6A">
            <w:pPr>
              <w:rPr>
                <w:rFonts w:asciiTheme="majorBidi" w:hAnsiTheme="majorBidi" w:cstheme="majorBidi"/>
                <w:sz w:val="20"/>
                <w:szCs w:val="20"/>
              </w:rPr>
            </w:pPr>
            <w:r w:rsidRPr="00FD0CAE">
              <w:rPr>
                <w:rFonts w:asciiTheme="majorBidi" w:hAnsiTheme="majorBidi" w:cstheme="majorBidi"/>
                <w:sz w:val="20"/>
                <w:szCs w:val="20"/>
              </w:rPr>
              <w:t>.718</w:t>
            </w:r>
          </w:p>
        </w:tc>
      </w:tr>
    </w:tbl>
    <w:p w14:paraId="185F8DE8" w14:textId="77777777" w:rsidR="005A50A1" w:rsidRPr="00A5531C" w:rsidRDefault="005A50A1" w:rsidP="005A50A1">
      <w:pPr>
        <w:autoSpaceDE w:val="0"/>
        <w:autoSpaceDN w:val="0"/>
        <w:adjustRightInd w:val="0"/>
        <w:spacing w:after="0" w:line="400" w:lineRule="atLeast"/>
        <w:rPr>
          <w:rFonts w:ascii="Times New Roman" w:hAnsi="Times New Roman" w:cs="Times New Roman"/>
          <w:sz w:val="24"/>
          <w:szCs w:val="24"/>
        </w:rPr>
      </w:pPr>
    </w:p>
    <w:p w14:paraId="24D3BD92" w14:textId="1532C1E9" w:rsidR="005A50A1" w:rsidRDefault="005A50A1" w:rsidP="005A50A1">
      <w:pPr>
        <w:rPr>
          <w:lang w:bidi="ar-EG"/>
        </w:rPr>
      </w:pPr>
    </w:p>
    <w:p w14:paraId="5745CF20" w14:textId="2C27E368" w:rsidR="005A50A1" w:rsidRDefault="005A50A1" w:rsidP="005A50A1">
      <w:pPr>
        <w:rPr>
          <w:lang w:bidi="ar-EG"/>
        </w:rPr>
      </w:pPr>
    </w:p>
    <w:p w14:paraId="114BCC06" w14:textId="23DEC159" w:rsidR="005A50A1" w:rsidRDefault="005A50A1" w:rsidP="005A50A1">
      <w:pPr>
        <w:rPr>
          <w:lang w:bidi="ar-EG"/>
        </w:rPr>
      </w:pPr>
    </w:p>
    <w:p w14:paraId="5D504A7F" w14:textId="13EA3D6E" w:rsidR="005A50A1" w:rsidRPr="009859F4" w:rsidRDefault="005A50A1" w:rsidP="005A50A1">
      <w:pPr>
        <w:autoSpaceDE w:val="0"/>
        <w:autoSpaceDN w:val="0"/>
        <w:adjustRightInd w:val="0"/>
        <w:spacing w:after="0" w:line="240" w:lineRule="auto"/>
        <w:rPr>
          <w:rFonts w:ascii="Times New Roman" w:hAnsi="Times New Roman" w:cs="Times New Roman"/>
          <w:b/>
          <w:bCs/>
          <w:sz w:val="24"/>
          <w:szCs w:val="24"/>
        </w:rPr>
      </w:pPr>
      <w:r w:rsidRPr="009859F4">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SIV</w:t>
      </w:r>
      <w:r w:rsidRPr="009859F4">
        <w:rPr>
          <w:rFonts w:ascii="Times New Roman" w:hAnsi="Times New Roman" w:cs="Times New Roman"/>
          <w:b/>
          <w:bCs/>
          <w:sz w:val="24"/>
          <w:szCs w:val="24"/>
        </w:rPr>
        <w:t xml:space="preserve">: measuring </w:t>
      </w:r>
      <w:r w:rsidRPr="009859F4">
        <w:rPr>
          <w:rFonts w:ascii="Times New Roman" w:hAnsi="Times New Roman" w:cs="Times New Roman"/>
          <w:b/>
          <w:bCs/>
          <w:i/>
          <w:iCs/>
          <w:sz w:val="24"/>
          <w:szCs w:val="24"/>
        </w:rPr>
        <w:t xml:space="preserve">lifestyle </w:t>
      </w:r>
      <w:r w:rsidRPr="009859F4">
        <w:rPr>
          <w:rFonts w:ascii="Times New Roman" w:hAnsi="Times New Roman" w:cs="Times New Roman"/>
          <w:b/>
          <w:bCs/>
          <w:sz w:val="24"/>
          <w:szCs w:val="24"/>
        </w:rPr>
        <w:t>as an induvial domain.</w:t>
      </w:r>
    </w:p>
    <w:p w14:paraId="6C46D20F" w14:textId="77777777" w:rsidR="005A50A1" w:rsidRPr="009859F4" w:rsidRDefault="005A50A1" w:rsidP="005A50A1">
      <w:pPr>
        <w:autoSpaceDE w:val="0"/>
        <w:autoSpaceDN w:val="0"/>
        <w:adjustRightInd w:val="0"/>
        <w:spacing w:after="0" w:line="240" w:lineRule="auto"/>
        <w:rPr>
          <w:rFonts w:ascii="Times New Roman" w:hAnsi="Times New Roman" w:cs="Times New Roman"/>
          <w:b/>
          <w:bCs/>
          <w:sz w:val="24"/>
          <w:szCs w:val="24"/>
        </w:rPr>
      </w:pPr>
    </w:p>
    <w:p w14:paraId="73F5872D" w14:textId="77777777" w:rsidR="005A50A1" w:rsidRPr="00A5531C" w:rsidRDefault="005A50A1" w:rsidP="005A50A1">
      <w:pPr>
        <w:autoSpaceDE w:val="0"/>
        <w:autoSpaceDN w:val="0"/>
        <w:adjustRightInd w:val="0"/>
        <w:spacing w:after="0" w:line="240" w:lineRule="auto"/>
        <w:rPr>
          <w:rFonts w:ascii="Times New Roman" w:hAnsi="Times New Roman" w:cs="Times New Roman"/>
          <w:sz w:val="24"/>
          <w:szCs w:val="24"/>
        </w:rPr>
      </w:pPr>
    </w:p>
    <w:tbl>
      <w:tblPr>
        <w:tblStyle w:val="PlainTable2"/>
        <w:tblW w:w="9292" w:type="dxa"/>
        <w:tblLayout w:type="fixed"/>
        <w:tblLook w:val="0400" w:firstRow="0" w:lastRow="0" w:firstColumn="0" w:lastColumn="0" w:noHBand="0" w:noVBand="1"/>
      </w:tblPr>
      <w:tblGrid>
        <w:gridCol w:w="5807"/>
        <w:gridCol w:w="3485"/>
      </w:tblGrid>
      <w:tr w:rsidR="005A50A1" w:rsidRPr="00FD0CAE" w14:paraId="60AF2828" w14:textId="77777777" w:rsidTr="00564D6A">
        <w:trPr>
          <w:cnfStyle w:val="000000100000" w:firstRow="0" w:lastRow="0" w:firstColumn="0" w:lastColumn="0" w:oddVBand="0" w:evenVBand="0" w:oddHBand="1" w:evenHBand="0" w:firstRowFirstColumn="0" w:firstRowLastColumn="0" w:lastRowFirstColumn="0" w:lastRowLastColumn="0"/>
          <w:trHeight w:val="697"/>
        </w:trPr>
        <w:tc>
          <w:tcPr>
            <w:tcW w:w="5807" w:type="dxa"/>
          </w:tcPr>
          <w:p w14:paraId="2D4FC1C2" w14:textId="77777777" w:rsidR="005A50A1" w:rsidRPr="009859F4" w:rsidRDefault="005A50A1" w:rsidP="00564D6A">
            <w:pPr>
              <w:jc w:val="right"/>
              <w:rPr>
                <w:rFonts w:asciiTheme="majorBidi" w:hAnsiTheme="majorBidi" w:cstheme="majorBidi"/>
                <w:b/>
                <w:bCs/>
                <w:sz w:val="20"/>
                <w:szCs w:val="20"/>
              </w:rPr>
            </w:pPr>
            <w:r w:rsidRPr="009859F4">
              <w:rPr>
                <w:rFonts w:asciiTheme="majorBidi" w:hAnsiTheme="majorBidi" w:cstheme="majorBidi"/>
                <w:b/>
                <w:bCs/>
                <w:sz w:val="20"/>
                <w:szCs w:val="20"/>
              </w:rPr>
              <w:t>lifestyle</w:t>
            </w:r>
          </w:p>
          <w:p w14:paraId="67C9056B" w14:textId="77777777" w:rsidR="005A50A1" w:rsidRPr="009859F4" w:rsidRDefault="005A50A1" w:rsidP="00564D6A">
            <w:pPr>
              <w:rPr>
                <w:rFonts w:asciiTheme="majorBidi" w:hAnsiTheme="majorBidi" w:cstheme="majorBidi"/>
                <w:b/>
                <w:bCs/>
                <w:sz w:val="20"/>
                <w:szCs w:val="20"/>
              </w:rPr>
            </w:pPr>
          </w:p>
        </w:tc>
        <w:tc>
          <w:tcPr>
            <w:tcW w:w="3485" w:type="dxa"/>
          </w:tcPr>
          <w:p w14:paraId="25E1C0D3" w14:textId="77777777" w:rsidR="005A50A1" w:rsidRPr="009859F4" w:rsidRDefault="005A50A1" w:rsidP="00564D6A">
            <w:pPr>
              <w:rPr>
                <w:rFonts w:asciiTheme="majorBidi" w:hAnsiTheme="majorBidi" w:cstheme="majorBidi"/>
                <w:b/>
                <w:bCs/>
                <w:sz w:val="20"/>
                <w:szCs w:val="20"/>
              </w:rPr>
            </w:pPr>
            <w:r w:rsidRPr="009859F4">
              <w:rPr>
                <w:rFonts w:asciiTheme="majorBidi" w:hAnsiTheme="majorBidi" w:cstheme="majorBidi"/>
                <w:b/>
                <w:bCs/>
                <w:sz w:val="20"/>
                <w:szCs w:val="20"/>
              </w:rPr>
              <w:t xml:space="preserve">Cronbach's Alpha </w:t>
            </w:r>
          </w:p>
        </w:tc>
      </w:tr>
      <w:tr w:rsidR="005A50A1" w:rsidRPr="00FD0CAE" w14:paraId="469979DC" w14:textId="77777777" w:rsidTr="00564D6A">
        <w:trPr>
          <w:trHeight w:val="57"/>
        </w:trPr>
        <w:tc>
          <w:tcPr>
            <w:tcW w:w="5807" w:type="dxa"/>
          </w:tcPr>
          <w:p w14:paraId="3AA467A4"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smoke per day before?</w:t>
            </w:r>
          </w:p>
        </w:tc>
        <w:tc>
          <w:tcPr>
            <w:tcW w:w="3485" w:type="dxa"/>
          </w:tcPr>
          <w:p w14:paraId="5028C1A3"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.692</w:t>
            </w:r>
          </w:p>
        </w:tc>
      </w:tr>
      <w:tr w:rsidR="005A50A1" w:rsidRPr="00FD0CAE" w14:paraId="6CA04AE0" w14:textId="77777777" w:rsidTr="00564D6A">
        <w:trPr>
          <w:cnfStyle w:val="000000100000" w:firstRow="0" w:lastRow="0" w:firstColumn="0" w:lastColumn="0" w:oddVBand="0" w:evenVBand="0" w:oddHBand="1" w:evenHBand="0" w:firstRowFirstColumn="0" w:firstRowLastColumn="0" w:lastRowFirstColumn="0" w:lastRowLastColumn="0"/>
          <w:trHeight w:val="31"/>
        </w:trPr>
        <w:tc>
          <w:tcPr>
            <w:tcW w:w="5807" w:type="dxa"/>
          </w:tcPr>
          <w:p w14:paraId="08E4B921"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smoke per day after</w:t>
            </w:r>
          </w:p>
        </w:tc>
        <w:tc>
          <w:tcPr>
            <w:tcW w:w="3485" w:type="dxa"/>
          </w:tcPr>
          <w:p w14:paraId="499ED00C"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.705</w:t>
            </w:r>
          </w:p>
        </w:tc>
      </w:tr>
      <w:tr w:rsidR="005A50A1" w:rsidRPr="00FD0CAE" w14:paraId="3DFB5A4D" w14:textId="77777777" w:rsidTr="00564D6A">
        <w:trPr>
          <w:trHeight w:val="50"/>
        </w:trPr>
        <w:tc>
          <w:tcPr>
            <w:tcW w:w="5807" w:type="dxa"/>
          </w:tcPr>
          <w:p w14:paraId="5C657081"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sleep per day before?</w:t>
            </w:r>
          </w:p>
        </w:tc>
        <w:tc>
          <w:tcPr>
            <w:tcW w:w="3485" w:type="dxa"/>
          </w:tcPr>
          <w:p w14:paraId="3A99EBE4"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.695</w:t>
            </w:r>
          </w:p>
        </w:tc>
      </w:tr>
      <w:tr w:rsidR="005A50A1" w:rsidRPr="00FD0CAE" w14:paraId="7FA19C97" w14:textId="77777777" w:rsidTr="00564D6A">
        <w:trPr>
          <w:cnfStyle w:val="000000100000" w:firstRow="0" w:lastRow="0" w:firstColumn="0" w:lastColumn="0" w:oddVBand="0" w:evenVBand="0" w:oddHBand="1" w:evenHBand="0" w:firstRowFirstColumn="0" w:firstRowLastColumn="0" w:lastRowFirstColumn="0" w:lastRowLastColumn="0"/>
          <w:trHeight w:val="50"/>
        </w:trPr>
        <w:tc>
          <w:tcPr>
            <w:tcW w:w="5807" w:type="dxa"/>
          </w:tcPr>
          <w:p w14:paraId="6EC418F5"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sleep per day after?</w:t>
            </w:r>
          </w:p>
        </w:tc>
        <w:tc>
          <w:tcPr>
            <w:tcW w:w="3485" w:type="dxa"/>
          </w:tcPr>
          <w:p w14:paraId="73FE58CD"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.708</w:t>
            </w:r>
          </w:p>
        </w:tc>
      </w:tr>
      <w:tr w:rsidR="005A50A1" w:rsidRPr="00FD0CAE" w14:paraId="5B592A79" w14:textId="77777777" w:rsidTr="00564D6A">
        <w:trPr>
          <w:trHeight w:val="50"/>
        </w:trPr>
        <w:tc>
          <w:tcPr>
            <w:tcW w:w="5807" w:type="dxa"/>
          </w:tcPr>
          <w:p w14:paraId="76015140"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practise physical activity per week Before?</w:t>
            </w:r>
          </w:p>
        </w:tc>
        <w:tc>
          <w:tcPr>
            <w:tcW w:w="3485" w:type="dxa"/>
          </w:tcPr>
          <w:p w14:paraId="2B9702F5"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.688</w:t>
            </w:r>
          </w:p>
        </w:tc>
      </w:tr>
      <w:tr w:rsidR="005A50A1" w:rsidRPr="00FD0CAE" w14:paraId="20A51A3A" w14:textId="77777777" w:rsidTr="00564D6A">
        <w:trPr>
          <w:cnfStyle w:val="000000100000" w:firstRow="0" w:lastRow="0" w:firstColumn="0" w:lastColumn="0" w:oddVBand="0" w:evenVBand="0" w:oddHBand="1" w:evenHBand="0" w:firstRowFirstColumn="0" w:firstRowLastColumn="0" w:lastRowFirstColumn="0" w:lastRowLastColumn="0"/>
          <w:trHeight w:val="159"/>
        </w:trPr>
        <w:tc>
          <w:tcPr>
            <w:tcW w:w="5807" w:type="dxa"/>
          </w:tcPr>
          <w:p w14:paraId="06BF4A03"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times do you practise physical activity per week After?</w:t>
            </w:r>
          </w:p>
        </w:tc>
        <w:tc>
          <w:tcPr>
            <w:tcW w:w="3485" w:type="dxa"/>
          </w:tcPr>
          <w:p w14:paraId="738717B3"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.696</w:t>
            </w:r>
          </w:p>
        </w:tc>
      </w:tr>
      <w:tr w:rsidR="005A50A1" w:rsidRPr="00FD0CAE" w14:paraId="738E94C3" w14:textId="77777777" w:rsidTr="00564D6A">
        <w:trPr>
          <w:trHeight w:val="50"/>
        </w:trPr>
        <w:tc>
          <w:tcPr>
            <w:tcW w:w="5807" w:type="dxa"/>
          </w:tcPr>
          <w:p w14:paraId="78EBE1A2"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minutes do you spend per each exercise before?</w:t>
            </w:r>
          </w:p>
        </w:tc>
        <w:tc>
          <w:tcPr>
            <w:tcW w:w="3485" w:type="dxa"/>
          </w:tcPr>
          <w:p w14:paraId="0C3BF765"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.696</w:t>
            </w:r>
          </w:p>
        </w:tc>
      </w:tr>
      <w:tr w:rsidR="005A50A1" w:rsidRPr="00FD0CAE" w14:paraId="422572EA" w14:textId="77777777" w:rsidTr="00564D6A">
        <w:trPr>
          <w:cnfStyle w:val="000000100000" w:firstRow="0" w:lastRow="0" w:firstColumn="0" w:lastColumn="0" w:oddVBand="0" w:evenVBand="0" w:oddHBand="1" w:evenHBand="0" w:firstRowFirstColumn="0" w:firstRowLastColumn="0" w:lastRowFirstColumn="0" w:lastRowLastColumn="0"/>
          <w:trHeight w:val="50"/>
        </w:trPr>
        <w:tc>
          <w:tcPr>
            <w:tcW w:w="5807" w:type="dxa"/>
          </w:tcPr>
          <w:p w14:paraId="3FEDEA16"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minutes do you spend per each exercise after</w:t>
            </w:r>
          </w:p>
        </w:tc>
        <w:tc>
          <w:tcPr>
            <w:tcW w:w="3485" w:type="dxa"/>
          </w:tcPr>
          <w:p w14:paraId="253A218A"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.714</w:t>
            </w:r>
          </w:p>
        </w:tc>
      </w:tr>
      <w:tr w:rsidR="005A50A1" w:rsidRPr="00FD0CAE" w14:paraId="1B2EDB99" w14:textId="77777777" w:rsidTr="00564D6A">
        <w:trPr>
          <w:trHeight w:val="50"/>
        </w:trPr>
        <w:tc>
          <w:tcPr>
            <w:tcW w:w="5807" w:type="dxa"/>
          </w:tcPr>
          <w:p w14:paraId="31B6554C"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Before confinement, what were your physical activities</w:t>
            </w:r>
          </w:p>
        </w:tc>
        <w:tc>
          <w:tcPr>
            <w:tcW w:w="3485" w:type="dxa"/>
          </w:tcPr>
          <w:p w14:paraId="3AF319BB"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.694</w:t>
            </w:r>
          </w:p>
        </w:tc>
      </w:tr>
      <w:tr w:rsidR="005A50A1" w:rsidRPr="00FD0CAE" w14:paraId="405B6F6A" w14:textId="77777777" w:rsidTr="00564D6A">
        <w:trPr>
          <w:cnfStyle w:val="000000100000" w:firstRow="0" w:lastRow="0" w:firstColumn="0" w:lastColumn="0" w:oddVBand="0" w:evenVBand="0" w:oddHBand="1" w:evenHBand="0" w:firstRowFirstColumn="0" w:firstRowLastColumn="0" w:lastRowFirstColumn="0" w:lastRowLastColumn="0"/>
          <w:trHeight w:val="50"/>
        </w:trPr>
        <w:tc>
          <w:tcPr>
            <w:tcW w:w="5807" w:type="dxa"/>
          </w:tcPr>
          <w:p w14:paraId="6FAB4D0D"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During confinement, what are your physical activities?</w:t>
            </w:r>
          </w:p>
        </w:tc>
        <w:tc>
          <w:tcPr>
            <w:tcW w:w="3485" w:type="dxa"/>
          </w:tcPr>
          <w:p w14:paraId="19B7EF13"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.694</w:t>
            </w:r>
          </w:p>
        </w:tc>
      </w:tr>
      <w:tr w:rsidR="005A50A1" w:rsidRPr="00FD0CAE" w14:paraId="6537EBE2" w14:textId="77777777" w:rsidTr="00564D6A">
        <w:trPr>
          <w:trHeight w:val="50"/>
        </w:trPr>
        <w:tc>
          <w:tcPr>
            <w:tcW w:w="5807" w:type="dxa"/>
          </w:tcPr>
          <w:p w14:paraId="0ECE023D"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spend watching TV per day before?</w:t>
            </w:r>
          </w:p>
        </w:tc>
        <w:tc>
          <w:tcPr>
            <w:tcW w:w="3485" w:type="dxa"/>
          </w:tcPr>
          <w:p w14:paraId="103891A4"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.676</w:t>
            </w:r>
          </w:p>
        </w:tc>
      </w:tr>
      <w:tr w:rsidR="005A50A1" w:rsidRPr="00FD0CAE" w14:paraId="6EFBC9C5" w14:textId="77777777" w:rsidTr="00564D6A">
        <w:trPr>
          <w:cnfStyle w:val="000000100000" w:firstRow="0" w:lastRow="0" w:firstColumn="0" w:lastColumn="0" w:oddVBand="0" w:evenVBand="0" w:oddHBand="1" w:evenHBand="0" w:firstRowFirstColumn="0" w:firstRowLastColumn="0" w:lastRowFirstColumn="0" w:lastRowLastColumn="0"/>
          <w:trHeight w:val="50"/>
        </w:trPr>
        <w:tc>
          <w:tcPr>
            <w:tcW w:w="5807" w:type="dxa"/>
          </w:tcPr>
          <w:p w14:paraId="2D613CDB"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spend watching TV per day after?</w:t>
            </w:r>
          </w:p>
        </w:tc>
        <w:tc>
          <w:tcPr>
            <w:tcW w:w="3485" w:type="dxa"/>
          </w:tcPr>
          <w:p w14:paraId="06686BCA"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.687</w:t>
            </w:r>
          </w:p>
        </w:tc>
      </w:tr>
      <w:tr w:rsidR="005A50A1" w:rsidRPr="00FD0CAE" w14:paraId="100B2C86" w14:textId="77777777" w:rsidTr="00564D6A">
        <w:trPr>
          <w:trHeight w:val="50"/>
        </w:trPr>
        <w:tc>
          <w:tcPr>
            <w:tcW w:w="5807" w:type="dxa"/>
          </w:tcPr>
          <w:p w14:paraId="4C787CE8"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spend on social media per day before?</w:t>
            </w:r>
          </w:p>
        </w:tc>
        <w:tc>
          <w:tcPr>
            <w:tcW w:w="3485" w:type="dxa"/>
          </w:tcPr>
          <w:p w14:paraId="455CB150"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.651</w:t>
            </w:r>
          </w:p>
        </w:tc>
      </w:tr>
      <w:tr w:rsidR="005A50A1" w:rsidRPr="00FD0CAE" w14:paraId="411E6E6E" w14:textId="77777777" w:rsidTr="00564D6A">
        <w:trPr>
          <w:cnfStyle w:val="000000100000" w:firstRow="0" w:lastRow="0" w:firstColumn="0" w:lastColumn="0" w:oddVBand="0" w:evenVBand="0" w:oddHBand="1" w:evenHBand="0" w:firstRowFirstColumn="0" w:firstRowLastColumn="0" w:lastRowFirstColumn="0" w:lastRowLastColumn="0"/>
          <w:trHeight w:val="50"/>
        </w:trPr>
        <w:tc>
          <w:tcPr>
            <w:tcW w:w="5807" w:type="dxa"/>
          </w:tcPr>
          <w:p w14:paraId="17B7B7B8"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spend on social media per day after?</w:t>
            </w:r>
          </w:p>
        </w:tc>
        <w:tc>
          <w:tcPr>
            <w:tcW w:w="3485" w:type="dxa"/>
          </w:tcPr>
          <w:p w14:paraId="7E0FD9AB"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.657</w:t>
            </w:r>
          </w:p>
        </w:tc>
      </w:tr>
      <w:tr w:rsidR="005A50A1" w:rsidRPr="00FD0CAE" w14:paraId="3DB0F575" w14:textId="77777777" w:rsidTr="00564D6A">
        <w:trPr>
          <w:trHeight w:val="50"/>
        </w:trPr>
        <w:tc>
          <w:tcPr>
            <w:tcW w:w="5807" w:type="dxa"/>
          </w:tcPr>
          <w:p w14:paraId="477F4ECC"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spend on the internet to (study/work) per day before?</w:t>
            </w:r>
          </w:p>
        </w:tc>
        <w:tc>
          <w:tcPr>
            <w:tcW w:w="3485" w:type="dxa"/>
          </w:tcPr>
          <w:p w14:paraId="79FEC3F8"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.667</w:t>
            </w:r>
          </w:p>
        </w:tc>
      </w:tr>
      <w:tr w:rsidR="005A50A1" w:rsidRPr="00FD0CAE" w14:paraId="5A768BF0" w14:textId="77777777" w:rsidTr="00564D6A">
        <w:trPr>
          <w:cnfStyle w:val="000000100000" w:firstRow="0" w:lastRow="0" w:firstColumn="0" w:lastColumn="0" w:oddVBand="0" w:evenVBand="0" w:oddHBand="1" w:evenHBand="0" w:firstRowFirstColumn="0" w:firstRowLastColumn="0" w:lastRowFirstColumn="0" w:lastRowLastColumn="0"/>
          <w:trHeight w:val="50"/>
        </w:trPr>
        <w:tc>
          <w:tcPr>
            <w:tcW w:w="5807" w:type="dxa"/>
          </w:tcPr>
          <w:p w14:paraId="48C566CA"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spend on the internet to (study/work) per day after</w:t>
            </w:r>
          </w:p>
        </w:tc>
        <w:tc>
          <w:tcPr>
            <w:tcW w:w="3485" w:type="dxa"/>
          </w:tcPr>
          <w:p w14:paraId="580532B1"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.675</w:t>
            </w:r>
          </w:p>
        </w:tc>
      </w:tr>
      <w:tr w:rsidR="005A50A1" w:rsidRPr="00FD0CAE" w14:paraId="113D932C" w14:textId="77777777" w:rsidTr="00564D6A">
        <w:trPr>
          <w:trHeight w:val="50"/>
        </w:trPr>
        <w:tc>
          <w:tcPr>
            <w:tcW w:w="5807" w:type="dxa"/>
          </w:tcPr>
          <w:p w14:paraId="10E355A6" w14:textId="77777777" w:rsidR="005A50A1" w:rsidRPr="00FD0CAE" w:rsidRDefault="005A50A1" w:rsidP="005A50A1">
            <w:pPr>
              <w:rPr>
                <w:rFonts w:asciiTheme="majorBidi" w:hAnsiTheme="majorBidi" w:cstheme="majorBidi"/>
                <w:sz w:val="20"/>
                <w:szCs w:val="20"/>
              </w:rPr>
            </w:pPr>
            <w:r w:rsidRPr="00FD0CAE">
              <w:rPr>
                <w:rFonts w:asciiTheme="majorBidi" w:hAnsiTheme="majorBidi" w:cstheme="majorBidi"/>
                <w:sz w:val="20"/>
                <w:szCs w:val="20"/>
              </w:rPr>
              <w:t>How many hours do you spend with your family before?</w:t>
            </w:r>
          </w:p>
        </w:tc>
        <w:tc>
          <w:tcPr>
            <w:tcW w:w="3485" w:type="dxa"/>
          </w:tcPr>
          <w:p w14:paraId="7C598483" w14:textId="77777777" w:rsidR="005A50A1" w:rsidRPr="00571AD8" w:rsidRDefault="005A50A1" w:rsidP="00564D6A">
            <w:pPr>
              <w:rPr>
                <w:rFonts w:asciiTheme="majorBidi" w:hAnsiTheme="majorBidi" w:cstheme="majorBidi"/>
                <w:sz w:val="20"/>
                <w:szCs w:val="20"/>
              </w:rPr>
            </w:pPr>
            <w:r w:rsidRPr="00571AD8">
              <w:rPr>
                <w:rFonts w:asciiTheme="majorBidi" w:hAnsiTheme="majorBidi" w:cstheme="majorBidi"/>
              </w:rPr>
              <w:t>.659</w:t>
            </w:r>
          </w:p>
        </w:tc>
      </w:tr>
    </w:tbl>
    <w:p w14:paraId="0243C2F3" w14:textId="10B7B8D4" w:rsidR="005A50A1" w:rsidRDefault="005A50A1" w:rsidP="005A50A1">
      <w:pPr>
        <w:autoSpaceDE w:val="0"/>
        <w:autoSpaceDN w:val="0"/>
        <w:adjustRightInd w:val="0"/>
        <w:spacing w:after="0" w:line="400" w:lineRule="atLeast"/>
        <w:rPr>
          <w:rFonts w:ascii="Times New Roman" w:hAnsi="Times New Roman" w:cs="Times New Roman"/>
          <w:sz w:val="24"/>
          <w:szCs w:val="24"/>
        </w:rPr>
      </w:pPr>
      <w:r w:rsidRPr="00FD0CAE">
        <w:rPr>
          <w:rFonts w:ascii="Times New Roman" w:hAnsi="Times New Roman" w:cs="Times New Roman"/>
          <w:sz w:val="24"/>
          <w:szCs w:val="24"/>
        </w:rPr>
        <w:t>In general, Cronbach's alpha coefficients of at least 0.6 are thought to be indicative of good reliability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&lt;EndNote&gt;&lt;Cite&gt;&lt;Author&gt;Knapp&lt;/Author&gt;&lt;Year&gt;1991&lt;/Year&gt;&lt;RecNum&gt;6&lt;/RecNum&gt;&lt;DisplayText&gt;(1)&lt;/DisplayText&gt;&lt;record&gt;&lt;rec-number&gt;6&lt;/rec-number&gt;&lt;foreign-keys&gt;&lt;key app="EN" db-id="d0sxva2tkdespwe050vvex2zwpa00x5xfpww" timestamp="1612131675"&gt;6&lt;/key&gt;&lt;/foreign-keys&gt;&lt;ref-type name="Journal Article"&gt;17&lt;/ref-type&gt;&lt;contributors&gt;&lt;authors&gt;&lt;author&gt;Knapp, Thomas R.&lt;/author&gt;&lt;/authors&gt;&lt;/contributors&gt;&lt;titles&gt;&lt;title&gt;Focus on Psychometrics. Coefficient alpha: Conceptualizations and anomalies&lt;/title&gt;&lt;secondary-title&gt;Research in Nursing &amp;amp; Health&lt;/secondary-title&gt;&lt;/titles&gt;&lt;periodical&gt;&lt;full-title&gt;Research in Nursing &amp;amp; Health&lt;/full-title&gt;&lt;/periodical&gt;&lt;pages&gt;457-460&lt;/pages&gt;&lt;volume&gt;14&lt;/volume&gt;&lt;number&gt;6&lt;/number&gt;&lt;section&gt;457&lt;/section&gt;&lt;dates&gt;&lt;year&gt;1991&lt;/year&gt;&lt;/dates&gt;&lt;isbn&gt;01606891&amp;#xD;1098240X&lt;/isbn&gt;&lt;urls&gt;&lt;/urls&gt;&lt;electronic-resource-num&gt;10.1002/nur.4770140610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Also, according to Taber, </w:t>
      </w:r>
      <w:r w:rsidRPr="00FD0CAE">
        <w:rPr>
          <w:rFonts w:ascii="Times New Roman" w:hAnsi="Times New Roman" w:cs="Times New Roman"/>
          <w:sz w:val="24"/>
          <w:szCs w:val="24"/>
        </w:rPr>
        <w:t xml:space="preserve">Cronbach's alpha </w:t>
      </w:r>
      <w:r>
        <w:rPr>
          <w:rFonts w:ascii="Times New Roman" w:hAnsi="Times New Roman" w:cs="Times New Roman"/>
          <w:sz w:val="24"/>
          <w:szCs w:val="24"/>
        </w:rPr>
        <w:t xml:space="preserve">in </w:t>
      </w:r>
      <w:r>
        <w:rPr>
          <w:rFonts w:ascii="Times New Roman" w:hAnsi="Times New Roman" w:cs="Times New Roman"/>
          <w:sz w:val="24"/>
          <w:szCs w:val="24"/>
        </w:rPr>
        <w:t xml:space="preserve">the </w:t>
      </w:r>
      <w:r>
        <w:rPr>
          <w:rFonts w:ascii="Times New Roman" w:hAnsi="Times New Roman" w:cs="Times New Roman"/>
          <w:sz w:val="24"/>
          <w:szCs w:val="24"/>
        </w:rPr>
        <w:t>ra</w:t>
      </w:r>
      <w:r>
        <w:rPr>
          <w:rFonts w:ascii="Times New Roman" w:hAnsi="Times New Roman" w:cs="Times New Roman"/>
          <w:sz w:val="24"/>
          <w:szCs w:val="24"/>
        </w:rPr>
        <w:t>n</w:t>
      </w:r>
      <w:r>
        <w:rPr>
          <w:rFonts w:ascii="Times New Roman" w:hAnsi="Times New Roman" w:cs="Times New Roman"/>
          <w:sz w:val="24"/>
          <w:szCs w:val="24"/>
        </w:rPr>
        <w:t xml:space="preserve">ge of </w:t>
      </w:r>
      <w:r w:rsidRPr="009859F4">
        <w:rPr>
          <w:rFonts w:ascii="Times New Roman" w:hAnsi="Times New Roman" w:cs="Times New Roman"/>
          <w:sz w:val="24"/>
          <w:szCs w:val="24"/>
        </w:rPr>
        <w:t>(0.67–0.87)</w:t>
      </w:r>
      <w:r>
        <w:rPr>
          <w:rFonts w:ascii="Times New Roman" w:hAnsi="Times New Roman" w:cs="Times New Roman"/>
          <w:sz w:val="24"/>
          <w:szCs w:val="24"/>
        </w:rPr>
        <w:t xml:space="preserve"> is </w:t>
      </w:r>
      <w:r w:rsidRPr="009859F4">
        <w:rPr>
          <w:rFonts w:ascii="Times New Roman" w:hAnsi="Times New Roman" w:cs="Times New Roman"/>
          <w:sz w:val="24"/>
          <w:szCs w:val="24"/>
        </w:rPr>
        <w:t>reasonable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&lt;EndNote&gt;&lt;Cite&gt;&lt;Author&gt;Taber&lt;/Author&gt;&lt;Year&gt;2017&lt;/Year&gt;&lt;RecNum&gt;7&lt;/RecNum&gt;&lt;DisplayText&gt;(2)&lt;/DisplayText&gt;&lt;record&gt;&lt;rec-number&gt;7&lt;/rec-number&gt;&lt;foreign-keys&gt;&lt;key app="EN" db-id="d0sxva2tkdespwe050vvex2zwpa00x5xfpww" timestamp="1612286073"&gt;7&lt;/key&gt;&lt;/foreign-keys&gt;&lt;ref-type name="Journal Article"&gt;17&lt;/ref-type&gt;&lt;contributors&gt;&lt;authors&gt;&lt;author&gt;Taber, Keith S.&lt;/author&gt;&lt;/authors&gt;&lt;/contributors&gt;&lt;titles&gt;&lt;title&gt;The Use of Cronbach’s Alpha When Developing and Reporting Research Instruments in Science Education&lt;/title&gt;&lt;secondary-title&gt;Research in Science Education&lt;/secondary-title&gt;&lt;/titles&gt;&lt;periodical&gt;&lt;full-title&gt;Research in Science Education&lt;/full-title&gt;&lt;/periodical&gt;&lt;pages&gt;1273-1296&lt;/pages&gt;&lt;volume&gt;48&lt;/volume&gt;&lt;number&gt;6&lt;/number&gt;&lt;section&gt;1273&lt;/section&gt;&lt;dates&gt;&lt;year&gt;2017&lt;/year&gt;&lt;/dates&gt;&lt;isbn&gt;0157-244X&amp;#xD;1573-1898&lt;/isbn&gt;&lt;urls&gt;&lt;/urls&gt;&lt;electronic-resource-num&gt;10.1007/s11165-016-9602-2&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(13)</w:t>
      </w:r>
      <w:r>
        <w:rPr>
          <w:rFonts w:ascii="Times New Roman" w:hAnsi="Times New Roman" w:cs="Times New Roman"/>
          <w:sz w:val="24"/>
          <w:szCs w:val="24"/>
        </w:rPr>
        <w:fldChar w:fldCharType="end"/>
      </w:r>
    </w:p>
    <w:p w14:paraId="7C9A8E15"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5049C978"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39C2EB84"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05D20883"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659D5018"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5F16A5FF"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02EB1C74"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10AF4870"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2F7AB04E"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10CA72FC"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41A9EE6F"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2F2CFDB4"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6C0DB303"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64996503"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6BC505B8" w14:textId="77777777" w:rsidR="005A50A1" w:rsidRDefault="005A50A1" w:rsidP="005A50A1">
      <w:pPr>
        <w:autoSpaceDE w:val="0"/>
        <w:autoSpaceDN w:val="0"/>
        <w:adjustRightInd w:val="0"/>
        <w:spacing w:after="0" w:line="400" w:lineRule="atLeast"/>
        <w:rPr>
          <w:rFonts w:ascii="Times New Roman" w:hAnsi="Times New Roman" w:cs="Times New Roman"/>
          <w:sz w:val="24"/>
          <w:szCs w:val="24"/>
        </w:rPr>
      </w:pPr>
    </w:p>
    <w:p w14:paraId="1F5701A3" w14:textId="77777777" w:rsidR="005A50A1" w:rsidRDefault="005A50A1" w:rsidP="005A50A1">
      <w:pPr>
        <w:rPr>
          <w:rFonts w:ascii="Times New Roman" w:hAnsi="Times New Roman" w:cs="Times New Roman"/>
          <w:b/>
          <w:bCs/>
          <w:sz w:val="24"/>
          <w:szCs w:val="24"/>
        </w:rPr>
      </w:pPr>
    </w:p>
    <w:p w14:paraId="4A25A785" w14:textId="195CA2DD" w:rsidR="005A50A1" w:rsidRPr="009859F4" w:rsidRDefault="005A50A1" w:rsidP="005A50A1">
      <w:pPr>
        <w:rPr>
          <w:b/>
          <w:bCs/>
          <w:lang w:bidi="ar-EG"/>
        </w:rPr>
      </w:pPr>
      <w:r w:rsidRPr="009859F4">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SV</w:t>
      </w:r>
      <w:r w:rsidRPr="009859F4">
        <w:rPr>
          <w:rFonts w:ascii="Times New Roman" w:hAnsi="Times New Roman" w:cs="Times New Roman"/>
          <w:b/>
          <w:bCs/>
          <w:sz w:val="24"/>
          <w:szCs w:val="24"/>
        </w:rPr>
        <w:t xml:space="preserve">: measuring </w:t>
      </w:r>
      <w:r>
        <w:rPr>
          <w:rFonts w:ascii="Times New Roman" w:hAnsi="Times New Roman" w:cs="Times New Roman"/>
          <w:b/>
          <w:bCs/>
          <w:sz w:val="24"/>
          <w:szCs w:val="24"/>
        </w:rPr>
        <w:t xml:space="preserve">the </w:t>
      </w:r>
      <w:r w:rsidRPr="009859F4">
        <w:rPr>
          <w:rFonts w:ascii="Times New Roman" w:hAnsi="Times New Roman" w:cs="Times New Roman"/>
          <w:b/>
          <w:bCs/>
          <w:sz w:val="24"/>
          <w:szCs w:val="24"/>
        </w:rPr>
        <w:t>total survey items.</w:t>
      </w:r>
    </w:p>
    <w:tbl>
      <w:tblPr>
        <w:tblStyle w:val="PlainTable2"/>
        <w:tblW w:w="7950" w:type="dxa"/>
        <w:tblLook w:val="0400" w:firstRow="0" w:lastRow="0" w:firstColumn="0" w:lastColumn="0" w:noHBand="0" w:noVBand="1"/>
      </w:tblPr>
      <w:tblGrid>
        <w:gridCol w:w="6130"/>
        <w:gridCol w:w="1820"/>
      </w:tblGrid>
      <w:tr w:rsidR="005A50A1" w:rsidRPr="009859F4" w14:paraId="4ACC3CA3"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21987615" w14:textId="77777777" w:rsidR="005A50A1" w:rsidRPr="005A50A1" w:rsidRDefault="005A50A1" w:rsidP="00564D6A">
            <w:pPr>
              <w:rPr>
                <w:rFonts w:asciiTheme="majorBidi" w:hAnsiTheme="majorBidi" w:cstheme="majorBidi"/>
                <w:b/>
                <w:bCs/>
                <w:sz w:val="18"/>
                <w:szCs w:val="18"/>
                <w:lang w:bidi="ar-EG"/>
              </w:rPr>
            </w:pPr>
            <w:r w:rsidRPr="005A50A1">
              <w:rPr>
                <w:rFonts w:asciiTheme="majorBidi" w:hAnsiTheme="majorBidi" w:cstheme="majorBidi"/>
                <w:b/>
                <w:bCs/>
                <w:sz w:val="18"/>
                <w:szCs w:val="18"/>
                <w:lang w:bidi="ar-EG"/>
              </w:rPr>
              <w:t>Daily eating habits</w:t>
            </w:r>
          </w:p>
          <w:p w14:paraId="70F6BD9F" w14:textId="77777777" w:rsidR="005A50A1" w:rsidRPr="005A50A1" w:rsidRDefault="005A50A1" w:rsidP="00564D6A">
            <w:pPr>
              <w:rPr>
                <w:rFonts w:asciiTheme="majorBidi" w:hAnsiTheme="majorBidi" w:cstheme="majorBidi"/>
                <w:sz w:val="18"/>
                <w:szCs w:val="18"/>
              </w:rPr>
            </w:pPr>
          </w:p>
        </w:tc>
        <w:tc>
          <w:tcPr>
            <w:tcW w:w="0" w:type="auto"/>
          </w:tcPr>
          <w:p w14:paraId="44D56D3B" w14:textId="77777777" w:rsidR="005A50A1" w:rsidRPr="005A50A1" w:rsidRDefault="005A50A1" w:rsidP="00564D6A">
            <w:pPr>
              <w:rPr>
                <w:rFonts w:asciiTheme="majorBidi" w:hAnsiTheme="majorBidi" w:cstheme="majorBidi"/>
                <w:b/>
                <w:bCs/>
                <w:sz w:val="18"/>
                <w:szCs w:val="18"/>
              </w:rPr>
            </w:pPr>
            <w:r w:rsidRPr="005A50A1">
              <w:rPr>
                <w:rFonts w:asciiTheme="majorBidi" w:hAnsiTheme="majorBidi" w:cstheme="majorBidi"/>
                <w:b/>
                <w:bCs/>
                <w:sz w:val="18"/>
                <w:szCs w:val="18"/>
              </w:rPr>
              <w:t>Cronbach's Alpha</w:t>
            </w:r>
          </w:p>
        </w:tc>
      </w:tr>
      <w:tr w:rsidR="005A50A1" w:rsidRPr="009859F4" w14:paraId="0DA25A11" w14:textId="77777777" w:rsidTr="00564D6A">
        <w:trPr>
          <w:trHeight w:val="19"/>
        </w:trPr>
        <w:tc>
          <w:tcPr>
            <w:tcW w:w="0" w:type="auto"/>
          </w:tcPr>
          <w:p w14:paraId="183F08A4"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 xml:space="preserve"> Did you change your eating habits during confinement?</w:t>
            </w:r>
          </w:p>
        </w:tc>
        <w:tc>
          <w:tcPr>
            <w:tcW w:w="0" w:type="auto"/>
          </w:tcPr>
          <w:p w14:paraId="453B43BC"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.785</w:t>
            </w:r>
          </w:p>
        </w:tc>
      </w:tr>
      <w:tr w:rsidR="005A50A1" w:rsidRPr="009859F4" w14:paraId="53BC8CF8" w14:textId="77777777" w:rsidTr="00564D6A">
        <w:trPr>
          <w:cnfStyle w:val="000000100000" w:firstRow="0" w:lastRow="0" w:firstColumn="0" w:lastColumn="0" w:oddVBand="0" w:evenVBand="0" w:oddHBand="1" w:evenHBand="0" w:firstRowFirstColumn="0" w:firstRowLastColumn="0" w:lastRowFirstColumn="0" w:lastRowLastColumn="0"/>
          <w:trHeight w:val="51"/>
        </w:trPr>
        <w:tc>
          <w:tcPr>
            <w:tcW w:w="0" w:type="auto"/>
          </w:tcPr>
          <w:p w14:paraId="2865FEB1"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  Did your weight change from before confinement?</w:t>
            </w:r>
          </w:p>
        </w:tc>
        <w:tc>
          <w:tcPr>
            <w:tcW w:w="0" w:type="auto"/>
          </w:tcPr>
          <w:p w14:paraId="6BE88ED6"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.784</w:t>
            </w:r>
          </w:p>
        </w:tc>
      </w:tr>
      <w:tr w:rsidR="005A50A1" w:rsidRPr="009859F4" w14:paraId="6B7D3438" w14:textId="77777777" w:rsidTr="00564D6A">
        <w:trPr>
          <w:trHeight w:val="19"/>
        </w:trPr>
        <w:tc>
          <w:tcPr>
            <w:tcW w:w="0" w:type="auto"/>
          </w:tcPr>
          <w:p w14:paraId="0378EF39"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fruits and vegetables per week before</w:t>
            </w:r>
          </w:p>
        </w:tc>
        <w:tc>
          <w:tcPr>
            <w:tcW w:w="0" w:type="auto"/>
          </w:tcPr>
          <w:p w14:paraId="517E0B1D"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.780</w:t>
            </w:r>
          </w:p>
        </w:tc>
      </w:tr>
      <w:tr w:rsidR="005A50A1" w:rsidRPr="009859F4" w14:paraId="6DA61A2E"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3D493CA2"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fruits and vegetables per week after</w:t>
            </w:r>
          </w:p>
        </w:tc>
        <w:tc>
          <w:tcPr>
            <w:tcW w:w="0" w:type="auto"/>
          </w:tcPr>
          <w:p w14:paraId="3DA7E918"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.782</w:t>
            </w:r>
          </w:p>
        </w:tc>
      </w:tr>
      <w:tr w:rsidR="005A50A1" w:rsidRPr="009859F4" w14:paraId="4F22405C" w14:textId="77777777" w:rsidTr="00564D6A">
        <w:trPr>
          <w:trHeight w:val="43"/>
        </w:trPr>
        <w:tc>
          <w:tcPr>
            <w:tcW w:w="0" w:type="auto"/>
          </w:tcPr>
          <w:p w14:paraId="18473619"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 xml:space="preserve"> How many times do you eat carbohydrates per day before</w:t>
            </w:r>
          </w:p>
        </w:tc>
        <w:tc>
          <w:tcPr>
            <w:tcW w:w="0" w:type="auto"/>
          </w:tcPr>
          <w:p w14:paraId="7EF31965"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.777</w:t>
            </w:r>
          </w:p>
        </w:tc>
      </w:tr>
      <w:tr w:rsidR="005A50A1" w:rsidRPr="009859F4" w14:paraId="5FF1A222"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700BEF3F"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carbohydrates per day after</w:t>
            </w:r>
          </w:p>
        </w:tc>
        <w:tc>
          <w:tcPr>
            <w:tcW w:w="0" w:type="auto"/>
          </w:tcPr>
          <w:p w14:paraId="14E63E53"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.781</w:t>
            </w:r>
          </w:p>
        </w:tc>
      </w:tr>
      <w:tr w:rsidR="005A50A1" w:rsidRPr="009859F4" w14:paraId="144EFF79" w14:textId="77777777" w:rsidTr="00564D6A">
        <w:trPr>
          <w:trHeight w:val="19"/>
        </w:trPr>
        <w:tc>
          <w:tcPr>
            <w:tcW w:w="0" w:type="auto"/>
          </w:tcPr>
          <w:p w14:paraId="53E5E418"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meats and poultry per week before</w:t>
            </w:r>
          </w:p>
        </w:tc>
        <w:tc>
          <w:tcPr>
            <w:tcW w:w="0" w:type="auto"/>
          </w:tcPr>
          <w:p w14:paraId="356C3C38"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.773</w:t>
            </w:r>
          </w:p>
        </w:tc>
      </w:tr>
      <w:tr w:rsidR="005A50A1" w:rsidRPr="009859F4" w14:paraId="3CC95986"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35AB713E"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meats and poultry per week after</w:t>
            </w:r>
          </w:p>
        </w:tc>
        <w:tc>
          <w:tcPr>
            <w:tcW w:w="0" w:type="auto"/>
          </w:tcPr>
          <w:p w14:paraId="0D24186A"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.775</w:t>
            </w:r>
          </w:p>
        </w:tc>
      </w:tr>
      <w:tr w:rsidR="005A50A1" w:rsidRPr="009859F4" w14:paraId="5DA4E0BF" w14:textId="77777777" w:rsidTr="00564D6A">
        <w:trPr>
          <w:trHeight w:val="19"/>
        </w:trPr>
        <w:tc>
          <w:tcPr>
            <w:tcW w:w="0" w:type="auto"/>
          </w:tcPr>
          <w:p w14:paraId="137C3A4E"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seafood per week before</w:t>
            </w:r>
          </w:p>
        </w:tc>
        <w:tc>
          <w:tcPr>
            <w:tcW w:w="0" w:type="auto"/>
          </w:tcPr>
          <w:p w14:paraId="1FD586E6"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.780</w:t>
            </w:r>
          </w:p>
        </w:tc>
      </w:tr>
      <w:tr w:rsidR="005A50A1" w:rsidRPr="009859F4" w14:paraId="093FFDA5"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194EEC43"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seafood per week before</w:t>
            </w:r>
          </w:p>
        </w:tc>
        <w:tc>
          <w:tcPr>
            <w:tcW w:w="0" w:type="auto"/>
          </w:tcPr>
          <w:p w14:paraId="03CA76E6"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.784</w:t>
            </w:r>
          </w:p>
        </w:tc>
      </w:tr>
      <w:tr w:rsidR="005A50A1" w:rsidRPr="009859F4" w14:paraId="67C40A02" w14:textId="77777777" w:rsidTr="00564D6A">
        <w:trPr>
          <w:trHeight w:val="19"/>
        </w:trPr>
        <w:tc>
          <w:tcPr>
            <w:tcW w:w="0" w:type="auto"/>
          </w:tcPr>
          <w:p w14:paraId="76F25D3C"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litres (L) of water do you drink per day after</w:t>
            </w:r>
          </w:p>
        </w:tc>
        <w:tc>
          <w:tcPr>
            <w:tcW w:w="0" w:type="auto"/>
          </w:tcPr>
          <w:p w14:paraId="4AEFACC6"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.781</w:t>
            </w:r>
          </w:p>
        </w:tc>
      </w:tr>
      <w:tr w:rsidR="005A50A1" w:rsidRPr="009859F4" w14:paraId="1A8CA2C1"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66C0E603"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litres (L) of water do you drink per day before</w:t>
            </w:r>
          </w:p>
        </w:tc>
        <w:tc>
          <w:tcPr>
            <w:tcW w:w="0" w:type="auto"/>
          </w:tcPr>
          <w:p w14:paraId="1144E187"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.783</w:t>
            </w:r>
          </w:p>
        </w:tc>
      </w:tr>
      <w:tr w:rsidR="005A50A1" w:rsidRPr="009859F4" w14:paraId="59AAD579" w14:textId="77777777" w:rsidTr="00564D6A">
        <w:trPr>
          <w:trHeight w:val="19"/>
        </w:trPr>
        <w:tc>
          <w:tcPr>
            <w:tcW w:w="0" w:type="auto"/>
          </w:tcPr>
          <w:p w14:paraId="204C8E1F"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dairy products do you consumer per day before</w:t>
            </w:r>
          </w:p>
        </w:tc>
        <w:tc>
          <w:tcPr>
            <w:tcW w:w="0" w:type="auto"/>
          </w:tcPr>
          <w:p w14:paraId="33F50418"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.778</w:t>
            </w:r>
          </w:p>
        </w:tc>
      </w:tr>
      <w:tr w:rsidR="005A50A1" w:rsidRPr="009859F4" w14:paraId="66890629"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09CC6B1C"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dairy products do you consumer per day after</w:t>
            </w:r>
          </w:p>
        </w:tc>
        <w:tc>
          <w:tcPr>
            <w:tcW w:w="0" w:type="auto"/>
          </w:tcPr>
          <w:p w14:paraId="0235D716"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.781</w:t>
            </w:r>
          </w:p>
        </w:tc>
      </w:tr>
      <w:tr w:rsidR="005A50A1" w:rsidRPr="009859F4" w14:paraId="6A1A114A" w14:textId="77777777" w:rsidTr="00564D6A">
        <w:trPr>
          <w:trHeight w:val="19"/>
        </w:trPr>
        <w:tc>
          <w:tcPr>
            <w:tcW w:w="0" w:type="auto"/>
          </w:tcPr>
          <w:p w14:paraId="31BE4251"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eggs do you consume per week before?</w:t>
            </w:r>
          </w:p>
        </w:tc>
        <w:tc>
          <w:tcPr>
            <w:tcW w:w="0" w:type="auto"/>
          </w:tcPr>
          <w:p w14:paraId="6B02EBB9"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.779</w:t>
            </w:r>
          </w:p>
        </w:tc>
      </w:tr>
      <w:tr w:rsidR="005A50A1" w:rsidRPr="009859F4" w14:paraId="1CFAFA64" w14:textId="77777777" w:rsidTr="00564D6A">
        <w:trPr>
          <w:cnfStyle w:val="000000100000" w:firstRow="0" w:lastRow="0" w:firstColumn="0" w:lastColumn="0" w:oddVBand="0" w:evenVBand="0" w:oddHBand="1" w:evenHBand="0" w:firstRowFirstColumn="0" w:firstRowLastColumn="0" w:lastRowFirstColumn="0" w:lastRowLastColumn="0"/>
          <w:trHeight w:val="19"/>
        </w:trPr>
        <w:tc>
          <w:tcPr>
            <w:tcW w:w="0" w:type="auto"/>
          </w:tcPr>
          <w:p w14:paraId="0516321B"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eggs do you consume per week after?</w:t>
            </w:r>
          </w:p>
        </w:tc>
        <w:tc>
          <w:tcPr>
            <w:tcW w:w="0" w:type="auto"/>
          </w:tcPr>
          <w:p w14:paraId="3F8CF0B4"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.781</w:t>
            </w:r>
          </w:p>
        </w:tc>
      </w:tr>
      <w:tr w:rsidR="005A50A1" w:rsidRPr="009859F4" w14:paraId="6A0E6BD3" w14:textId="77777777" w:rsidTr="00564D6A">
        <w:trPr>
          <w:trHeight w:val="314"/>
        </w:trPr>
        <w:tc>
          <w:tcPr>
            <w:tcW w:w="0" w:type="auto"/>
          </w:tcPr>
          <w:p w14:paraId="63648F5D"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teaspoons of sugar do you consume per day after</w:t>
            </w:r>
          </w:p>
        </w:tc>
        <w:tc>
          <w:tcPr>
            <w:tcW w:w="0" w:type="auto"/>
          </w:tcPr>
          <w:p w14:paraId="23DCD61A"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.778</w:t>
            </w:r>
          </w:p>
        </w:tc>
      </w:tr>
      <w:tr w:rsidR="005A50A1" w:rsidRPr="009859F4" w14:paraId="690CB6C7" w14:textId="77777777" w:rsidTr="00564D6A">
        <w:trPr>
          <w:cnfStyle w:val="000000100000" w:firstRow="0" w:lastRow="0" w:firstColumn="0" w:lastColumn="0" w:oddVBand="0" w:evenVBand="0" w:oddHBand="1" w:evenHBand="0" w:firstRowFirstColumn="0" w:firstRowLastColumn="0" w:lastRowFirstColumn="0" w:lastRowLastColumn="0"/>
          <w:trHeight w:val="102"/>
        </w:trPr>
        <w:tc>
          <w:tcPr>
            <w:tcW w:w="0" w:type="auto"/>
          </w:tcPr>
          <w:p w14:paraId="464B6953"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teaspoons of sugar do you consume per day before</w:t>
            </w:r>
          </w:p>
        </w:tc>
        <w:tc>
          <w:tcPr>
            <w:tcW w:w="0" w:type="auto"/>
          </w:tcPr>
          <w:p w14:paraId="56146FAA"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.781</w:t>
            </w:r>
          </w:p>
        </w:tc>
      </w:tr>
      <w:tr w:rsidR="005A50A1" w:rsidRPr="009859F4" w14:paraId="0A12B064" w14:textId="77777777" w:rsidTr="00564D6A">
        <w:trPr>
          <w:trHeight w:val="314"/>
        </w:trPr>
        <w:tc>
          <w:tcPr>
            <w:tcW w:w="0" w:type="auto"/>
          </w:tcPr>
          <w:p w14:paraId="27CCF152"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snacks do you consume per week before?</w:t>
            </w:r>
          </w:p>
        </w:tc>
        <w:tc>
          <w:tcPr>
            <w:tcW w:w="0" w:type="auto"/>
          </w:tcPr>
          <w:p w14:paraId="7C52A862"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.780</w:t>
            </w:r>
          </w:p>
        </w:tc>
      </w:tr>
      <w:tr w:rsidR="005A50A1" w:rsidRPr="009859F4" w14:paraId="086ABE8E" w14:textId="77777777" w:rsidTr="00564D6A">
        <w:trPr>
          <w:cnfStyle w:val="000000100000" w:firstRow="0" w:lastRow="0" w:firstColumn="0" w:lastColumn="0" w:oddVBand="0" w:evenVBand="0" w:oddHBand="1" w:evenHBand="0" w:firstRowFirstColumn="0" w:firstRowLastColumn="0" w:lastRowFirstColumn="0" w:lastRowLastColumn="0"/>
          <w:trHeight w:val="314"/>
        </w:trPr>
        <w:tc>
          <w:tcPr>
            <w:tcW w:w="0" w:type="auto"/>
          </w:tcPr>
          <w:p w14:paraId="0A059851"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snacks do you consume per week after?</w:t>
            </w:r>
          </w:p>
        </w:tc>
        <w:tc>
          <w:tcPr>
            <w:tcW w:w="0" w:type="auto"/>
          </w:tcPr>
          <w:p w14:paraId="13B10072"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.783</w:t>
            </w:r>
          </w:p>
        </w:tc>
      </w:tr>
      <w:tr w:rsidR="005A50A1" w:rsidRPr="009859F4" w14:paraId="69FE0C12" w14:textId="77777777" w:rsidTr="00564D6A">
        <w:trPr>
          <w:trHeight w:val="314"/>
        </w:trPr>
        <w:tc>
          <w:tcPr>
            <w:tcW w:w="0" w:type="auto"/>
          </w:tcPr>
          <w:p w14:paraId="021CF65A"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fast food per week before?</w:t>
            </w:r>
          </w:p>
        </w:tc>
        <w:tc>
          <w:tcPr>
            <w:tcW w:w="0" w:type="auto"/>
          </w:tcPr>
          <w:p w14:paraId="2C2386FB"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.779</w:t>
            </w:r>
          </w:p>
        </w:tc>
      </w:tr>
      <w:tr w:rsidR="005A50A1" w:rsidRPr="009859F4" w14:paraId="352F4DA1" w14:textId="77777777" w:rsidTr="00564D6A">
        <w:trPr>
          <w:cnfStyle w:val="000000100000" w:firstRow="0" w:lastRow="0" w:firstColumn="0" w:lastColumn="0" w:oddVBand="0" w:evenVBand="0" w:oddHBand="1" w:evenHBand="0" w:firstRowFirstColumn="0" w:firstRowLastColumn="0" w:lastRowFirstColumn="0" w:lastRowLastColumn="0"/>
          <w:trHeight w:val="314"/>
        </w:trPr>
        <w:tc>
          <w:tcPr>
            <w:tcW w:w="0" w:type="auto"/>
          </w:tcPr>
          <w:p w14:paraId="52220AEB"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times do you eat fast food per week after?</w:t>
            </w:r>
          </w:p>
        </w:tc>
        <w:tc>
          <w:tcPr>
            <w:tcW w:w="0" w:type="auto"/>
          </w:tcPr>
          <w:p w14:paraId="7F09C74A"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.785</w:t>
            </w:r>
          </w:p>
        </w:tc>
      </w:tr>
      <w:tr w:rsidR="005A50A1" w:rsidRPr="009859F4" w14:paraId="1D08A29C" w14:textId="77777777" w:rsidTr="00564D6A">
        <w:trPr>
          <w:trHeight w:val="209"/>
        </w:trPr>
        <w:tc>
          <w:tcPr>
            <w:tcW w:w="0" w:type="auto"/>
          </w:tcPr>
          <w:p w14:paraId="72C1FB1E"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What are drinks do you consume per day before?</w:t>
            </w:r>
          </w:p>
        </w:tc>
        <w:tc>
          <w:tcPr>
            <w:tcW w:w="0" w:type="auto"/>
          </w:tcPr>
          <w:p w14:paraId="16CBA1BE"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.804</w:t>
            </w:r>
          </w:p>
        </w:tc>
      </w:tr>
      <w:tr w:rsidR="005A50A1" w:rsidRPr="009859F4" w14:paraId="30D7B886" w14:textId="77777777" w:rsidTr="00564D6A">
        <w:trPr>
          <w:cnfStyle w:val="000000100000" w:firstRow="0" w:lastRow="0" w:firstColumn="0" w:lastColumn="0" w:oddVBand="0" w:evenVBand="0" w:oddHBand="1" w:evenHBand="0" w:firstRowFirstColumn="0" w:firstRowLastColumn="0" w:lastRowFirstColumn="0" w:lastRowLastColumn="0"/>
          <w:trHeight w:val="209"/>
        </w:trPr>
        <w:tc>
          <w:tcPr>
            <w:tcW w:w="0" w:type="auto"/>
          </w:tcPr>
          <w:p w14:paraId="6F52F111"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What are drinks do you consume per day after</w:t>
            </w:r>
          </w:p>
        </w:tc>
        <w:tc>
          <w:tcPr>
            <w:tcW w:w="0" w:type="auto"/>
          </w:tcPr>
          <w:p w14:paraId="5BF7146E"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.804</w:t>
            </w:r>
          </w:p>
        </w:tc>
      </w:tr>
      <w:tr w:rsidR="005A50A1" w:rsidRPr="009859F4" w14:paraId="62BAD7BD" w14:textId="77777777" w:rsidTr="00564D6A">
        <w:trPr>
          <w:trHeight w:val="314"/>
        </w:trPr>
        <w:tc>
          <w:tcPr>
            <w:tcW w:w="0" w:type="auto"/>
          </w:tcPr>
          <w:p w14:paraId="5ECEAA1F"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cups of drinks do you consume per day before?</w:t>
            </w:r>
          </w:p>
        </w:tc>
        <w:tc>
          <w:tcPr>
            <w:tcW w:w="0" w:type="auto"/>
          </w:tcPr>
          <w:p w14:paraId="39613F01"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.779</w:t>
            </w:r>
          </w:p>
        </w:tc>
      </w:tr>
      <w:tr w:rsidR="005A50A1" w:rsidRPr="009859F4" w14:paraId="00945C99" w14:textId="77777777" w:rsidTr="00564D6A">
        <w:trPr>
          <w:cnfStyle w:val="000000100000" w:firstRow="0" w:lastRow="0" w:firstColumn="0" w:lastColumn="0" w:oddVBand="0" w:evenVBand="0" w:oddHBand="1" w:evenHBand="0" w:firstRowFirstColumn="0" w:firstRowLastColumn="0" w:lastRowFirstColumn="0" w:lastRowLastColumn="0"/>
          <w:trHeight w:val="314"/>
        </w:trPr>
        <w:tc>
          <w:tcPr>
            <w:tcW w:w="0" w:type="auto"/>
          </w:tcPr>
          <w:p w14:paraId="34F3475A"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How many cups of drinks do you consume per day after?</w:t>
            </w:r>
          </w:p>
        </w:tc>
        <w:tc>
          <w:tcPr>
            <w:tcW w:w="0" w:type="auto"/>
          </w:tcPr>
          <w:p w14:paraId="74050B6D"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.781</w:t>
            </w:r>
          </w:p>
        </w:tc>
      </w:tr>
      <w:tr w:rsidR="005A50A1" w:rsidRPr="009859F4" w14:paraId="0191160D" w14:textId="77777777" w:rsidTr="00564D6A">
        <w:trPr>
          <w:trHeight w:val="314"/>
        </w:trPr>
        <w:tc>
          <w:tcPr>
            <w:tcW w:w="0" w:type="auto"/>
          </w:tcPr>
          <w:p w14:paraId="56B100C5"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What are the dietary supplements do you consume per day before?</w:t>
            </w:r>
          </w:p>
        </w:tc>
        <w:tc>
          <w:tcPr>
            <w:tcW w:w="0" w:type="auto"/>
          </w:tcPr>
          <w:p w14:paraId="5F775F54"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.776</w:t>
            </w:r>
          </w:p>
        </w:tc>
      </w:tr>
      <w:tr w:rsidR="005A50A1" w:rsidRPr="009859F4" w14:paraId="6B272DB8" w14:textId="77777777" w:rsidTr="00564D6A">
        <w:trPr>
          <w:cnfStyle w:val="000000100000" w:firstRow="0" w:lastRow="0" w:firstColumn="0" w:lastColumn="0" w:oddVBand="0" w:evenVBand="0" w:oddHBand="1" w:evenHBand="0" w:firstRowFirstColumn="0" w:firstRowLastColumn="0" w:lastRowFirstColumn="0" w:lastRowLastColumn="0"/>
          <w:trHeight w:val="314"/>
        </w:trPr>
        <w:tc>
          <w:tcPr>
            <w:tcW w:w="0" w:type="auto"/>
          </w:tcPr>
          <w:p w14:paraId="36079FDA" w14:textId="77777777" w:rsidR="005A50A1" w:rsidRPr="005A50A1" w:rsidRDefault="005A50A1" w:rsidP="005A50A1">
            <w:pPr>
              <w:rPr>
                <w:rFonts w:asciiTheme="majorBidi" w:hAnsiTheme="majorBidi" w:cstheme="majorBidi"/>
                <w:sz w:val="18"/>
                <w:szCs w:val="18"/>
              </w:rPr>
            </w:pPr>
            <w:r w:rsidRPr="005A50A1">
              <w:rPr>
                <w:rFonts w:asciiTheme="majorBidi" w:hAnsiTheme="majorBidi" w:cstheme="majorBidi"/>
                <w:sz w:val="18"/>
                <w:szCs w:val="18"/>
              </w:rPr>
              <w:t>What are the dietary supplements do you consume per day after</w:t>
            </w:r>
          </w:p>
        </w:tc>
        <w:tc>
          <w:tcPr>
            <w:tcW w:w="0" w:type="auto"/>
          </w:tcPr>
          <w:p w14:paraId="5D8C51B3" w14:textId="77777777" w:rsidR="005A50A1" w:rsidRPr="005A50A1" w:rsidRDefault="005A50A1" w:rsidP="00564D6A">
            <w:pPr>
              <w:rPr>
                <w:rFonts w:asciiTheme="majorBidi" w:hAnsiTheme="majorBidi" w:cstheme="majorBidi"/>
                <w:sz w:val="18"/>
                <w:szCs w:val="18"/>
              </w:rPr>
            </w:pPr>
            <w:r w:rsidRPr="005A50A1">
              <w:rPr>
                <w:rFonts w:asciiTheme="majorBidi" w:hAnsiTheme="majorBidi" w:cstheme="majorBidi"/>
                <w:sz w:val="18"/>
                <w:szCs w:val="18"/>
              </w:rPr>
              <w:t>.777</w:t>
            </w:r>
          </w:p>
        </w:tc>
      </w:tr>
      <w:tr w:rsidR="005A50A1" w:rsidRPr="009859F4" w14:paraId="1E22128B" w14:textId="77777777" w:rsidTr="00564D6A">
        <w:trPr>
          <w:trHeight w:val="314"/>
        </w:trPr>
        <w:tc>
          <w:tcPr>
            <w:tcW w:w="0" w:type="auto"/>
          </w:tcPr>
          <w:p w14:paraId="5911E90C" w14:textId="77777777" w:rsidR="005A50A1" w:rsidRPr="005A50A1" w:rsidRDefault="005A50A1" w:rsidP="005A50A1">
            <w:pPr>
              <w:rPr>
                <w:rFonts w:asciiTheme="majorBidi" w:hAnsiTheme="majorBidi" w:cstheme="majorBidi"/>
                <w:b/>
                <w:bCs/>
                <w:sz w:val="18"/>
                <w:szCs w:val="18"/>
              </w:rPr>
            </w:pPr>
            <w:r w:rsidRPr="005A50A1">
              <w:rPr>
                <w:rFonts w:asciiTheme="majorBidi" w:hAnsiTheme="majorBidi" w:cstheme="majorBidi"/>
                <w:b/>
                <w:bCs/>
                <w:sz w:val="18"/>
                <w:szCs w:val="18"/>
              </w:rPr>
              <w:t>Lifestyle</w:t>
            </w:r>
          </w:p>
        </w:tc>
        <w:tc>
          <w:tcPr>
            <w:tcW w:w="0" w:type="auto"/>
          </w:tcPr>
          <w:p w14:paraId="1F265F48" w14:textId="77777777" w:rsidR="005A50A1" w:rsidRPr="005A50A1" w:rsidRDefault="005A50A1" w:rsidP="00564D6A">
            <w:pPr>
              <w:rPr>
                <w:rFonts w:asciiTheme="majorBidi" w:hAnsiTheme="majorBidi" w:cstheme="majorBidi"/>
                <w:sz w:val="18"/>
                <w:szCs w:val="18"/>
              </w:rPr>
            </w:pPr>
          </w:p>
        </w:tc>
      </w:tr>
      <w:tr w:rsidR="005A50A1" w:rsidRPr="009859F4" w14:paraId="2F1AAF3A"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130" w:type="dxa"/>
          </w:tcPr>
          <w:p w14:paraId="1C2E199E"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times do you smoke per day before?</w:t>
            </w:r>
          </w:p>
        </w:tc>
        <w:tc>
          <w:tcPr>
            <w:tcW w:w="1820" w:type="dxa"/>
          </w:tcPr>
          <w:p w14:paraId="2F9981F0"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.784</w:t>
            </w:r>
          </w:p>
        </w:tc>
      </w:tr>
      <w:tr w:rsidR="005A50A1" w:rsidRPr="009859F4" w14:paraId="12321CFC" w14:textId="77777777" w:rsidTr="00564D6A">
        <w:tblPrEx>
          <w:tblLook w:val="04A0" w:firstRow="1" w:lastRow="0" w:firstColumn="1" w:lastColumn="0" w:noHBand="0" w:noVBand="1"/>
        </w:tblPrEx>
        <w:trPr>
          <w:trHeight w:val="31"/>
        </w:trPr>
        <w:tc>
          <w:tcPr>
            <w:cnfStyle w:val="001000000000" w:firstRow="0" w:lastRow="0" w:firstColumn="1" w:lastColumn="0" w:oddVBand="0" w:evenVBand="0" w:oddHBand="0" w:evenHBand="0" w:firstRowFirstColumn="0" w:firstRowLastColumn="0" w:lastRowFirstColumn="0" w:lastRowLastColumn="0"/>
            <w:tcW w:w="6130" w:type="dxa"/>
          </w:tcPr>
          <w:p w14:paraId="2DC11226"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times do you smoke per day after</w:t>
            </w:r>
          </w:p>
        </w:tc>
        <w:tc>
          <w:tcPr>
            <w:tcW w:w="1820" w:type="dxa"/>
          </w:tcPr>
          <w:p w14:paraId="62E1F99E" w14:textId="77777777" w:rsidR="005A50A1" w:rsidRPr="005A50A1" w:rsidRDefault="005A50A1" w:rsidP="00564D6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.788</w:t>
            </w:r>
          </w:p>
        </w:tc>
      </w:tr>
      <w:tr w:rsidR="005A50A1" w:rsidRPr="009859F4" w14:paraId="21C2B967"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30" w:type="dxa"/>
          </w:tcPr>
          <w:p w14:paraId="278EA952"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sleep per day before?</w:t>
            </w:r>
          </w:p>
        </w:tc>
        <w:tc>
          <w:tcPr>
            <w:tcW w:w="1820" w:type="dxa"/>
          </w:tcPr>
          <w:p w14:paraId="270263FD"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.784</w:t>
            </w:r>
          </w:p>
        </w:tc>
      </w:tr>
      <w:tr w:rsidR="005A50A1" w:rsidRPr="009859F4" w14:paraId="51C33DB3" w14:textId="77777777" w:rsidTr="00564D6A">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6130" w:type="dxa"/>
          </w:tcPr>
          <w:p w14:paraId="464F6BC0"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sleep per day after?</w:t>
            </w:r>
          </w:p>
        </w:tc>
        <w:tc>
          <w:tcPr>
            <w:tcW w:w="1820" w:type="dxa"/>
          </w:tcPr>
          <w:p w14:paraId="6FE57B97" w14:textId="77777777" w:rsidR="005A50A1" w:rsidRPr="005A50A1" w:rsidRDefault="005A50A1" w:rsidP="00564D6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.787</w:t>
            </w:r>
          </w:p>
        </w:tc>
      </w:tr>
      <w:tr w:rsidR="005A50A1" w:rsidRPr="009859F4" w14:paraId="6A6A95FF"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30" w:type="dxa"/>
          </w:tcPr>
          <w:p w14:paraId="4A22E0F5"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times do you practise physical activity per week Before?</w:t>
            </w:r>
          </w:p>
        </w:tc>
        <w:tc>
          <w:tcPr>
            <w:tcW w:w="1820" w:type="dxa"/>
          </w:tcPr>
          <w:p w14:paraId="371CE42E"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.783</w:t>
            </w:r>
          </w:p>
        </w:tc>
      </w:tr>
      <w:tr w:rsidR="005A50A1" w:rsidRPr="009859F4" w14:paraId="2AADA9AF" w14:textId="77777777" w:rsidTr="00564D6A">
        <w:tblPrEx>
          <w:tblLook w:val="04A0" w:firstRow="1" w:lastRow="0" w:firstColumn="1" w:lastColumn="0" w:noHBand="0" w:noVBand="1"/>
        </w:tblPrEx>
        <w:trPr>
          <w:trHeight w:val="159"/>
        </w:trPr>
        <w:tc>
          <w:tcPr>
            <w:cnfStyle w:val="001000000000" w:firstRow="0" w:lastRow="0" w:firstColumn="1" w:lastColumn="0" w:oddVBand="0" w:evenVBand="0" w:oddHBand="0" w:evenHBand="0" w:firstRowFirstColumn="0" w:firstRowLastColumn="0" w:lastRowFirstColumn="0" w:lastRowLastColumn="0"/>
            <w:tcW w:w="6130" w:type="dxa"/>
          </w:tcPr>
          <w:p w14:paraId="160936F3"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times do you practise physical activity per week After?</w:t>
            </w:r>
          </w:p>
        </w:tc>
        <w:tc>
          <w:tcPr>
            <w:tcW w:w="1820" w:type="dxa"/>
          </w:tcPr>
          <w:p w14:paraId="7A8DBD8C" w14:textId="77777777" w:rsidR="005A50A1" w:rsidRPr="005A50A1" w:rsidRDefault="005A50A1" w:rsidP="00564D6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.786</w:t>
            </w:r>
          </w:p>
        </w:tc>
      </w:tr>
      <w:tr w:rsidR="005A50A1" w:rsidRPr="009859F4" w14:paraId="20D642E7"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30" w:type="dxa"/>
          </w:tcPr>
          <w:p w14:paraId="635361EF"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minutes do you spend per each exercise before?</w:t>
            </w:r>
          </w:p>
        </w:tc>
        <w:tc>
          <w:tcPr>
            <w:tcW w:w="1820" w:type="dxa"/>
          </w:tcPr>
          <w:p w14:paraId="10E0F2FB"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.784</w:t>
            </w:r>
          </w:p>
        </w:tc>
      </w:tr>
      <w:tr w:rsidR="005A50A1" w:rsidRPr="009859F4" w14:paraId="0845DF35" w14:textId="77777777" w:rsidTr="00564D6A">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6130" w:type="dxa"/>
          </w:tcPr>
          <w:p w14:paraId="56D168D7"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minutes do you spend per each exercise after</w:t>
            </w:r>
          </w:p>
        </w:tc>
        <w:tc>
          <w:tcPr>
            <w:tcW w:w="1820" w:type="dxa"/>
          </w:tcPr>
          <w:p w14:paraId="3AAFE08A" w14:textId="77777777" w:rsidR="005A50A1" w:rsidRPr="005A50A1" w:rsidRDefault="005A50A1" w:rsidP="00564D6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.789</w:t>
            </w:r>
          </w:p>
        </w:tc>
      </w:tr>
      <w:tr w:rsidR="005A50A1" w:rsidRPr="009859F4" w14:paraId="791FA3BD"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30" w:type="dxa"/>
          </w:tcPr>
          <w:p w14:paraId="7B90BC42"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Before confinement, what were your physical activities</w:t>
            </w:r>
          </w:p>
        </w:tc>
        <w:tc>
          <w:tcPr>
            <w:tcW w:w="1820" w:type="dxa"/>
          </w:tcPr>
          <w:p w14:paraId="7A931F2B"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.785</w:t>
            </w:r>
          </w:p>
        </w:tc>
      </w:tr>
      <w:tr w:rsidR="005A50A1" w:rsidRPr="009859F4" w14:paraId="654B7740" w14:textId="77777777" w:rsidTr="00564D6A">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6130" w:type="dxa"/>
          </w:tcPr>
          <w:p w14:paraId="4DD971E3"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During confinement, what are your physical activities?</w:t>
            </w:r>
          </w:p>
        </w:tc>
        <w:tc>
          <w:tcPr>
            <w:tcW w:w="1820" w:type="dxa"/>
          </w:tcPr>
          <w:p w14:paraId="29F2DE6B" w14:textId="77777777" w:rsidR="005A50A1" w:rsidRPr="005A50A1" w:rsidRDefault="005A50A1" w:rsidP="00564D6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.786</w:t>
            </w:r>
          </w:p>
        </w:tc>
      </w:tr>
      <w:tr w:rsidR="005A50A1" w:rsidRPr="009859F4" w14:paraId="090217EA"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30" w:type="dxa"/>
          </w:tcPr>
          <w:p w14:paraId="1B2ABDED"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spend watching TV per day before?</w:t>
            </w:r>
          </w:p>
        </w:tc>
        <w:tc>
          <w:tcPr>
            <w:tcW w:w="1820" w:type="dxa"/>
          </w:tcPr>
          <w:p w14:paraId="51C4E13F"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.782</w:t>
            </w:r>
          </w:p>
        </w:tc>
      </w:tr>
      <w:tr w:rsidR="005A50A1" w:rsidRPr="009859F4" w14:paraId="77F25E07" w14:textId="77777777" w:rsidTr="00564D6A">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6130" w:type="dxa"/>
          </w:tcPr>
          <w:p w14:paraId="305C204F"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spend watching TV per day after?</w:t>
            </w:r>
          </w:p>
        </w:tc>
        <w:tc>
          <w:tcPr>
            <w:tcW w:w="1820" w:type="dxa"/>
          </w:tcPr>
          <w:p w14:paraId="5950484B" w14:textId="77777777" w:rsidR="005A50A1" w:rsidRPr="005A50A1" w:rsidRDefault="005A50A1" w:rsidP="00564D6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.784</w:t>
            </w:r>
          </w:p>
        </w:tc>
      </w:tr>
      <w:tr w:rsidR="005A50A1" w:rsidRPr="009859F4" w14:paraId="4873EAA5"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30" w:type="dxa"/>
          </w:tcPr>
          <w:p w14:paraId="280E2B41"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spend on social media per day before?</w:t>
            </w:r>
          </w:p>
        </w:tc>
        <w:tc>
          <w:tcPr>
            <w:tcW w:w="1820" w:type="dxa"/>
          </w:tcPr>
          <w:p w14:paraId="429E2811"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.773</w:t>
            </w:r>
          </w:p>
        </w:tc>
      </w:tr>
      <w:tr w:rsidR="005A50A1" w:rsidRPr="009859F4" w14:paraId="1B45E88E" w14:textId="77777777" w:rsidTr="00564D6A">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6130" w:type="dxa"/>
          </w:tcPr>
          <w:p w14:paraId="21FD86F2"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spend on social media per day after?</w:t>
            </w:r>
          </w:p>
        </w:tc>
        <w:tc>
          <w:tcPr>
            <w:tcW w:w="1820" w:type="dxa"/>
          </w:tcPr>
          <w:p w14:paraId="162EC4F0" w14:textId="77777777" w:rsidR="005A50A1" w:rsidRPr="005A50A1" w:rsidRDefault="005A50A1" w:rsidP="00564D6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.774</w:t>
            </w:r>
          </w:p>
        </w:tc>
      </w:tr>
      <w:tr w:rsidR="005A50A1" w:rsidRPr="009859F4" w14:paraId="25F6BFB0"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30" w:type="dxa"/>
          </w:tcPr>
          <w:p w14:paraId="63F7605B"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spend on the internet to (study/work) per day before?</w:t>
            </w:r>
          </w:p>
        </w:tc>
        <w:tc>
          <w:tcPr>
            <w:tcW w:w="1820" w:type="dxa"/>
          </w:tcPr>
          <w:p w14:paraId="24387BEC"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.778</w:t>
            </w:r>
          </w:p>
        </w:tc>
      </w:tr>
      <w:tr w:rsidR="005A50A1" w:rsidRPr="009859F4" w14:paraId="3794FB3C" w14:textId="77777777" w:rsidTr="00564D6A">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6130" w:type="dxa"/>
          </w:tcPr>
          <w:p w14:paraId="06248A33"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spend on the internet to (study/work) per day after</w:t>
            </w:r>
          </w:p>
        </w:tc>
        <w:tc>
          <w:tcPr>
            <w:tcW w:w="1820" w:type="dxa"/>
          </w:tcPr>
          <w:p w14:paraId="42D6700A" w14:textId="77777777" w:rsidR="005A50A1" w:rsidRPr="005A50A1" w:rsidRDefault="005A50A1" w:rsidP="00564D6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.780</w:t>
            </w:r>
          </w:p>
        </w:tc>
      </w:tr>
      <w:tr w:rsidR="005A50A1" w:rsidRPr="009859F4" w14:paraId="63946C70" w14:textId="77777777" w:rsidTr="00564D6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30" w:type="dxa"/>
          </w:tcPr>
          <w:p w14:paraId="69771133" w14:textId="77777777" w:rsidR="005A50A1" w:rsidRPr="005A50A1" w:rsidRDefault="005A50A1" w:rsidP="005A50A1">
            <w:pPr>
              <w:rPr>
                <w:rFonts w:asciiTheme="majorBidi" w:hAnsiTheme="majorBidi" w:cstheme="majorBidi"/>
                <w:b w:val="0"/>
                <w:bCs w:val="0"/>
                <w:sz w:val="18"/>
                <w:szCs w:val="18"/>
              </w:rPr>
            </w:pPr>
            <w:r w:rsidRPr="005A50A1">
              <w:rPr>
                <w:rFonts w:asciiTheme="majorBidi" w:hAnsiTheme="majorBidi" w:cstheme="majorBidi"/>
                <w:b w:val="0"/>
                <w:bCs w:val="0"/>
                <w:sz w:val="18"/>
                <w:szCs w:val="18"/>
              </w:rPr>
              <w:t>How many hours do you spend with your family before?</w:t>
            </w:r>
          </w:p>
        </w:tc>
        <w:tc>
          <w:tcPr>
            <w:tcW w:w="1820" w:type="dxa"/>
          </w:tcPr>
          <w:p w14:paraId="17DBBAA8" w14:textId="77777777" w:rsidR="005A50A1" w:rsidRPr="005A50A1" w:rsidRDefault="005A50A1" w:rsidP="00564D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A50A1">
              <w:rPr>
                <w:rFonts w:asciiTheme="majorBidi" w:hAnsiTheme="majorBidi" w:cstheme="majorBidi"/>
                <w:sz w:val="18"/>
                <w:szCs w:val="18"/>
              </w:rPr>
              <w:t>.777</w:t>
            </w:r>
          </w:p>
        </w:tc>
      </w:tr>
    </w:tbl>
    <w:p w14:paraId="5010E160" w14:textId="77777777" w:rsidR="005A50A1" w:rsidRDefault="005A50A1" w:rsidP="005A50A1">
      <w:pPr>
        <w:rPr>
          <w:lang w:bidi="ar-EG"/>
        </w:rPr>
      </w:pPr>
    </w:p>
    <w:p w14:paraId="7FE243EE" w14:textId="1509722F" w:rsidR="005A50A1" w:rsidRDefault="005A50A1" w:rsidP="005A50A1">
      <w:pPr>
        <w:rPr>
          <w:lang w:bidi="ar-EG"/>
        </w:rPr>
      </w:pPr>
    </w:p>
    <w:p w14:paraId="05015C14" w14:textId="20360C16" w:rsidR="005A50A1" w:rsidRDefault="005A50A1">
      <w:pPr>
        <w:rPr>
          <w:rFonts w:asciiTheme="majorBidi" w:hAnsiTheme="majorBidi" w:cstheme="majorBidi"/>
          <w:sz w:val="24"/>
          <w:szCs w:val="24"/>
        </w:rPr>
      </w:pPr>
    </w:p>
    <w:p w14:paraId="547A70E6" w14:textId="7849F746" w:rsidR="005A50A1" w:rsidRDefault="005A50A1">
      <w:pPr>
        <w:rPr>
          <w:rFonts w:asciiTheme="majorBidi" w:hAnsiTheme="majorBidi" w:cstheme="majorBidi"/>
          <w:sz w:val="24"/>
          <w:szCs w:val="24"/>
        </w:rPr>
      </w:pPr>
    </w:p>
    <w:p w14:paraId="068EF133" w14:textId="68B60B13" w:rsidR="00DC1D22" w:rsidRDefault="00DC1D22">
      <w:pPr>
        <w:rPr>
          <w:rFonts w:asciiTheme="majorBidi" w:hAnsiTheme="majorBidi" w:cstheme="majorBidi"/>
          <w:sz w:val="24"/>
          <w:szCs w:val="24"/>
        </w:rPr>
      </w:pPr>
      <w:r>
        <w:rPr>
          <w:rFonts w:asciiTheme="majorBidi" w:hAnsiTheme="majorBidi" w:cstheme="majorBidi"/>
          <w:sz w:val="24"/>
          <w:szCs w:val="24"/>
        </w:rPr>
        <w:lastRenderedPageBreak/>
        <w:t>References</w:t>
      </w:r>
    </w:p>
    <w:p w14:paraId="2AD3D423" w14:textId="77777777" w:rsidR="00DC1D22" w:rsidRDefault="00DC1D22">
      <w:pPr>
        <w:rPr>
          <w:rFonts w:asciiTheme="majorBidi" w:hAnsiTheme="majorBidi" w:cstheme="majorBidi"/>
          <w:sz w:val="24"/>
          <w:szCs w:val="24"/>
        </w:rPr>
      </w:pPr>
    </w:p>
    <w:p w14:paraId="2EA54D25" w14:textId="77777777" w:rsidR="007A0A9C" w:rsidRPr="007A0A9C" w:rsidRDefault="005E678E" w:rsidP="007A0A9C">
      <w:pPr>
        <w:pStyle w:val="Bibliography"/>
        <w:rPr>
          <w:rFonts w:ascii="Times New Roman" w:hAnsi="Times New Roman" w:cs="Times New Roman"/>
          <w:sz w:val="24"/>
        </w:rPr>
      </w:pPr>
      <w:r>
        <w:rPr>
          <w:rFonts w:asciiTheme="majorBidi" w:hAnsiTheme="majorBidi" w:cstheme="majorBidi"/>
        </w:rPr>
        <w:fldChar w:fldCharType="begin"/>
      </w:r>
      <w:r w:rsidR="007A0A9C">
        <w:rPr>
          <w:rFonts w:asciiTheme="majorBidi" w:hAnsiTheme="majorBidi" w:cstheme="majorBidi"/>
        </w:rPr>
        <w:instrText xml:space="preserve"> ADDIN ZOTERO_BIBL {"uncited":[],"omitted":[],"custom":[]} CSL_BIBLIOGRAPHY </w:instrText>
      </w:r>
      <w:r>
        <w:rPr>
          <w:rFonts w:asciiTheme="majorBidi" w:hAnsiTheme="majorBidi" w:cstheme="majorBidi"/>
        </w:rPr>
        <w:fldChar w:fldCharType="separate"/>
      </w:r>
      <w:r w:rsidR="007A0A9C" w:rsidRPr="007A0A9C">
        <w:rPr>
          <w:rFonts w:ascii="Times New Roman" w:hAnsi="Times New Roman" w:cs="Times New Roman"/>
          <w:sz w:val="24"/>
        </w:rPr>
        <w:t xml:space="preserve">1. </w:t>
      </w:r>
      <w:r w:rsidR="007A0A9C" w:rsidRPr="007A0A9C">
        <w:rPr>
          <w:rFonts w:ascii="Times New Roman" w:hAnsi="Times New Roman" w:cs="Times New Roman"/>
          <w:sz w:val="24"/>
        </w:rPr>
        <w:tab/>
        <w:t xml:space="preserve">Di Renzo L, Gualtieri P, Pivari F, Soldati L, Attinà A, Cinelli G, et al. Eating habits and lifestyle changes during COVID-19 lockdown: an Italian survey. J Transl Med. 2020 Jun 8;18(1):229. </w:t>
      </w:r>
    </w:p>
    <w:p w14:paraId="168D402A"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2. </w:t>
      </w:r>
      <w:r w:rsidRPr="007A0A9C">
        <w:rPr>
          <w:rFonts w:ascii="Times New Roman" w:hAnsi="Times New Roman" w:cs="Times New Roman"/>
          <w:sz w:val="24"/>
        </w:rPr>
        <w:tab/>
        <w:t xml:space="preserve">Fernandez-Rio J, Cecchini JA, Mendez-Gimenez A, Carriedo A. Weight changes during the COVID-19 home confinement. Effects on psychosocial variables. Obes Res Clin Pract. 2020 Jul 1;14(4):383–5. </w:t>
      </w:r>
    </w:p>
    <w:p w14:paraId="43E335D1"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3. </w:t>
      </w:r>
      <w:r w:rsidRPr="007A0A9C">
        <w:rPr>
          <w:rFonts w:ascii="Times New Roman" w:hAnsi="Times New Roman" w:cs="Times New Roman"/>
          <w:sz w:val="24"/>
        </w:rPr>
        <w:tab/>
        <w:t>Matsungo TM, Chopera P. Effect of the COVID-19-induced lockdown on nutrition, health and lifestyle patterns among adults in Zimbabwe. BMJ Nutr Prev Health [Internet]. 2020 Dec 1 [cited 2021 Jan 26];3(2). Available from: https://nutrition.bmj.com/content/3/2/205</w:t>
      </w:r>
    </w:p>
    <w:p w14:paraId="7E94735B"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4. </w:t>
      </w:r>
      <w:r w:rsidRPr="007A0A9C">
        <w:rPr>
          <w:rFonts w:ascii="Times New Roman" w:hAnsi="Times New Roman" w:cs="Times New Roman"/>
          <w:sz w:val="24"/>
        </w:rPr>
        <w:tab/>
        <w:t xml:space="preserve">Butler MJ, Barrientos RM. The impact of nutrition on COVID-19 susceptibility and long-term consequences. Brain Behav Immun. 2020 Jul 1;87:53–4. </w:t>
      </w:r>
    </w:p>
    <w:p w14:paraId="201A617F"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5. </w:t>
      </w:r>
      <w:r w:rsidRPr="007A0A9C">
        <w:rPr>
          <w:rFonts w:ascii="Times New Roman" w:hAnsi="Times New Roman" w:cs="Times New Roman"/>
          <w:sz w:val="24"/>
        </w:rPr>
        <w:tab/>
        <w:t>Constant A, Conserve DF, Gallopel-Morvan K, Raude J. Socio-Cognitive Factors Associated With Lifestyle Changes in Response to the COVID-19 Epidemic in the General Population: Results From a Cross-Sectional Study in France. Front Psychol [Internet]. 2020 [cited 2021 Jan 26];11. Available from: https://www.frontiersin.org/articles/10.3389/fpsyg.2020.579460/full</w:t>
      </w:r>
    </w:p>
    <w:p w14:paraId="2F1B0D4B"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6. </w:t>
      </w:r>
      <w:r w:rsidRPr="007A0A9C">
        <w:rPr>
          <w:rFonts w:ascii="Times New Roman" w:hAnsi="Times New Roman" w:cs="Times New Roman"/>
          <w:sz w:val="24"/>
        </w:rPr>
        <w:tab/>
        <w:t xml:space="preserve">Ammar A, Brach M, Trabelsi K, Chtourou H, Boukhris O, Masmoudi L, et al. Effects of COVID-19 Home Confinement on Eating Behaviour and Physical Activity: Results of the ECLB-COVID19 International Online Survey. Nutrients. 2020 Jun;12(6):1583. </w:t>
      </w:r>
    </w:p>
    <w:p w14:paraId="3BD9CD03"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7. </w:t>
      </w:r>
      <w:r w:rsidRPr="007A0A9C">
        <w:rPr>
          <w:rFonts w:ascii="Times New Roman" w:hAnsi="Times New Roman" w:cs="Times New Roman"/>
          <w:sz w:val="24"/>
        </w:rPr>
        <w:tab/>
        <w:t xml:space="preserve">Adams KK, Baker WL, Sobieraj DM. Myth Busters: Dietary Supplements and COVID-19. Ann Pharmacother. 2020 Aug 1;54(8):820–6. </w:t>
      </w:r>
    </w:p>
    <w:p w14:paraId="2D9AD2F8"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8. </w:t>
      </w:r>
      <w:r w:rsidRPr="007A0A9C">
        <w:rPr>
          <w:rFonts w:ascii="Times New Roman" w:hAnsi="Times New Roman" w:cs="Times New Roman"/>
          <w:sz w:val="24"/>
        </w:rPr>
        <w:tab/>
        <w:t xml:space="preserve">Gupta R, Grover S, Basu A, Krishnan V, Tripathi A, Subramanyam A, et al. Changes in sleep pattern and sleep quality during COVID-19 lockdown. Indian J Psychiatry. 2020;62(4):370–8. </w:t>
      </w:r>
    </w:p>
    <w:p w14:paraId="279C36A2"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9. </w:t>
      </w:r>
      <w:r w:rsidRPr="007A0A9C">
        <w:rPr>
          <w:rFonts w:ascii="Times New Roman" w:hAnsi="Times New Roman" w:cs="Times New Roman"/>
          <w:sz w:val="24"/>
        </w:rPr>
        <w:tab/>
        <w:t xml:space="preserve">Cinelli M, Quattrociocchi W, Galeazzi A, Valensise CM, Brugnoli E, Schmidt AL, et al. The COVID-19 social media infodemic. Sci Rep. 2020 Oct 6;10(1):16598. </w:t>
      </w:r>
    </w:p>
    <w:p w14:paraId="2EE8A3B8" w14:textId="77777777" w:rsidR="007A0A9C" w:rsidRPr="007A0A9C" w:rsidRDefault="007A0A9C" w:rsidP="007A0A9C">
      <w:pPr>
        <w:pStyle w:val="Bibliography"/>
        <w:rPr>
          <w:rFonts w:ascii="Times New Roman" w:hAnsi="Times New Roman" w:cs="Times New Roman"/>
          <w:sz w:val="24"/>
        </w:rPr>
      </w:pPr>
      <w:r w:rsidRPr="007A0A9C">
        <w:rPr>
          <w:rFonts w:ascii="Times New Roman" w:hAnsi="Times New Roman" w:cs="Times New Roman"/>
          <w:sz w:val="24"/>
        </w:rPr>
        <w:t xml:space="preserve">10. </w:t>
      </w:r>
      <w:r w:rsidRPr="007A0A9C">
        <w:rPr>
          <w:rFonts w:ascii="Times New Roman" w:hAnsi="Times New Roman" w:cs="Times New Roman"/>
          <w:sz w:val="24"/>
        </w:rPr>
        <w:tab/>
        <w:t>Narayanan L, Pandit M, Basu S, Karmakar A, Bidhan V, Kumar H, et al. Impact of Lockdown due to COVID-19 Outbreak : Lifestyle Changes and Public Health Concerns in India. 2020 Jun 10 [cited 2021 Jan 26]; Available from: https://www.preprints.org/manuscript/202006.0129/v1</w:t>
      </w:r>
    </w:p>
    <w:p w14:paraId="2DDD8C88" w14:textId="63313391" w:rsidR="007A0A9C" w:rsidRPr="005A50A1" w:rsidRDefault="007A0A9C" w:rsidP="007A0A9C">
      <w:pPr>
        <w:pStyle w:val="Bibliography"/>
        <w:rPr>
          <w:rFonts w:asciiTheme="majorBidi" w:hAnsiTheme="majorBidi" w:cstheme="majorBidi"/>
          <w:sz w:val="24"/>
          <w:szCs w:val="24"/>
        </w:rPr>
      </w:pPr>
      <w:r w:rsidRPr="005A50A1">
        <w:rPr>
          <w:rFonts w:asciiTheme="majorBidi" w:hAnsiTheme="majorBidi" w:cstheme="majorBidi"/>
          <w:sz w:val="24"/>
          <w:szCs w:val="24"/>
        </w:rPr>
        <w:t xml:space="preserve">11. </w:t>
      </w:r>
      <w:r w:rsidRPr="005A50A1">
        <w:rPr>
          <w:rFonts w:asciiTheme="majorBidi" w:hAnsiTheme="majorBidi" w:cstheme="majorBidi"/>
          <w:sz w:val="24"/>
          <w:szCs w:val="24"/>
        </w:rPr>
        <w:tab/>
        <w:t xml:space="preserve">Lebow JL. Family in the Age of COVID-19. Fam Process. 2020 Jun;59(2):309–12. </w:t>
      </w:r>
    </w:p>
    <w:p w14:paraId="5CD04784" w14:textId="7A4DEAB9" w:rsidR="005A50A1" w:rsidRDefault="005A50A1" w:rsidP="005A50A1">
      <w:pPr>
        <w:pStyle w:val="EndNoteBibliography"/>
        <w:bidi w:val="0"/>
        <w:spacing w:after="0"/>
        <w:rPr>
          <w:rFonts w:asciiTheme="majorBidi" w:hAnsiTheme="majorBidi" w:cstheme="majorBidi"/>
          <w:sz w:val="24"/>
          <w:szCs w:val="24"/>
        </w:rPr>
      </w:pPr>
      <w:r w:rsidRPr="005A50A1">
        <w:rPr>
          <w:rFonts w:asciiTheme="majorBidi" w:hAnsiTheme="majorBidi" w:cstheme="majorBidi"/>
          <w:sz w:val="24"/>
          <w:szCs w:val="24"/>
          <w:lang w:bidi="ar-EG"/>
        </w:rPr>
        <w:fldChar w:fldCharType="begin"/>
      </w:r>
      <w:r w:rsidRPr="005A50A1">
        <w:rPr>
          <w:rFonts w:asciiTheme="majorBidi" w:hAnsiTheme="majorBidi" w:cstheme="majorBidi"/>
          <w:sz w:val="24"/>
          <w:szCs w:val="24"/>
          <w:lang w:bidi="ar-EG"/>
        </w:rPr>
        <w:instrText xml:space="preserve"> ADDIN EN.REFLIST </w:instrText>
      </w:r>
      <w:r w:rsidRPr="005A50A1">
        <w:rPr>
          <w:rFonts w:asciiTheme="majorBidi" w:hAnsiTheme="majorBidi" w:cstheme="majorBidi"/>
          <w:sz w:val="24"/>
          <w:szCs w:val="24"/>
          <w:lang w:bidi="ar-EG"/>
        </w:rPr>
        <w:fldChar w:fldCharType="separate"/>
      </w:r>
      <w:r w:rsidRPr="005A50A1">
        <w:rPr>
          <w:rFonts w:asciiTheme="majorBidi" w:hAnsiTheme="majorBidi" w:cstheme="majorBidi"/>
          <w:sz w:val="24"/>
          <w:szCs w:val="24"/>
        </w:rPr>
        <w:t>1</w:t>
      </w:r>
      <w:r w:rsidRPr="005A50A1">
        <w:rPr>
          <w:rFonts w:asciiTheme="majorBidi" w:hAnsiTheme="majorBidi" w:cstheme="majorBidi"/>
          <w:sz w:val="24"/>
          <w:szCs w:val="24"/>
        </w:rPr>
        <w:t>2</w:t>
      </w:r>
      <w:r w:rsidRPr="005A50A1">
        <w:rPr>
          <w:rFonts w:asciiTheme="majorBidi" w:hAnsiTheme="majorBidi" w:cstheme="majorBidi"/>
          <w:sz w:val="24"/>
          <w:szCs w:val="24"/>
        </w:rPr>
        <w:t>.</w:t>
      </w:r>
      <w:r w:rsidRPr="005A50A1">
        <w:rPr>
          <w:rFonts w:asciiTheme="majorBidi" w:hAnsiTheme="majorBidi" w:cstheme="majorBidi"/>
          <w:sz w:val="24"/>
          <w:szCs w:val="24"/>
        </w:rPr>
        <w:t xml:space="preserve">     </w:t>
      </w:r>
      <w:r w:rsidRPr="005A50A1">
        <w:rPr>
          <w:rFonts w:asciiTheme="majorBidi" w:hAnsiTheme="majorBidi" w:cstheme="majorBidi"/>
          <w:sz w:val="24"/>
          <w:szCs w:val="24"/>
        </w:rPr>
        <w:t>Knapp TR. Focus on Psychometrics. Coefficient alpha: Conceptualizations and anomalies. Research in Nursing &amp; Health. 1991;14(6):457-60.</w:t>
      </w:r>
    </w:p>
    <w:p w14:paraId="1A32B558" w14:textId="77777777" w:rsidR="005A50A1" w:rsidRPr="005A50A1" w:rsidRDefault="005A50A1" w:rsidP="005A50A1">
      <w:pPr>
        <w:pStyle w:val="EndNoteBibliography"/>
        <w:bidi w:val="0"/>
        <w:spacing w:after="0"/>
        <w:rPr>
          <w:rFonts w:asciiTheme="majorBidi" w:hAnsiTheme="majorBidi" w:cstheme="majorBidi"/>
          <w:sz w:val="24"/>
          <w:szCs w:val="24"/>
        </w:rPr>
      </w:pPr>
    </w:p>
    <w:p w14:paraId="52B700BC" w14:textId="6D9B4808" w:rsidR="00B059B2" w:rsidRPr="00B82B3B" w:rsidRDefault="005A50A1" w:rsidP="005A50A1">
      <w:pPr>
        <w:pStyle w:val="EndNoteBibliography"/>
        <w:bidi w:val="0"/>
        <w:rPr>
          <w:rFonts w:asciiTheme="majorBidi" w:hAnsiTheme="majorBidi" w:cstheme="majorBidi"/>
          <w:sz w:val="24"/>
          <w:szCs w:val="24"/>
        </w:rPr>
      </w:pPr>
      <w:r w:rsidRPr="005A50A1">
        <w:rPr>
          <w:rFonts w:asciiTheme="majorBidi" w:hAnsiTheme="majorBidi" w:cstheme="majorBidi"/>
          <w:sz w:val="24"/>
          <w:szCs w:val="24"/>
        </w:rPr>
        <w:t>13</w:t>
      </w:r>
      <w:r w:rsidRPr="005A50A1">
        <w:rPr>
          <w:rFonts w:asciiTheme="majorBidi" w:hAnsiTheme="majorBidi" w:cstheme="majorBidi"/>
          <w:sz w:val="24"/>
          <w:szCs w:val="24"/>
        </w:rPr>
        <w:t>.</w:t>
      </w:r>
      <w:r w:rsidRPr="005A50A1">
        <w:rPr>
          <w:rFonts w:asciiTheme="majorBidi" w:hAnsiTheme="majorBidi" w:cstheme="majorBidi"/>
          <w:sz w:val="24"/>
          <w:szCs w:val="24"/>
        </w:rPr>
        <w:t xml:space="preserve">     </w:t>
      </w:r>
      <w:r w:rsidRPr="005A50A1">
        <w:rPr>
          <w:rFonts w:asciiTheme="majorBidi" w:hAnsiTheme="majorBidi" w:cstheme="majorBidi"/>
          <w:sz w:val="24"/>
          <w:szCs w:val="24"/>
        </w:rPr>
        <w:t>Taber KS. The Use of Cronbach’s Alpha When Developing and Reporting Research Instruments in Science Education. Research in Science Education. 2017;48(6):1273-96.</w:t>
      </w:r>
      <w:r w:rsidRPr="005A50A1">
        <w:rPr>
          <w:rFonts w:asciiTheme="majorBidi" w:hAnsiTheme="majorBidi" w:cstheme="majorBidi"/>
          <w:sz w:val="24"/>
          <w:szCs w:val="24"/>
          <w:lang w:bidi="ar-EG"/>
        </w:rPr>
        <w:fldChar w:fldCharType="end"/>
      </w:r>
      <w:r w:rsidR="005E678E">
        <w:rPr>
          <w:rFonts w:asciiTheme="majorBidi" w:hAnsiTheme="majorBidi" w:cstheme="majorBidi"/>
          <w:sz w:val="24"/>
          <w:szCs w:val="24"/>
        </w:rPr>
        <w:fldChar w:fldCharType="end"/>
      </w:r>
    </w:p>
    <w:sectPr w:rsidR="00B059B2" w:rsidRPr="00B82B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Nja1sLQwsbS0MDJQ0lEKTi0uzszPAykwqgUAg6NKLiwAAAA="/>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sxva2tkdespwe050vvex2zwpa00x5xfpww&quot;&gt;My EndNote Library new&lt;record-ids&gt;&lt;item&gt;6&lt;/item&gt;&lt;item&gt;7&lt;/item&gt;&lt;/record-ids&gt;&lt;/item&gt;&lt;/Libraries&gt;"/>
  </w:docVars>
  <w:rsids>
    <w:rsidRoot w:val="00E82771"/>
    <w:rsid w:val="00042A77"/>
    <w:rsid w:val="00073785"/>
    <w:rsid w:val="000B0C26"/>
    <w:rsid w:val="000E3F97"/>
    <w:rsid w:val="00104AD1"/>
    <w:rsid w:val="00150323"/>
    <w:rsid w:val="00191084"/>
    <w:rsid w:val="001A03D2"/>
    <w:rsid w:val="001C17C0"/>
    <w:rsid w:val="00202EE4"/>
    <w:rsid w:val="00216F51"/>
    <w:rsid w:val="002454E0"/>
    <w:rsid w:val="00264E71"/>
    <w:rsid w:val="00285C76"/>
    <w:rsid w:val="002C4640"/>
    <w:rsid w:val="002D03AE"/>
    <w:rsid w:val="002D79F0"/>
    <w:rsid w:val="002E752F"/>
    <w:rsid w:val="003050C4"/>
    <w:rsid w:val="0032096A"/>
    <w:rsid w:val="00373725"/>
    <w:rsid w:val="00454718"/>
    <w:rsid w:val="00470934"/>
    <w:rsid w:val="004760B0"/>
    <w:rsid w:val="00486E2E"/>
    <w:rsid w:val="004C524F"/>
    <w:rsid w:val="004F0FF8"/>
    <w:rsid w:val="004F7CF7"/>
    <w:rsid w:val="00504E56"/>
    <w:rsid w:val="00517E53"/>
    <w:rsid w:val="005A50A1"/>
    <w:rsid w:val="005E678E"/>
    <w:rsid w:val="00627BC4"/>
    <w:rsid w:val="00636975"/>
    <w:rsid w:val="00731534"/>
    <w:rsid w:val="007353EE"/>
    <w:rsid w:val="00793CFE"/>
    <w:rsid w:val="007A0A9C"/>
    <w:rsid w:val="007A126C"/>
    <w:rsid w:val="007F35BB"/>
    <w:rsid w:val="00842907"/>
    <w:rsid w:val="008459F0"/>
    <w:rsid w:val="00874955"/>
    <w:rsid w:val="008A01E5"/>
    <w:rsid w:val="008A7CAA"/>
    <w:rsid w:val="008F46E6"/>
    <w:rsid w:val="009641F7"/>
    <w:rsid w:val="00990CCD"/>
    <w:rsid w:val="009A572E"/>
    <w:rsid w:val="00A11509"/>
    <w:rsid w:val="00A42E3A"/>
    <w:rsid w:val="00A82186"/>
    <w:rsid w:val="00AD4B41"/>
    <w:rsid w:val="00AE202B"/>
    <w:rsid w:val="00B059B2"/>
    <w:rsid w:val="00B25DE5"/>
    <w:rsid w:val="00B71115"/>
    <w:rsid w:val="00B82B3B"/>
    <w:rsid w:val="00B8738B"/>
    <w:rsid w:val="00C75A79"/>
    <w:rsid w:val="00C868E9"/>
    <w:rsid w:val="00CD4BE0"/>
    <w:rsid w:val="00CE0AFF"/>
    <w:rsid w:val="00D039BB"/>
    <w:rsid w:val="00D24EB0"/>
    <w:rsid w:val="00D531A5"/>
    <w:rsid w:val="00D73139"/>
    <w:rsid w:val="00D9046C"/>
    <w:rsid w:val="00DC1D22"/>
    <w:rsid w:val="00DD2433"/>
    <w:rsid w:val="00DE50D6"/>
    <w:rsid w:val="00E068F5"/>
    <w:rsid w:val="00E82771"/>
    <w:rsid w:val="00EA7FB3"/>
    <w:rsid w:val="00EC0B84"/>
    <w:rsid w:val="00F32334"/>
    <w:rsid w:val="00F8472C"/>
    <w:rsid w:val="00FC49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B8D6"/>
  <w15:chartTrackingRefBased/>
  <w15:docId w15:val="{09BD9489-45B4-4D45-A3D2-88C91826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5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A01E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A01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5E678E"/>
    <w:pPr>
      <w:tabs>
        <w:tab w:val="left" w:pos="504"/>
      </w:tabs>
      <w:spacing w:after="240" w:line="240" w:lineRule="auto"/>
      <w:ind w:left="504" w:hanging="504"/>
    </w:pPr>
  </w:style>
  <w:style w:type="paragraph" w:customStyle="1" w:styleId="EndNoteBibliography">
    <w:name w:val="EndNote Bibliography"/>
    <w:basedOn w:val="Normal"/>
    <w:link w:val="EndNoteBibliographyChar"/>
    <w:rsid w:val="005A50A1"/>
    <w:pPr>
      <w:bidi/>
      <w:spacing w:after="20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A50A1"/>
    <w:rPr>
      <w:rFonts w:ascii="Calibri" w:hAnsi="Calibri" w:cs="Calibri"/>
      <w:noProof/>
      <w:lang w:val="en-US"/>
    </w:rPr>
  </w:style>
  <w:style w:type="character" w:styleId="Hyperlink">
    <w:name w:val="Hyperlink"/>
    <w:basedOn w:val="DefaultParagraphFont"/>
    <w:uiPriority w:val="99"/>
    <w:unhideWhenUsed/>
    <w:rsid w:val="005A50A1"/>
    <w:rPr>
      <w:color w:val="0563C1" w:themeColor="hyperlink"/>
      <w:u w:val="single"/>
    </w:rPr>
  </w:style>
  <w:style w:type="paragraph" w:customStyle="1" w:styleId="EndNoteBibliographyTitle">
    <w:name w:val="EndNote Bibliography Title"/>
    <w:basedOn w:val="Normal"/>
    <w:link w:val="EndNoteBibliographyTitleChar"/>
    <w:rsid w:val="005A50A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A50A1"/>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68967">
      <w:bodyDiv w:val="1"/>
      <w:marLeft w:val="0"/>
      <w:marRight w:val="0"/>
      <w:marTop w:val="0"/>
      <w:marBottom w:val="0"/>
      <w:divBdr>
        <w:top w:val="none" w:sz="0" w:space="0" w:color="auto"/>
        <w:left w:val="none" w:sz="0" w:space="0" w:color="auto"/>
        <w:bottom w:val="none" w:sz="0" w:space="0" w:color="auto"/>
        <w:right w:val="none" w:sz="0" w:space="0" w:color="auto"/>
      </w:divBdr>
    </w:div>
    <w:div w:id="46362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10370</Words>
  <Characters>59112</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cp:revision>
  <dcterms:created xsi:type="dcterms:W3CDTF">2021-02-02T18:01:00Z</dcterms:created>
  <dcterms:modified xsi:type="dcterms:W3CDTF">2021-02-02T18:01:00Z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id="4fBHHV3C"/&gt;&lt;style id="http://www.zotero.org/styles/vancouver" locale="en-GB"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ies>
</file>