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A559D" w14:textId="686332EE" w:rsidR="009E1AFE" w:rsidRPr="009E1AFE" w:rsidRDefault="009E1AFE" w:rsidP="00810F1A">
      <w:pPr>
        <w:jc w:val="center"/>
        <w:rPr>
          <w:rFonts w:ascii="Arial" w:hAnsi="Arial" w:cs="Arial"/>
          <w:b/>
          <w:bCs/>
          <w:lang w:val="en-GB"/>
        </w:rPr>
      </w:pPr>
      <w:bookmarkStart w:id="0" w:name="_GoBack"/>
      <w:r w:rsidRPr="009E1AFE">
        <w:rPr>
          <w:rFonts w:ascii="Arial" w:hAnsi="Arial" w:cs="Arial"/>
          <w:b/>
          <w:bCs/>
          <w:lang w:val="en-GB"/>
        </w:rPr>
        <w:t>Supplementary Material</w:t>
      </w:r>
    </w:p>
    <w:p w14:paraId="37CC7785" w14:textId="59A722BE" w:rsidR="009E1AFE" w:rsidRPr="009E1AFE" w:rsidRDefault="009E1AFE" w:rsidP="009E1AFE">
      <w:pPr>
        <w:rPr>
          <w:rFonts w:ascii="Arial" w:hAnsi="Arial" w:cs="Arial"/>
          <w:lang w:val="en-GB"/>
        </w:rPr>
      </w:pPr>
      <w:r w:rsidRPr="009E1AFE">
        <w:rPr>
          <w:rFonts w:ascii="Arial" w:hAnsi="Arial" w:cs="Arial"/>
          <w:b/>
          <w:bCs/>
          <w:lang w:val="en-GB"/>
        </w:rPr>
        <w:t xml:space="preserve">                                                                              </w:t>
      </w:r>
    </w:p>
    <w:p w14:paraId="351E6C75" w14:textId="46518397" w:rsidR="00810F1A" w:rsidRDefault="009E1AFE" w:rsidP="009E1AFE">
      <w:pPr>
        <w:rPr>
          <w:rFonts w:ascii="Arial" w:hAnsi="Arial" w:cs="Arial"/>
          <w:b/>
          <w:bCs/>
          <w:lang w:val="en-GB"/>
        </w:rPr>
      </w:pPr>
      <w:r w:rsidRPr="009E1AFE">
        <w:rPr>
          <w:rFonts w:ascii="Arial" w:hAnsi="Arial" w:cs="Arial"/>
          <w:b/>
          <w:bCs/>
          <w:lang w:val="en-GB"/>
        </w:rPr>
        <w:t xml:space="preserve">Supplementary figures </w:t>
      </w:r>
      <w:r w:rsidR="00255A3E">
        <w:rPr>
          <w:rFonts w:ascii="Arial" w:hAnsi="Arial" w:cs="Arial"/>
          <w:b/>
          <w:bCs/>
          <w:lang w:val="en-GB"/>
        </w:rPr>
        <w:t xml:space="preserve">and methods                                                                         </w:t>
      </w:r>
      <w:r w:rsidR="00ED7399">
        <w:rPr>
          <w:rFonts w:ascii="Arial" w:hAnsi="Arial" w:cs="Arial"/>
          <w:lang w:val="en-GB"/>
        </w:rPr>
        <w:t>pgs 2-3</w:t>
      </w:r>
      <w:r w:rsidRPr="009E1AFE">
        <w:rPr>
          <w:rFonts w:ascii="Arial" w:hAnsi="Arial" w:cs="Arial"/>
          <w:b/>
          <w:bCs/>
          <w:lang w:val="en-GB"/>
        </w:rPr>
        <w:t xml:space="preserve">      </w:t>
      </w:r>
    </w:p>
    <w:p w14:paraId="6B338BD5" w14:textId="2577B5C5" w:rsidR="00810F1A" w:rsidRPr="009E1AFE" w:rsidRDefault="00810F1A" w:rsidP="00810F1A">
      <w:pPr>
        <w:rPr>
          <w:rFonts w:ascii="Arial" w:hAnsi="Arial" w:cs="Arial"/>
          <w:lang w:val="en-GB"/>
        </w:rPr>
      </w:pPr>
      <w:r w:rsidRPr="009E1AFE">
        <w:rPr>
          <w:rFonts w:ascii="Arial" w:hAnsi="Arial" w:cs="Arial"/>
          <w:b/>
          <w:bCs/>
          <w:lang w:val="en-GB"/>
        </w:rPr>
        <w:t xml:space="preserve">Spreadsheet containing inflammation-related genes and COVID-19 implicated genes used in custom Ion AmpliSeq RNA panel            </w:t>
      </w:r>
      <w:r>
        <w:rPr>
          <w:rFonts w:ascii="Arial" w:hAnsi="Arial" w:cs="Arial"/>
          <w:b/>
          <w:bCs/>
          <w:lang w:val="en-GB"/>
        </w:rPr>
        <w:t xml:space="preserve">     </w:t>
      </w:r>
      <w:r w:rsidR="00255A3E">
        <w:rPr>
          <w:rFonts w:ascii="Arial" w:hAnsi="Arial" w:cs="Arial"/>
          <w:b/>
          <w:bCs/>
          <w:lang w:val="en-GB"/>
        </w:rPr>
        <w:t xml:space="preserve">                    </w:t>
      </w:r>
      <w:r w:rsidR="005D5F74">
        <w:rPr>
          <w:rFonts w:ascii="Arial" w:hAnsi="Arial" w:cs="Arial"/>
          <w:b/>
          <w:bCs/>
          <w:lang w:val="en-GB"/>
        </w:rPr>
        <w:t xml:space="preserve">  </w:t>
      </w:r>
      <w:r w:rsidR="00255A3E">
        <w:rPr>
          <w:rFonts w:ascii="Arial" w:hAnsi="Arial" w:cs="Arial"/>
          <w:b/>
          <w:bCs/>
          <w:lang w:val="en-GB"/>
        </w:rPr>
        <w:t xml:space="preserve">      </w:t>
      </w:r>
      <w:r w:rsidR="00255A3E" w:rsidRPr="005D5F74">
        <w:rPr>
          <w:rFonts w:ascii="Arial" w:hAnsi="Arial" w:cs="Arial"/>
          <w:lang w:val="en-GB"/>
        </w:rPr>
        <w:t>provided to journal</w:t>
      </w:r>
      <w:r>
        <w:rPr>
          <w:rFonts w:ascii="Arial" w:hAnsi="Arial" w:cs="Arial"/>
          <w:b/>
          <w:bCs/>
          <w:lang w:val="en-GB"/>
        </w:rPr>
        <w:t xml:space="preserve">                                               </w:t>
      </w:r>
      <w:r w:rsidRPr="009E1AFE">
        <w:rPr>
          <w:rFonts w:ascii="Arial" w:hAnsi="Arial" w:cs="Arial"/>
          <w:b/>
          <w:bCs/>
          <w:lang w:val="en-GB"/>
        </w:rPr>
        <w:t xml:space="preserve">  </w:t>
      </w:r>
    </w:p>
    <w:p w14:paraId="5066E2FA" w14:textId="33886796" w:rsidR="009E1AFE" w:rsidRPr="009E1AFE" w:rsidRDefault="009E1AFE" w:rsidP="009E1AFE">
      <w:pPr>
        <w:rPr>
          <w:rFonts w:ascii="Arial" w:hAnsi="Arial" w:cs="Arial"/>
          <w:lang w:val="en-GB"/>
        </w:rPr>
      </w:pPr>
      <w:r w:rsidRPr="009E1AFE">
        <w:rPr>
          <w:rFonts w:ascii="Arial" w:hAnsi="Arial" w:cs="Arial"/>
          <w:b/>
          <w:bCs/>
          <w:lang w:val="en-GB"/>
        </w:rPr>
        <w:t xml:space="preserve">                                                          </w:t>
      </w:r>
    </w:p>
    <w:p w14:paraId="18609228" w14:textId="4BD3CD77" w:rsidR="009E1AFE" w:rsidRPr="009E1AFE" w:rsidRDefault="009E1AFE" w:rsidP="009E1AFE">
      <w:pPr>
        <w:rPr>
          <w:rFonts w:ascii="Arial" w:hAnsi="Arial" w:cs="Arial"/>
          <w:lang w:val="en-GB"/>
        </w:rPr>
      </w:pPr>
    </w:p>
    <w:p w14:paraId="0D9A7A87" w14:textId="3B1B46D4" w:rsidR="009E1AFE" w:rsidRPr="009E1AFE" w:rsidRDefault="009E1AFE" w:rsidP="009E1AFE">
      <w:pPr>
        <w:rPr>
          <w:rFonts w:ascii="Arial" w:hAnsi="Arial" w:cs="Arial"/>
          <w:lang w:val="en-GB"/>
        </w:rPr>
      </w:pPr>
    </w:p>
    <w:p w14:paraId="43BC8B78" w14:textId="333F5DE0" w:rsidR="009E1AFE" w:rsidRPr="009E1AFE" w:rsidRDefault="009E1AFE" w:rsidP="009E1AFE">
      <w:pPr>
        <w:rPr>
          <w:rFonts w:ascii="Arial" w:hAnsi="Arial" w:cs="Arial"/>
          <w:lang w:val="en-GB"/>
        </w:rPr>
      </w:pPr>
    </w:p>
    <w:p w14:paraId="478DF5D6" w14:textId="3D2191F7" w:rsidR="00F5116C" w:rsidRDefault="00F5116C" w:rsidP="00F5116C">
      <w:pPr>
        <w:jc w:val="both"/>
      </w:pPr>
    </w:p>
    <w:p w14:paraId="1F601AC7" w14:textId="44F01823" w:rsidR="009E1AFE" w:rsidRDefault="009E1AFE" w:rsidP="009E1AFE">
      <w:pPr>
        <w:rPr>
          <w:lang w:val="en-GB"/>
        </w:rPr>
      </w:pPr>
    </w:p>
    <w:p w14:paraId="49DADA5F" w14:textId="6BF83850" w:rsidR="009E1AFE" w:rsidRDefault="009E1AFE" w:rsidP="009E1AFE">
      <w:pPr>
        <w:rPr>
          <w:lang w:val="en-GB"/>
        </w:rPr>
      </w:pPr>
    </w:p>
    <w:p w14:paraId="2C95520B" w14:textId="777948EF" w:rsidR="009E1AFE" w:rsidRDefault="009E1AFE" w:rsidP="009E1AFE">
      <w:pPr>
        <w:rPr>
          <w:lang w:val="en-GB"/>
        </w:rPr>
      </w:pPr>
    </w:p>
    <w:p w14:paraId="02EFE9F8" w14:textId="48EF8D5C" w:rsidR="009E1AFE" w:rsidRDefault="009E1AFE" w:rsidP="009E1AFE">
      <w:pPr>
        <w:rPr>
          <w:lang w:val="en-GB"/>
        </w:rPr>
      </w:pPr>
    </w:p>
    <w:p w14:paraId="290EDA18" w14:textId="39D182C4" w:rsidR="009E1AFE" w:rsidRDefault="009E1AFE" w:rsidP="009E1AFE">
      <w:pPr>
        <w:rPr>
          <w:lang w:val="en-GB"/>
        </w:rPr>
      </w:pPr>
    </w:p>
    <w:p w14:paraId="35926DF3" w14:textId="4D90C776" w:rsidR="009E1AFE" w:rsidRDefault="009E1AFE" w:rsidP="009E1AFE">
      <w:pPr>
        <w:rPr>
          <w:lang w:val="en-GB"/>
        </w:rPr>
      </w:pPr>
    </w:p>
    <w:p w14:paraId="4640DEF2" w14:textId="41B5C507" w:rsidR="009E1AFE" w:rsidRDefault="009E1AFE" w:rsidP="009E1AFE">
      <w:pPr>
        <w:rPr>
          <w:lang w:val="en-GB"/>
        </w:rPr>
      </w:pPr>
    </w:p>
    <w:p w14:paraId="75547295" w14:textId="43BCC48D" w:rsidR="009E1AFE" w:rsidRDefault="009E1AFE" w:rsidP="009E1AFE">
      <w:pPr>
        <w:rPr>
          <w:lang w:val="en-GB"/>
        </w:rPr>
      </w:pPr>
    </w:p>
    <w:p w14:paraId="3BCD29F8" w14:textId="48CFD347" w:rsidR="009E1AFE" w:rsidRDefault="009E1AFE" w:rsidP="009E1AFE">
      <w:pPr>
        <w:rPr>
          <w:lang w:val="en-GB"/>
        </w:rPr>
      </w:pPr>
    </w:p>
    <w:p w14:paraId="67E92FDE" w14:textId="77DE591F" w:rsidR="009E1AFE" w:rsidRDefault="009E1AFE" w:rsidP="009E1AFE">
      <w:pPr>
        <w:rPr>
          <w:lang w:val="en-GB"/>
        </w:rPr>
      </w:pPr>
    </w:p>
    <w:p w14:paraId="280DF5AC" w14:textId="3A968141" w:rsidR="009E1AFE" w:rsidRDefault="009E1AFE" w:rsidP="009E1AFE">
      <w:pPr>
        <w:rPr>
          <w:lang w:val="en-GB"/>
        </w:rPr>
      </w:pPr>
    </w:p>
    <w:p w14:paraId="3AE9762D" w14:textId="296774D7" w:rsidR="009E1AFE" w:rsidRDefault="009E1AFE" w:rsidP="009E1AFE">
      <w:pPr>
        <w:rPr>
          <w:lang w:val="en-GB"/>
        </w:rPr>
      </w:pPr>
    </w:p>
    <w:p w14:paraId="00FA2371" w14:textId="172E5688" w:rsidR="009E1AFE" w:rsidRDefault="009E1AFE" w:rsidP="009E1AFE">
      <w:pPr>
        <w:rPr>
          <w:lang w:val="en-GB"/>
        </w:rPr>
      </w:pPr>
    </w:p>
    <w:p w14:paraId="67BA66E3" w14:textId="750A02BE" w:rsidR="009E1AFE" w:rsidRDefault="009E1AFE" w:rsidP="009E1AFE">
      <w:pPr>
        <w:rPr>
          <w:lang w:val="en-GB"/>
        </w:rPr>
      </w:pPr>
    </w:p>
    <w:p w14:paraId="1C182751" w14:textId="65A8FE4E" w:rsidR="009E1AFE" w:rsidRDefault="009E1AFE" w:rsidP="009E1AFE">
      <w:pPr>
        <w:rPr>
          <w:lang w:val="en-GB"/>
        </w:rPr>
      </w:pPr>
    </w:p>
    <w:p w14:paraId="1F30D2CD" w14:textId="5644F26C" w:rsidR="009E1AFE" w:rsidRDefault="009E1AFE" w:rsidP="009E1AFE">
      <w:pPr>
        <w:rPr>
          <w:b/>
          <w:bCs/>
          <w:lang w:val="en-GB"/>
        </w:rPr>
      </w:pPr>
    </w:p>
    <w:p w14:paraId="2E150761" w14:textId="77C8EE86" w:rsidR="00852C27" w:rsidRDefault="00852C27" w:rsidP="009E1AFE">
      <w:pPr>
        <w:rPr>
          <w:b/>
          <w:bCs/>
          <w:lang w:val="en-GB"/>
        </w:rPr>
      </w:pPr>
    </w:p>
    <w:p w14:paraId="72738629" w14:textId="54EEB9EC" w:rsidR="00852C27" w:rsidRDefault="00852C27" w:rsidP="009E1AFE">
      <w:pPr>
        <w:rPr>
          <w:b/>
          <w:bCs/>
          <w:lang w:val="en-GB"/>
        </w:rPr>
      </w:pPr>
    </w:p>
    <w:p w14:paraId="655F6348" w14:textId="1770A51D" w:rsidR="00852C27" w:rsidRDefault="00852C27" w:rsidP="009E1AFE">
      <w:pPr>
        <w:rPr>
          <w:b/>
          <w:bCs/>
          <w:lang w:val="en-GB"/>
        </w:rPr>
      </w:pPr>
    </w:p>
    <w:p w14:paraId="577B08D9" w14:textId="260F5955" w:rsidR="00852C27" w:rsidRDefault="00852C27" w:rsidP="009E1AFE">
      <w:pPr>
        <w:rPr>
          <w:b/>
          <w:bCs/>
          <w:lang w:val="en-GB"/>
        </w:rPr>
      </w:pPr>
    </w:p>
    <w:p w14:paraId="35E2C5F4" w14:textId="57D104B2" w:rsidR="00852C27" w:rsidRDefault="00852C27" w:rsidP="009E1AFE">
      <w:pPr>
        <w:rPr>
          <w:b/>
          <w:bCs/>
          <w:lang w:val="en-GB"/>
        </w:rPr>
      </w:pPr>
    </w:p>
    <w:p w14:paraId="08ADFF74" w14:textId="162DB001" w:rsidR="00852C27" w:rsidRDefault="00852C27" w:rsidP="009E1AFE">
      <w:pPr>
        <w:rPr>
          <w:b/>
          <w:bCs/>
          <w:lang w:val="en-GB"/>
        </w:rPr>
      </w:pPr>
    </w:p>
    <w:p w14:paraId="71C5C5F1" w14:textId="4B479580" w:rsidR="00852C27" w:rsidRDefault="00852C27" w:rsidP="009E1AFE">
      <w:pPr>
        <w:rPr>
          <w:b/>
          <w:bCs/>
          <w:lang w:val="en-GB"/>
        </w:rPr>
      </w:pPr>
    </w:p>
    <w:p w14:paraId="143F3F85" w14:textId="742D8BF5" w:rsidR="00852C27" w:rsidRDefault="00852C27" w:rsidP="009E1AFE">
      <w:pPr>
        <w:rPr>
          <w:b/>
          <w:bCs/>
          <w:lang w:val="en-GB"/>
        </w:rPr>
      </w:pPr>
      <w:r>
        <w:rPr>
          <w:rFonts w:ascii="Arial" w:hAnsi="Arial" w:cs="Arial"/>
        </w:rPr>
        <w:drawing>
          <wp:inline distT="0" distB="0" distL="0" distR="0" wp14:anchorId="39E014F3" wp14:editId="64907ADA">
            <wp:extent cx="5219700" cy="4884594"/>
            <wp:effectExtent l="0" t="0" r="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6119" cy="4890601"/>
                    </a:xfrm>
                    <a:prstGeom prst="rect">
                      <a:avLst/>
                    </a:prstGeom>
                    <a:noFill/>
                  </pic:spPr>
                </pic:pic>
              </a:graphicData>
            </a:graphic>
          </wp:inline>
        </w:drawing>
      </w:r>
    </w:p>
    <w:p w14:paraId="6ADA538C" w14:textId="77777777" w:rsidR="00D15EBF" w:rsidRPr="00D15EBF" w:rsidRDefault="00D15EBF" w:rsidP="00D15EBF">
      <w:pPr>
        <w:rPr>
          <w:rFonts w:ascii="Arial" w:hAnsi="Arial" w:cs="Arial"/>
          <w:noProof w:val="0"/>
          <w:sz w:val="18"/>
          <w:szCs w:val="18"/>
          <w:lang w:val="en-GB"/>
        </w:rPr>
      </w:pPr>
      <w:r w:rsidRPr="00D15EBF">
        <w:rPr>
          <w:rFonts w:ascii="Arial" w:hAnsi="Arial" w:cs="Arial"/>
          <w:b/>
          <w:bCs/>
          <w:noProof w:val="0"/>
          <w:sz w:val="18"/>
          <w:szCs w:val="18"/>
          <w:lang w:val="en-GB"/>
        </w:rPr>
        <w:t>Figure S1:</w:t>
      </w:r>
      <w:r w:rsidRPr="00D15EBF">
        <w:rPr>
          <w:rFonts w:ascii="Arial" w:hAnsi="Arial" w:cs="Arial"/>
          <w:noProof w:val="0"/>
          <w:sz w:val="18"/>
          <w:szCs w:val="18"/>
          <w:lang w:val="en-GB"/>
        </w:rPr>
        <w:t xml:space="preserve"> Dot plots demonstrating correlations of key inflammatory markers to clinical measures.</w:t>
      </w:r>
    </w:p>
    <w:p w14:paraId="125F3E00" w14:textId="082056E0" w:rsidR="00D15EBF" w:rsidRDefault="00D15EBF" w:rsidP="009E1AFE">
      <w:pPr>
        <w:rPr>
          <w:b/>
          <w:bCs/>
          <w:lang w:val="en-GB"/>
        </w:rPr>
      </w:pPr>
    </w:p>
    <w:p w14:paraId="5BB18985" w14:textId="44F58B5B" w:rsidR="00A7650E" w:rsidRDefault="00A7650E" w:rsidP="009E1AFE">
      <w:pPr>
        <w:rPr>
          <w:b/>
          <w:bCs/>
          <w:lang w:val="en-GB"/>
        </w:rPr>
      </w:pPr>
    </w:p>
    <w:p w14:paraId="1AF00C4F" w14:textId="0614FBE8" w:rsidR="00A7650E" w:rsidRDefault="00A7650E" w:rsidP="009E1AFE">
      <w:pPr>
        <w:rPr>
          <w:b/>
          <w:bCs/>
          <w:lang w:val="en-GB"/>
        </w:rPr>
      </w:pPr>
    </w:p>
    <w:p w14:paraId="6E10B883" w14:textId="12837380" w:rsidR="00A7650E" w:rsidRDefault="00A7650E" w:rsidP="009E1AFE">
      <w:pPr>
        <w:rPr>
          <w:b/>
          <w:bCs/>
          <w:lang w:val="en-GB"/>
        </w:rPr>
      </w:pPr>
    </w:p>
    <w:p w14:paraId="57F2BD5B" w14:textId="16572D52" w:rsidR="00A7650E" w:rsidRDefault="00A7650E" w:rsidP="009E1AFE">
      <w:pPr>
        <w:rPr>
          <w:b/>
          <w:bCs/>
          <w:lang w:val="en-GB"/>
        </w:rPr>
      </w:pPr>
    </w:p>
    <w:p w14:paraId="29724D6D" w14:textId="21110FA3" w:rsidR="00A7650E" w:rsidRDefault="00A7650E" w:rsidP="009E1AFE">
      <w:pPr>
        <w:rPr>
          <w:b/>
          <w:bCs/>
          <w:lang w:val="en-GB"/>
        </w:rPr>
      </w:pPr>
    </w:p>
    <w:p w14:paraId="2691AD2B" w14:textId="3DAD1301" w:rsidR="00A7650E" w:rsidRDefault="00A7650E" w:rsidP="009E1AFE">
      <w:pPr>
        <w:rPr>
          <w:b/>
          <w:bCs/>
          <w:lang w:val="en-GB"/>
        </w:rPr>
      </w:pPr>
    </w:p>
    <w:p w14:paraId="33BED2AC" w14:textId="3AA4EB00" w:rsidR="00A7650E" w:rsidRDefault="00A7650E" w:rsidP="009E1AFE">
      <w:pPr>
        <w:rPr>
          <w:b/>
          <w:bCs/>
          <w:lang w:val="en-GB"/>
        </w:rPr>
      </w:pPr>
    </w:p>
    <w:p w14:paraId="63D822A9" w14:textId="75B6880E" w:rsidR="00A7650E" w:rsidRDefault="00A7650E" w:rsidP="009E1AFE">
      <w:pPr>
        <w:rPr>
          <w:b/>
          <w:bCs/>
          <w:lang w:val="en-GB"/>
        </w:rPr>
      </w:pPr>
    </w:p>
    <w:p w14:paraId="768E790B" w14:textId="52C693DB" w:rsidR="00A7650E" w:rsidRDefault="00A7650E" w:rsidP="009E1AFE">
      <w:pPr>
        <w:rPr>
          <w:b/>
          <w:bCs/>
          <w:lang w:val="en-GB"/>
        </w:rPr>
      </w:pPr>
    </w:p>
    <w:p w14:paraId="272311F3" w14:textId="07746582" w:rsidR="00A7650E" w:rsidRDefault="00A7650E" w:rsidP="009E1AFE">
      <w:pPr>
        <w:rPr>
          <w:b/>
          <w:bCs/>
          <w:lang w:val="en-GB"/>
        </w:rPr>
      </w:pPr>
    </w:p>
    <w:p w14:paraId="1766D19E" w14:textId="5E846660" w:rsidR="00A7650E" w:rsidRDefault="00A7650E" w:rsidP="009E1AFE">
      <w:pPr>
        <w:rPr>
          <w:b/>
          <w:bCs/>
          <w:lang w:val="en-GB"/>
        </w:rPr>
      </w:pPr>
    </w:p>
    <w:p w14:paraId="185851C3" w14:textId="0F455400" w:rsidR="00A7650E" w:rsidRDefault="00A7650E" w:rsidP="009E1AFE">
      <w:pPr>
        <w:rPr>
          <w:b/>
          <w:bCs/>
          <w:lang w:val="en-GB"/>
        </w:rPr>
      </w:pPr>
    </w:p>
    <w:p w14:paraId="71B43347" w14:textId="20225096" w:rsidR="00A7650E" w:rsidRDefault="001625B6" w:rsidP="001625B6">
      <w:pPr>
        <w:jc w:val="center"/>
        <w:rPr>
          <w:b/>
          <w:bCs/>
          <w:lang w:val="en-GB"/>
        </w:rPr>
      </w:pPr>
      <w:r>
        <w:rPr>
          <w:b/>
          <w:bCs/>
        </w:rPr>
        <w:drawing>
          <wp:inline distT="0" distB="0" distL="0" distR="0" wp14:anchorId="55806B88" wp14:editId="16FA6C88">
            <wp:extent cx="3562184" cy="3673502"/>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4726" cy="3686436"/>
                    </a:xfrm>
                    <a:prstGeom prst="rect">
                      <a:avLst/>
                    </a:prstGeom>
                    <a:noFill/>
                  </pic:spPr>
                </pic:pic>
              </a:graphicData>
            </a:graphic>
          </wp:inline>
        </w:drawing>
      </w:r>
    </w:p>
    <w:p w14:paraId="61AE3A6C" w14:textId="77777777" w:rsidR="00F56867" w:rsidRDefault="00F56867" w:rsidP="00F56867">
      <w:pPr>
        <w:pStyle w:val="NoSpacing"/>
        <w:jc w:val="both"/>
        <w:rPr>
          <w:rFonts w:ascii="Arial" w:hAnsi="Arial" w:cs="Arial"/>
          <w:sz w:val="18"/>
          <w:szCs w:val="18"/>
        </w:rPr>
      </w:pPr>
      <w:r w:rsidRPr="002E5943">
        <w:rPr>
          <w:rFonts w:ascii="Arial" w:eastAsia="Arial" w:hAnsi="Arial" w:cs="Arial"/>
          <w:b/>
          <w:bCs/>
          <w:sz w:val="18"/>
          <w:szCs w:val="18"/>
        </w:rPr>
        <w:t xml:space="preserve">Figure S2: </w:t>
      </w:r>
      <w:r w:rsidRPr="002E5943">
        <w:rPr>
          <w:rFonts w:ascii="Arial" w:hAnsi="Arial" w:cs="Arial"/>
          <w:sz w:val="18"/>
          <w:szCs w:val="18"/>
        </w:rPr>
        <w:t xml:space="preserve">Time dependent responses across biomarkers. Comparison of anti-NCP IgG antibody detection across patient cohorts using the Luminex serology assay relative to results obtained using the Roche </w:t>
      </w:r>
      <w:proofErr w:type="spellStart"/>
      <w:r w:rsidRPr="002E5943">
        <w:rPr>
          <w:rFonts w:ascii="Arial" w:hAnsi="Arial" w:cs="Arial"/>
          <w:sz w:val="18"/>
          <w:szCs w:val="18"/>
        </w:rPr>
        <w:t>Cobas</w:t>
      </w:r>
      <w:proofErr w:type="spellEnd"/>
      <w:r w:rsidRPr="002E5943">
        <w:rPr>
          <w:rFonts w:ascii="Arial" w:hAnsi="Arial" w:cs="Arial"/>
          <w:sz w:val="18"/>
          <w:szCs w:val="18"/>
        </w:rPr>
        <w:t xml:space="preserve"> Analyzer for </w:t>
      </w:r>
      <w:proofErr w:type="spellStart"/>
      <w:r w:rsidRPr="002E5943">
        <w:rPr>
          <w:rFonts w:ascii="Arial" w:hAnsi="Arial" w:cs="Arial"/>
          <w:sz w:val="18"/>
          <w:szCs w:val="18"/>
        </w:rPr>
        <w:t>Elecsys</w:t>
      </w:r>
      <w:proofErr w:type="spellEnd"/>
      <w:r w:rsidRPr="002E5943">
        <w:rPr>
          <w:rFonts w:ascii="Arial" w:hAnsi="Arial" w:cs="Arial"/>
          <w:sz w:val="18"/>
          <w:szCs w:val="18"/>
        </w:rPr>
        <w:t>® immunoassay sample assessment. Red circles indicate the same sample was negative on the Cobas Analyzer. Green circles indicate a sample’s positivity on the Cobas Analyzer. Blue circles indicate samples with no analogous Cobas data point.</w:t>
      </w:r>
    </w:p>
    <w:p w14:paraId="5F7A404A" w14:textId="0CB230C3" w:rsidR="001625B6" w:rsidRDefault="001625B6" w:rsidP="001625B6">
      <w:pPr>
        <w:jc w:val="center"/>
        <w:rPr>
          <w:b/>
          <w:bCs/>
          <w:lang w:val="en-GB"/>
        </w:rPr>
      </w:pPr>
    </w:p>
    <w:p w14:paraId="27A05D6E" w14:textId="77777777" w:rsidR="00BD736F" w:rsidRPr="00BD736F" w:rsidRDefault="00BD736F" w:rsidP="00BD736F">
      <w:pPr>
        <w:spacing w:line="480" w:lineRule="auto"/>
        <w:jc w:val="both"/>
        <w:rPr>
          <w:rFonts w:ascii="Arial" w:eastAsia="Arial" w:hAnsi="Arial" w:cs="Arial"/>
          <w:noProof w:val="0"/>
        </w:rPr>
      </w:pPr>
      <w:r w:rsidRPr="00BD736F">
        <w:rPr>
          <w:rFonts w:ascii="Arial" w:eastAsia="Arial" w:hAnsi="Arial" w:cs="Arial"/>
          <w:noProof w:val="0"/>
        </w:rPr>
        <w:t xml:space="preserve">Figure S2 represents anti-NCP IgG antibody detection across patient cohorts using the Luminex serology assay. Results are color coded to highlight samples which were negative (red) or positive (green) when run on the Cobas Analyzer (blue indicates no sample data was available using Cobas). The results presented demonstrate that most Cobas-positive samples lie above an arbitrary cut-off point near an anti-NCP IgG titer of 50,000, indicating higher sensitivity is achieved using the Luminex method. Most patient samples were seropositive by both methods by day 15, in line with previously reported 97.1% positivity ≥ 14 days after PCR confirmation using the </w:t>
      </w:r>
      <w:proofErr w:type="spellStart"/>
      <w:r w:rsidRPr="00BD736F">
        <w:rPr>
          <w:rFonts w:ascii="Arial" w:eastAsia="Arial" w:hAnsi="Arial" w:cs="Arial"/>
          <w:noProof w:val="0"/>
        </w:rPr>
        <w:t>Elecsys</w:t>
      </w:r>
      <w:proofErr w:type="spellEnd"/>
      <w:r w:rsidRPr="00BD736F">
        <w:rPr>
          <w:rFonts w:ascii="Arial" w:eastAsia="Arial" w:hAnsi="Arial" w:cs="Arial"/>
          <w:noProof w:val="0"/>
        </w:rPr>
        <w:t xml:space="preserve">® Anti-SARS-CoV-2 Assay </w:t>
      </w:r>
      <w:r w:rsidRPr="00BD736F">
        <w:rPr>
          <w:rFonts w:ascii="Arial" w:eastAsia="Arial" w:hAnsi="Arial" w:cs="Arial"/>
          <w:noProof w:val="0"/>
        </w:rPr>
        <w:fldChar w:fldCharType="begin"/>
      </w:r>
      <w:r w:rsidRPr="00BD736F">
        <w:rPr>
          <w:rFonts w:ascii="Arial" w:eastAsia="Arial" w:hAnsi="Arial" w:cs="Arial"/>
          <w:noProof w:val="0"/>
        </w:rPr>
        <w:instrText xml:space="preserve"> ADDIN EN.CITE &lt;EndNote&gt;&lt;Cite&gt;&lt;Author&gt;Lau&lt;/Author&gt;&lt;Year&gt;2020&lt;/Year&gt;&lt;RecNum&gt;53&lt;/RecNum&gt;&lt;DisplayText&gt;(52)&lt;/DisplayText&gt;&lt;record&gt;&lt;rec-number&gt;53&lt;/rec-number&gt;&lt;foreign-keys&gt;&lt;key app="EN" db-id="0p5290xf22dfa7ezx935sea12d225fws0eza" timestamp="1632302189"&gt;53&lt;/key&gt;&lt;/foreign-keys&gt;&lt;ref-type name="Journal Article"&gt;17&lt;/ref-type&gt;&lt;contributors&gt;&lt;authors&gt;&lt;author&gt;Lau, CS&lt;/author&gt;&lt;author&gt;Hoo, SP&lt;/author&gt;&lt;author&gt;Yew, SF&lt;/author&gt;&lt;author&gt;Ong, SK&lt;/author&gt;&lt;author&gt;Lum, LT&lt;/author&gt;&lt;author&gt;Heng, PY&lt;/author&gt;&lt;author&gt;Tan, JG&lt;/author&gt;&lt;author&gt;Wong, MS&lt;/author&gt;&lt;author&gt;Aw, TC&lt;/author&gt;&lt;/authors&gt;&lt;/contributors&gt;&lt;titles&gt;&lt;title&gt;Evaluation of the Roche Elecsys Anti-SARS-CoV-2 Assay&lt;/title&gt;&lt;/titles&gt;&lt;pages&gt;2020.06.28.20142232&lt;/pages&gt;&lt;dates&gt;&lt;year&gt;2020&lt;/year&gt;&lt;/dates&gt;&lt;urls&gt;&lt;related-urls&gt;&lt;url&gt;https://www.medrxiv.org/content/medrxiv/early/2020/06/29/2020.06.28.20142232.full.pdf&lt;/url&gt;&lt;/related-urls&gt;&lt;/urls&gt;&lt;electronic-resource-num&gt;10.1101/2020.06.28.20142232 %J medRxiv&lt;/electronic-resource-num&gt;&lt;/record&gt;&lt;/Cite&gt;&lt;/EndNote&gt;</w:instrText>
      </w:r>
      <w:r w:rsidRPr="00BD736F">
        <w:rPr>
          <w:rFonts w:ascii="Arial" w:eastAsia="Arial" w:hAnsi="Arial" w:cs="Arial"/>
          <w:noProof w:val="0"/>
        </w:rPr>
        <w:fldChar w:fldCharType="separate"/>
      </w:r>
      <w:r w:rsidRPr="00BD736F">
        <w:rPr>
          <w:rFonts w:ascii="Arial" w:eastAsia="Arial" w:hAnsi="Arial" w:cs="Arial"/>
        </w:rPr>
        <w:t>(52)</w:t>
      </w:r>
      <w:r w:rsidRPr="00BD736F">
        <w:rPr>
          <w:rFonts w:ascii="Arial" w:eastAsia="Arial" w:hAnsi="Arial" w:cs="Arial"/>
          <w:noProof w:val="0"/>
        </w:rPr>
        <w:fldChar w:fldCharType="end"/>
      </w:r>
      <w:r w:rsidRPr="00BD736F">
        <w:rPr>
          <w:rFonts w:ascii="Arial" w:eastAsia="Arial" w:hAnsi="Arial" w:cs="Arial"/>
          <w:noProof w:val="0"/>
        </w:rPr>
        <w:t xml:space="preserve">. No significant delay in endogenous IgG antibody production was observed for any of the bamlanivimab concentrations examined, compared to placebo </w:t>
      </w:r>
      <w:r w:rsidRPr="00BD736F">
        <w:rPr>
          <w:rFonts w:ascii="Arial" w:eastAsia="Arial" w:hAnsi="Arial" w:cs="Arial"/>
          <w:noProof w:val="0"/>
        </w:rPr>
        <w:fldChar w:fldCharType="begin">
          <w:fldData xml:space="preserve">PEVuZE5vdGU+PENpdGU+PEF1dGhvcj5DaGVuPC9BdXRob3I+PFllYXI+MjAyMTwvWWVhcj48UmVj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==
</w:fldData>
        </w:fldChar>
      </w:r>
      <w:r w:rsidRPr="00BD736F">
        <w:rPr>
          <w:rFonts w:ascii="Arial" w:eastAsia="Arial" w:hAnsi="Arial" w:cs="Arial"/>
          <w:noProof w:val="0"/>
        </w:rPr>
        <w:instrText xml:space="preserve"> ADDIN EN.CITE </w:instrText>
      </w:r>
      <w:r w:rsidRPr="00BD736F">
        <w:rPr>
          <w:rFonts w:ascii="Arial" w:eastAsia="Arial" w:hAnsi="Arial" w:cs="Arial"/>
          <w:noProof w:val="0"/>
        </w:rPr>
        <w:fldChar w:fldCharType="begin">
          <w:fldData xml:space="preserve">PEVuZE5vdGU+PENpdGU+PEF1dGhvcj5DaGVuPC9BdXRob3I+PFllYXI+MjAyMTwvWWVhcj48UmVj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==
</w:fldData>
        </w:fldChar>
      </w:r>
      <w:r w:rsidRPr="00BD736F">
        <w:rPr>
          <w:rFonts w:ascii="Arial" w:eastAsia="Arial" w:hAnsi="Arial" w:cs="Arial"/>
          <w:noProof w:val="0"/>
        </w:rPr>
        <w:instrText xml:space="preserve"> ADDIN EN.CITE.DATA </w:instrText>
      </w:r>
      <w:r w:rsidRPr="00BD736F">
        <w:rPr>
          <w:rFonts w:ascii="Arial" w:eastAsia="Arial" w:hAnsi="Arial" w:cs="Arial"/>
          <w:noProof w:val="0"/>
        </w:rPr>
      </w:r>
      <w:r w:rsidRPr="00BD736F">
        <w:rPr>
          <w:rFonts w:ascii="Arial" w:eastAsia="Arial" w:hAnsi="Arial" w:cs="Arial"/>
          <w:noProof w:val="0"/>
        </w:rPr>
        <w:fldChar w:fldCharType="end"/>
      </w:r>
      <w:r w:rsidRPr="00BD736F">
        <w:rPr>
          <w:rFonts w:ascii="Arial" w:eastAsia="Arial" w:hAnsi="Arial" w:cs="Arial"/>
          <w:noProof w:val="0"/>
        </w:rPr>
      </w:r>
      <w:r w:rsidRPr="00BD736F">
        <w:rPr>
          <w:rFonts w:ascii="Arial" w:eastAsia="Arial" w:hAnsi="Arial" w:cs="Arial"/>
          <w:noProof w:val="0"/>
        </w:rPr>
        <w:fldChar w:fldCharType="separate"/>
      </w:r>
      <w:r w:rsidRPr="00BD736F">
        <w:rPr>
          <w:rFonts w:ascii="Arial" w:eastAsia="Arial" w:hAnsi="Arial" w:cs="Arial"/>
        </w:rPr>
        <w:t>(30)</w:t>
      </w:r>
      <w:r w:rsidRPr="00BD736F">
        <w:rPr>
          <w:rFonts w:ascii="Arial" w:eastAsia="Arial" w:hAnsi="Arial" w:cs="Arial"/>
          <w:noProof w:val="0"/>
        </w:rPr>
        <w:fldChar w:fldCharType="end"/>
      </w:r>
      <w:r w:rsidRPr="00BD736F">
        <w:rPr>
          <w:rFonts w:ascii="Arial" w:eastAsia="Arial" w:hAnsi="Arial" w:cs="Arial"/>
          <w:noProof w:val="0"/>
        </w:rPr>
        <w:t xml:space="preserve">. </w:t>
      </w:r>
    </w:p>
    <w:bookmarkEnd w:id="0"/>
    <w:p w14:paraId="2B05629C" w14:textId="77777777" w:rsidR="00F56867" w:rsidRPr="009E1AFE" w:rsidRDefault="00F56867" w:rsidP="00F56867">
      <w:pPr>
        <w:rPr>
          <w:b/>
          <w:bCs/>
          <w:lang w:val="en-GB"/>
        </w:rPr>
      </w:pPr>
    </w:p>
    <w:sectPr w:rsidR="00F56867" w:rsidRPr="009E1AFE" w:rsidSect="001F2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FE"/>
    <w:rsid w:val="001625B6"/>
    <w:rsid w:val="001F2E3B"/>
    <w:rsid w:val="00255A3E"/>
    <w:rsid w:val="0028484D"/>
    <w:rsid w:val="002A125B"/>
    <w:rsid w:val="002D067A"/>
    <w:rsid w:val="003928B7"/>
    <w:rsid w:val="00591A4C"/>
    <w:rsid w:val="005D5F74"/>
    <w:rsid w:val="006D107D"/>
    <w:rsid w:val="0071485D"/>
    <w:rsid w:val="0079197C"/>
    <w:rsid w:val="00810F1A"/>
    <w:rsid w:val="00852C27"/>
    <w:rsid w:val="008C1D00"/>
    <w:rsid w:val="00992E4C"/>
    <w:rsid w:val="009E1AFE"/>
    <w:rsid w:val="009F4717"/>
    <w:rsid w:val="00A7650E"/>
    <w:rsid w:val="00A86E6D"/>
    <w:rsid w:val="00A97C2E"/>
    <w:rsid w:val="00AA191A"/>
    <w:rsid w:val="00BD736F"/>
    <w:rsid w:val="00C24148"/>
    <w:rsid w:val="00C24C48"/>
    <w:rsid w:val="00D15EBF"/>
    <w:rsid w:val="00ED7399"/>
    <w:rsid w:val="00F5116C"/>
    <w:rsid w:val="00F56867"/>
    <w:rsid w:val="69972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D2AB"/>
  <w15:chartTrackingRefBased/>
  <w15:docId w15:val="{A2561707-78F4-4EF9-8D42-700B31A4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1AFE"/>
    <w:rPr>
      <w:sz w:val="16"/>
      <w:szCs w:val="16"/>
    </w:rPr>
  </w:style>
  <w:style w:type="paragraph" w:styleId="CommentText">
    <w:name w:val="annotation text"/>
    <w:basedOn w:val="Normal"/>
    <w:link w:val="CommentTextChar"/>
    <w:uiPriority w:val="99"/>
    <w:semiHidden/>
    <w:unhideWhenUsed/>
    <w:rsid w:val="009E1AFE"/>
    <w:pPr>
      <w:spacing w:line="240" w:lineRule="auto"/>
    </w:pPr>
    <w:rPr>
      <w:sz w:val="20"/>
      <w:szCs w:val="20"/>
    </w:rPr>
  </w:style>
  <w:style w:type="character" w:customStyle="1" w:styleId="CommentTextChar">
    <w:name w:val="Comment Text Char"/>
    <w:basedOn w:val="DefaultParagraphFont"/>
    <w:link w:val="CommentText"/>
    <w:uiPriority w:val="99"/>
    <w:semiHidden/>
    <w:rsid w:val="009E1AFE"/>
    <w:rPr>
      <w:noProof/>
      <w:sz w:val="20"/>
      <w:szCs w:val="20"/>
      <w:lang w:val="en-US"/>
    </w:rPr>
  </w:style>
  <w:style w:type="paragraph" w:styleId="CommentSubject">
    <w:name w:val="annotation subject"/>
    <w:basedOn w:val="CommentText"/>
    <w:next w:val="CommentText"/>
    <w:link w:val="CommentSubjectChar"/>
    <w:uiPriority w:val="99"/>
    <w:semiHidden/>
    <w:unhideWhenUsed/>
    <w:rsid w:val="009E1AFE"/>
    <w:rPr>
      <w:b/>
      <w:bCs/>
    </w:rPr>
  </w:style>
  <w:style w:type="character" w:customStyle="1" w:styleId="CommentSubjectChar">
    <w:name w:val="Comment Subject Char"/>
    <w:basedOn w:val="CommentTextChar"/>
    <w:link w:val="CommentSubject"/>
    <w:uiPriority w:val="99"/>
    <w:semiHidden/>
    <w:rsid w:val="009E1AFE"/>
    <w:rPr>
      <w:b/>
      <w:bCs/>
      <w:noProof/>
      <w:sz w:val="20"/>
      <w:szCs w:val="20"/>
      <w:lang w:val="en-US"/>
    </w:rPr>
  </w:style>
  <w:style w:type="paragraph" w:styleId="NormalWeb">
    <w:name w:val="Normal (Web)"/>
    <w:basedOn w:val="Normal"/>
    <w:uiPriority w:val="99"/>
    <w:semiHidden/>
    <w:unhideWhenUsed/>
    <w:rsid w:val="009E1AFE"/>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styleId="NoSpacing">
    <w:name w:val="No Spacing"/>
    <w:uiPriority w:val="1"/>
    <w:qFormat/>
    <w:rsid w:val="00F5686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906816">
      <w:bodyDiv w:val="1"/>
      <w:marLeft w:val="0"/>
      <w:marRight w:val="0"/>
      <w:marTop w:val="0"/>
      <w:marBottom w:val="0"/>
      <w:divBdr>
        <w:top w:val="none" w:sz="0" w:space="0" w:color="auto"/>
        <w:left w:val="none" w:sz="0" w:space="0" w:color="auto"/>
        <w:bottom w:val="none" w:sz="0" w:space="0" w:color="auto"/>
        <w:right w:val="none" w:sz="0" w:space="0" w:color="auto"/>
      </w:divBdr>
    </w:div>
    <w:div w:id="173947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1935D6EFA4D349BD083F67C5700A72" ma:contentTypeVersion="6" ma:contentTypeDescription="Create a new document." ma:contentTypeScope="" ma:versionID="52065466127617a9000865f0faa488ef">
  <xsd:schema xmlns:xsd="http://www.w3.org/2001/XMLSchema" xmlns:xs="http://www.w3.org/2001/XMLSchema" xmlns:p="http://schemas.microsoft.com/office/2006/metadata/properties" xmlns:ns2="9075188d-6875-4b9d-a5e1-de124046fd8c" xmlns:ns3="718d68e8-7fe8-43eb-aedf-584ef39bcf49" targetNamespace="http://schemas.microsoft.com/office/2006/metadata/properties" ma:root="true" ma:fieldsID="fbd04dfb69d8630473fc97c5fbb28a90" ns2:_="" ns3:_="">
    <xsd:import namespace="9075188d-6875-4b9d-a5e1-de124046fd8c"/>
    <xsd:import namespace="718d68e8-7fe8-43eb-aedf-584ef39bcf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5188d-6875-4b9d-a5e1-de124046f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8d68e8-7fe8-43eb-aedf-584ef39bcf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FA8F8-5E9F-4F28-86F6-840A2019D767}">
  <ds:schemaRefs>
    <ds:schemaRef ds:uri="http://schemas.microsoft.com/sharepoint/v3/contenttype/forms"/>
  </ds:schemaRefs>
</ds:datastoreItem>
</file>

<file path=customXml/itemProps2.xml><?xml version="1.0" encoding="utf-8"?>
<ds:datastoreItem xmlns:ds="http://schemas.openxmlformats.org/officeDocument/2006/customXml" ds:itemID="{23E2A626-0126-4A6B-ACC9-15C26AD07C64}">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16880070-0227-4edd-a93f-91df091b4a7b"/>
    <ds:schemaRef ds:uri="http://schemas.microsoft.com/office/infopath/2007/PartnerControls"/>
    <ds:schemaRef ds:uri="bf84d0bf-6ce0-4d4b-9c97-95c59c47100a"/>
    <ds:schemaRef ds:uri="http://www.w3.org/XML/1998/namespace"/>
  </ds:schemaRefs>
</ds:datastoreItem>
</file>

<file path=customXml/itemProps3.xml><?xml version="1.0" encoding="utf-8"?>
<ds:datastoreItem xmlns:ds="http://schemas.openxmlformats.org/officeDocument/2006/customXml" ds:itemID="{71F39946-8529-42C5-B8F4-3D8B4B38E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5188d-6875-4b9d-a5e1-de124046fd8c"/>
    <ds:schemaRef ds:uri="718d68e8-7fe8-43eb-aedf-584ef39bc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2556</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Naughton</dc:creator>
  <cp:keywords/>
  <dc:description/>
  <cp:lastModifiedBy>Jenifer M.</cp:lastModifiedBy>
  <cp:revision>3</cp:revision>
  <dcterms:created xsi:type="dcterms:W3CDTF">2022-02-11T13:58:00Z</dcterms:created>
  <dcterms:modified xsi:type="dcterms:W3CDTF">2022-03-09T15:04:00Z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0x010100931935D6EFA4D349BD083F67C5700A72</vt:lpwstr>
  </property>
</Properties>
</file>