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23A" w:rsidRPr="00486D58" w:rsidRDefault="000B623A" w:rsidP="000B623A">
      <w:pPr>
        <w:adjustRightInd w:val="0"/>
        <w:snapToGrid w:val="0"/>
        <w:spacing w:after="0" w:line="480" w:lineRule="auto"/>
        <w:jc w:val="center"/>
        <w:rPr>
          <w:rFonts w:eastAsia="Times New Roman" w:cs="Times New Roman"/>
          <w:b/>
          <w:snapToGrid w:val="0"/>
          <w:color w:val="000000"/>
          <w:sz w:val="40"/>
          <w:szCs w:val="40"/>
          <w:lang w:eastAsia="de-DE" w:bidi="en-US"/>
        </w:rPr>
      </w:pPr>
      <w:bookmarkStart w:id="0" w:name="_GoBack"/>
      <w:r w:rsidRPr="00486D58">
        <w:rPr>
          <w:rFonts w:eastAsia="Times New Roman" w:cs="Times New Roman"/>
          <w:b/>
          <w:snapToGrid w:val="0"/>
          <w:color w:val="000000"/>
          <w:sz w:val="40"/>
          <w:szCs w:val="40"/>
          <w:lang w:eastAsia="de-DE" w:bidi="en-US"/>
        </w:rPr>
        <w:t>Interrelationships and determinants of aging biomarkers in cord blood</w:t>
      </w:r>
    </w:p>
    <w:p w:rsidR="000B623A" w:rsidRPr="00486D58" w:rsidRDefault="000B623A" w:rsidP="000B623A">
      <w:pPr>
        <w:adjustRightInd w:val="0"/>
        <w:snapToGrid w:val="0"/>
        <w:spacing w:after="0" w:line="276" w:lineRule="auto"/>
        <w:jc w:val="both"/>
        <w:rPr>
          <w:rFonts w:eastAsia="Times New Roman" w:cs="Times New Roman"/>
          <w:b/>
          <w:color w:val="000000"/>
          <w:sz w:val="24"/>
          <w:szCs w:val="24"/>
          <w:vertAlign w:val="superscript"/>
          <w:lang w:eastAsia="de-DE" w:bidi="en-US"/>
        </w:rPr>
      </w:pPr>
      <w:r w:rsidRPr="00486D58">
        <w:rPr>
          <w:rFonts w:eastAsia="Times New Roman" w:cs="Times New Roman"/>
          <w:b/>
          <w:color w:val="000000"/>
          <w:sz w:val="24"/>
          <w:szCs w:val="24"/>
          <w:lang w:eastAsia="de-DE" w:bidi="en-US"/>
        </w:rPr>
        <w:t>Brigitte Reimann</w:t>
      </w:r>
      <w:r w:rsidRPr="00486D58">
        <w:rPr>
          <w:rFonts w:eastAsia="Times New Roman" w:cs="Times New Roman"/>
          <w:b/>
          <w:color w:val="000000"/>
          <w:sz w:val="24"/>
          <w:szCs w:val="24"/>
          <w:vertAlign w:val="superscript"/>
          <w:lang w:eastAsia="de-DE" w:bidi="en-US"/>
        </w:rPr>
        <w:t>1</w:t>
      </w:r>
      <w:r w:rsidRPr="00486D58">
        <w:rPr>
          <w:rFonts w:eastAsia="Times New Roman" w:cs="Times New Roman"/>
          <w:b/>
          <w:color w:val="000000"/>
          <w:sz w:val="24"/>
          <w:szCs w:val="24"/>
          <w:lang w:eastAsia="de-DE" w:bidi="en-US"/>
        </w:rPr>
        <w:t xml:space="preserve">, Dries S. </w:t>
      </w:r>
      <w:proofErr w:type="spellStart"/>
      <w:r w:rsidRPr="00486D58">
        <w:rPr>
          <w:rFonts w:eastAsia="Times New Roman" w:cs="Times New Roman"/>
          <w:b/>
          <w:color w:val="000000"/>
          <w:sz w:val="24"/>
          <w:szCs w:val="24"/>
          <w:lang w:eastAsia="de-DE" w:bidi="en-US"/>
        </w:rPr>
        <w:t>Martens</w:t>
      </w:r>
      <w:r w:rsidRPr="00486D58">
        <w:rPr>
          <w:rFonts w:eastAsia="Times New Roman" w:cs="Times New Roman"/>
          <w:b/>
          <w:color w:val="000000"/>
          <w:sz w:val="24"/>
          <w:szCs w:val="24"/>
          <w:vertAlign w:val="superscript"/>
          <w:lang w:eastAsia="de-DE" w:bidi="en-US"/>
        </w:rPr>
        <w:t>1</w:t>
      </w:r>
      <w:proofErr w:type="spellEnd"/>
      <w:r w:rsidRPr="00486D58">
        <w:rPr>
          <w:rFonts w:eastAsia="Times New Roman" w:cs="Times New Roman"/>
          <w:b/>
          <w:color w:val="000000"/>
          <w:sz w:val="24"/>
          <w:szCs w:val="24"/>
          <w:lang w:eastAsia="de-DE" w:bidi="en-US"/>
        </w:rPr>
        <w:t>,</w:t>
      </w:r>
      <w:r w:rsidRPr="00486D58">
        <w:rPr>
          <w:rFonts w:eastAsia="Times New Roman" w:cs="Times New Roman"/>
          <w:b/>
          <w:color w:val="000000"/>
          <w:sz w:val="24"/>
          <w:szCs w:val="24"/>
          <w:vertAlign w:val="superscript"/>
          <w:lang w:eastAsia="de-DE" w:bidi="en-US"/>
        </w:rPr>
        <w:t xml:space="preserve"> </w:t>
      </w:r>
      <w:proofErr w:type="spellStart"/>
      <w:r w:rsidRPr="00486D58">
        <w:rPr>
          <w:rFonts w:eastAsia="Times New Roman" w:cs="Times New Roman"/>
          <w:b/>
          <w:color w:val="000000"/>
          <w:sz w:val="24"/>
          <w:szCs w:val="24"/>
          <w:lang w:eastAsia="de-DE" w:bidi="en-US"/>
        </w:rPr>
        <w:t>Congrong</w:t>
      </w:r>
      <w:proofErr w:type="spellEnd"/>
      <w:r w:rsidRPr="00486D58">
        <w:rPr>
          <w:rFonts w:eastAsia="Times New Roman" w:cs="Times New Roman"/>
          <w:b/>
          <w:color w:val="000000"/>
          <w:sz w:val="24"/>
          <w:szCs w:val="24"/>
          <w:lang w:eastAsia="de-DE" w:bidi="en-US"/>
        </w:rPr>
        <w:t xml:space="preserve"> </w:t>
      </w:r>
      <w:proofErr w:type="spellStart"/>
      <w:r w:rsidRPr="00486D58">
        <w:rPr>
          <w:rFonts w:eastAsia="Times New Roman" w:cs="Times New Roman"/>
          <w:b/>
          <w:color w:val="000000"/>
          <w:sz w:val="24"/>
          <w:szCs w:val="24"/>
          <w:lang w:eastAsia="de-DE" w:bidi="en-US"/>
        </w:rPr>
        <w:t>Wang</w:t>
      </w:r>
      <w:r w:rsidRPr="00486D58">
        <w:rPr>
          <w:rFonts w:eastAsia="Times New Roman" w:cs="Times New Roman"/>
          <w:b/>
          <w:color w:val="000000"/>
          <w:sz w:val="24"/>
          <w:szCs w:val="24"/>
          <w:vertAlign w:val="superscript"/>
          <w:lang w:eastAsia="de-DE" w:bidi="en-US"/>
        </w:rPr>
        <w:t>1</w:t>
      </w:r>
      <w:proofErr w:type="spellEnd"/>
      <w:r w:rsidRPr="00486D58">
        <w:rPr>
          <w:rFonts w:eastAsia="Times New Roman" w:cs="Times New Roman"/>
          <w:b/>
          <w:color w:val="000000"/>
          <w:sz w:val="24"/>
          <w:szCs w:val="24"/>
          <w:lang w:eastAsia="de-DE" w:bidi="en-US"/>
        </w:rPr>
        <w:t xml:space="preserve">, </w:t>
      </w:r>
      <w:proofErr w:type="spellStart"/>
      <w:r w:rsidRPr="00486D58">
        <w:rPr>
          <w:rFonts w:eastAsia="Times New Roman" w:cs="Times New Roman"/>
          <w:b/>
          <w:color w:val="000000"/>
          <w:sz w:val="24"/>
          <w:szCs w:val="24"/>
          <w:lang w:eastAsia="de-DE" w:bidi="en-US"/>
        </w:rPr>
        <w:t>Akram</w:t>
      </w:r>
      <w:proofErr w:type="spellEnd"/>
      <w:r w:rsidRPr="00486D58">
        <w:rPr>
          <w:rFonts w:eastAsia="Times New Roman" w:cs="Times New Roman"/>
          <w:b/>
          <w:color w:val="000000"/>
          <w:sz w:val="24"/>
          <w:szCs w:val="24"/>
          <w:lang w:eastAsia="de-DE" w:bidi="en-US"/>
        </w:rPr>
        <w:t xml:space="preserve"> </w:t>
      </w:r>
      <w:proofErr w:type="spellStart"/>
      <w:r w:rsidRPr="00486D58">
        <w:rPr>
          <w:rFonts w:eastAsia="Times New Roman" w:cs="Times New Roman"/>
          <w:b/>
          <w:color w:val="000000"/>
          <w:sz w:val="24"/>
          <w:szCs w:val="24"/>
          <w:lang w:eastAsia="de-DE" w:bidi="en-US"/>
        </w:rPr>
        <w:t>Ghantous</w:t>
      </w:r>
      <w:r w:rsidRPr="00486D58">
        <w:rPr>
          <w:rFonts w:eastAsia="Times New Roman" w:cs="Times New Roman"/>
          <w:b/>
          <w:color w:val="000000"/>
          <w:sz w:val="24"/>
          <w:szCs w:val="24"/>
          <w:vertAlign w:val="superscript"/>
          <w:lang w:eastAsia="de-DE" w:bidi="en-US"/>
        </w:rPr>
        <w:t>2</w:t>
      </w:r>
      <w:proofErr w:type="spellEnd"/>
      <w:r w:rsidRPr="00486D58">
        <w:rPr>
          <w:rFonts w:eastAsia="Times New Roman" w:cs="Times New Roman"/>
          <w:b/>
          <w:color w:val="000000"/>
          <w:sz w:val="24"/>
          <w:szCs w:val="24"/>
          <w:lang w:eastAsia="de-DE" w:bidi="en-US"/>
        </w:rPr>
        <w:t xml:space="preserve">, </w:t>
      </w:r>
      <w:proofErr w:type="spellStart"/>
      <w:r w:rsidRPr="00486D58">
        <w:rPr>
          <w:rFonts w:eastAsia="Times New Roman" w:cs="Times New Roman"/>
          <w:b/>
          <w:color w:val="000000"/>
          <w:sz w:val="24"/>
          <w:szCs w:val="24"/>
          <w:lang w:eastAsia="de-DE" w:bidi="en-US"/>
        </w:rPr>
        <w:t>Zdenko</w:t>
      </w:r>
      <w:proofErr w:type="spellEnd"/>
      <w:r w:rsidRPr="00486D58">
        <w:rPr>
          <w:rFonts w:eastAsia="Times New Roman" w:cs="Times New Roman"/>
          <w:b/>
          <w:color w:val="000000"/>
          <w:sz w:val="24"/>
          <w:szCs w:val="24"/>
          <w:lang w:eastAsia="de-DE" w:bidi="en-US"/>
        </w:rPr>
        <w:t xml:space="preserve"> </w:t>
      </w:r>
      <w:proofErr w:type="spellStart"/>
      <w:r w:rsidRPr="00486D58">
        <w:rPr>
          <w:rFonts w:eastAsia="Times New Roman" w:cs="Times New Roman"/>
          <w:b/>
          <w:color w:val="000000"/>
          <w:sz w:val="24"/>
          <w:szCs w:val="24"/>
          <w:lang w:eastAsia="de-DE" w:bidi="en-US"/>
        </w:rPr>
        <w:t>Herceg</w:t>
      </w:r>
      <w:r w:rsidRPr="00486D58">
        <w:rPr>
          <w:rFonts w:eastAsia="Times New Roman" w:cs="Times New Roman"/>
          <w:b/>
          <w:color w:val="000000"/>
          <w:sz w:val="24"/>
          <w:szCs w:val="24"/>
          <w:vertAlign w:val="superscript"/>
          <w:lang w:eastAsia="de-DE" w:bidi="en-US"/>
        </w:rPr>
        <w:t>2</w:t>
      </w:r>
      <w:proofErr w:type="spellEnd"/>
      <w:r w:rsidRPr="00486D58">
        <w:rPr>
          <w:rFonts w:eastAsia="Times New Roman" w:cs="Times New Roman"/>
          <w:b/>
          <w:color w:val="000000"/>
          <w:sz w:val="24"/>
          <w:szCs w:val="24"/>
          <w:lang w:eastAsia="de-DE" w:bidi="en-US"/>
        </w:rPr>
        <w:t xml:space="preserve">, Michelle </w:t>
      </w:r>
      <w:proofErr w:type="spellStart"/>
      <w:r w:rsidRPr="00486D58">
        <w:rPr>
          <w:rFonts w:eastAsia="Times New Roman" w:cs="Times New Roman"/>
          <w:b/>
          <w:color w:val="000000"/>
          <w:sz w:val="24"/>
          <w:szCs w:val="24"/>
          <w:lang w:eastAsia="de-DE" w:bidi="en-US"/>
        </w:rPr>
        <w:t>Plusquin</w:t>
      </w:r>
      <w:r w:rsidRPr="00486D58">
        <w:rPr>
          <w:rFonts w:eastAsia="Times New Roman" w:cs="Times New Roman"/>
          <w:b/>
          <w:color w:val="000000"/>
          <w:sz w:val="24"/>
          <w:szCs w:val="24"/>
          <w:vertAlign w:val="superscript"/>
          <w:lang w:eastAsia="de-DE" w:bidi="en-US"/>
        </w:rPr>
        <w:t>1</w:t>
      </w:r>
      <w:proofErr w:type="spellEnd"/>
      <w:r w:rsidRPr="00486D58">
        <w:rPr>
          <w:rFonts w:eastAsia="Times New Roman" w:cs="Times New Roman"/>
          <w:b/>
          <w:color w:val="000000"/>
          <w:sz w:val="24"/>
          <w:szCs w:val="24"/>
          <w:lang w:eastAsia="de-DE" w:bidi="en-US"/>
        </w:rPr>
        <w:t>* and Tim S. Nawrot</w:t>
      </w:r>
      <w:r w:rsidRPr="00486D58">
        <w:rPr>
          <w:rFonts w:eastAsia="Times New Roman" w:cs="Times New Roman"/>
          <w:b/>
          <w:color w:val="000000"/>
          <w:sz w:val="24"/>
          <w:szCs w:val="24"/>
          <w:vertAlign w:val="superscript"/>
          <w:lang w:eastAsia="de-DE" w:bidi="en-US"/>
        </w:rPr>
        <w:t>1,3</w:t>
      </w:r>
    </w:p>
    <w:p w:rsidR="000B623A" w:rsidRPr="00486D58" w:rsidRDefault="000B623A" w:rsidP="000B623A">
      <w:pPr>
        <w:spacing w:after="0" w:line="276" w:lineRule="auto"/>
        <w:jc w:val="both"/>
        <w:rPr>
          <w:sz w:val="24"/>
          <w:szCs w:val="24"/>
          <w:lang w:eastAsia="de-DE" w:bidi="en-US"/>
        </w:rPr>
      </w:pPr>
      <w:r w:rsidRPr="00486D58">
        <w:rPr>
          <w:sz w:val="24"/>
          <w:szCs w:val="24"/>
          <w:vertAlign w:val="superscript"/>
          <w:lang w:eastAsia="de-DE" w:bidi="en-US"/>
        </w:rPr>
        <w:t xml:space="preserve">1 </w:t>
      </w:r>
      <w:r w:rsidRPr="00486D58">
        <w:rPr>
          <w:sz w:val="24"/>
          <w:szCs w:val="24"/>
          <w:lang w:eastAsia="de-DE" w:bidi="en-US"/>
        </w:rPr>
        <w:t>Centre for Environmental Sciences, Hasselt University, Hasselt, Belgium</w:t>
      </w:r>
    </w:p>
    <w:p w:rsidR="000B623A" w:rsidRPr="00486D58" w:rsidRDefault="000B623A" w:rsidP="000B623A">
      <w:pPr>
        <w:spacing w:after="0" w:line="276" w:lineRule="auto"/>
        <w:jc w:val="both"/>
        <w:rPr>
          <w:sz w:val="24"/>
          <w:szCs w:val="24"/>
          <w:lang w:eastAsia="de-DE" w:bidi="en-US"/>
        </w:rPr>
      </w:pPr>
      <w:r w:rsidRPr="00486D58">
        <w:rPr>
          <w:sz w:val="24"/>
          <w:szCs w:val="24"/>
          <w:vertAlign w:val="superscript"/>
          <w:lang w:eastAsia="de-DE" w:bidi="en-US"/>
        </w:rPr>
        <w:t xml:space="preserve">2 </w:t>
      </w:r>
      <w:proofErr w:type="spellStart"/>
      <w:r w:rsidRPr="00486D58">
        <w:rPr>
          <w:sz w:val="24"/>
          <w:szCs w:val="24"/>
          <w:lang w:eastAsia="de-DE" w:bidi="en-US"/>
        </w:rPr>
        <w:t>Epigenomics</w:t>
      </w:r>
      <w:proofErr w:type="spellEnd"/>
      <w:r w:rsidRPr="00486D58">
        <w:rPr>
          <w:sz w:val="24"/>
          <w:szCs w:val="24"/>
          <w:lang w:eastAsia="de-DE" w:bidi="en-US"/>
        </w:rPr>
        <w:t xml:space="preserve"> and Mechanisms Branch, International Agency for Research on Cancer (IARC), </w:t>
      </w:r>
    </w:p>
    <w:p w:rsidR="000B623A" w:rsidRPr="00486D58" w:rsidRDefault="000B623A" w:rsidP="000B623A">
      <w:pPr>
        <w:spacing w:after="0" w:line="276" w:lineRule="auto"/>
        <w:jc w:val="both"/>
        <w:rPr>
          <w:sz w:val="24"/>
          <w:szCs w:val="24"/>
          <w:lang w:eastAsia="de-DE" w:bidi="en-US"/>
        </w:rPr>
      </w:pPr>
      <w:r w:rsidRPr="00486D58">
        <w:rPr>
          <w:sz w:val="24"/>
          <w:szCs w:val="24"/>
          <w:lang w:eastAsia="de-DE" w:bidi="en-US"/>
        </w:rPr>
        <w:t xml:space="preserve">  Lyon, France</w:t>
      </w:r>
    </w:p>
    <w:p w:rsidR="000B623A" w:rsidRPr="00486D58" w:rsidRDefault="000B623A" w:rsidP="000B623A">
      <w:pPr>
        <w:spacing w:after="0" w:line="276" w:lineRule="auto"/>
        <w:jc w:val="both"/>
        <w:rPr>
          <w:sz w:val="24"/>
          <w:szCs w:val="24"/>
          <w:lang w:eastAsia="de-DE" w:bidi="en-US"/>
        </w:rPr>
      </w:pPr>
      <w:r w:rsidRPr="00486D58">
        <w:rPr>
          <w:sz w:val="24"/>
          <w:szCs w:val="24"/>
          <w:vertAlign w:val="superscript"/>
          <w:lang w:eastAsia="de-DE" w:bidi="en-US"/>
        </w:rPr>
        <w:t xml:space="preserve">3 </w:t>
      </w:r>
      <w:r w:rsidRPr="00486D58">
        <w:rPr>
          <w:sz w:val="24"/>
          <w:szCs w:val="24"/>
          <w:lang w:eastAsia="de-DE" w:bidi="en-US"/>
        </w:rPr>
        <w:t xml:space="preserve">School of Public Health, Occupational and Environmental Medicine, KU Leuven, Leuven,  </w:t>
      </w:r>
    </w:p>
    <w:p w:rsidR="000B623A" w:rsidRPr="00486D58" w:rsidRDefault="000B623A" w:rsidP="000B623A">
      <w:pPr>
        <w:spacing w:after="0" w:line="276" w:lineRule="auto"/>
        <w:jc w:val="both"/>
        <w:rPr>
          <w:sz w:val="24"/>
          <w:szCs w:val="24"/>
          <w:lang w:eastAsia="de-DE" w:bidi="en-US"/>
        </w:rPr>
      </w:pPr>
      <w:r w:rsidRPr="00486D58">
        <w:rPr>
          <w:sz w:val="24"/>
          <w:szCs w:val="24"/>
          <w:lang w:eastAsia="de-DE" w:bidi="en-US"/>
        </w:rPr>
        <w:t xml:space="preserve">  Belgium</w:t>
      </w:r>
    </w:p>
    <w:p w:rsidR="000B623A" w:rsidRDefault="000B623A" w:rsidP="000B623A">
      <w:pPr>
        <w:rPr>
          <w:b/>
        </w:rPr>
      </w:pPr>
      <w:r w:rsidRPr="00486D58">
        <w:rPr>
          <w:b/>
          <w:sz w:val="24"/>
          <w:szCs w:val="24"/>
          <w:lang w:eastAsia="de-DE" w:bidi="en-US"/>
        </w:rPr>
        <w:t>*</w:t>
      </w:r>
      <w:r w:rsidRPr="00486D58">
        <w:rPr>
          <w:sz w:val="24"/>
          <w:szCs w:val="24"/>
          <w:lang w:eastAsia="de-DE" w:bidi="en-US"/>
        </w:rPr>
        <w:t xml:space="preserve"> Correspondence: </w:t>
      </w:r>
      <w:hyperlink r:id="rId4" w:history="1">
        <w:r w:rsidRPr="00486D58">
          <w:rPr>
            <w:color w:val="0000FF"/>
            <w:sz w:val="24"/>
            <w:szCs w:val="24"/>
            <w:u w:val="single"/>
            <w:lang w:eastAsia="de-DE" w:bidi="en-US"/>
          </w:rPr>
          <w:t>michelle.plusquin@uhasselt.be</w:t>
        </w:r>
      </w:hyperlink>
    </w:p>
    <w:p w:rsidR="000B623A" w:rsidRDefault="000B623A" w:rsidP="00A74E59">
      <w:pPr>
        <w:rPr>
          <w:b/>
        </w:rPr>
      </w:pPr>
    </w:p>
    <w:p w:rsidR="00A74E59" w:rsidRPr="00A74E59" w:rsidRDefault="00A74E59" w:rsidP="00A74E59">
      <w:pPr>
        <w:rPr>
          <w:b/>
        </w:rPr>
      </w:pPr>
      <w:r>
        <w:rPr>
          <w:b/>
        </w:rPr>
        <w:t xml:space="preserve">Figure S1 </w:t>
      </w:r>
      <w:r w:rsidRPr="00A74E59">
        <w:rPr>
          <w:b/>
        </w:rPr>
        <w:t>Pearson correlations</w:t>
      </w:r>
      <w:r>
        <w:rPr>
          <w:b/>
        </w:rPr>
        <w:t xml:space="preserve"> between aging biomarkers</w:t>
      </w:r>
      <w:r w:rsidRPr="00A74E59">
        <w:rPr>
          <w:b/>
        </w:rPr>
        <w:t xml:space="preserve"> in the subset of n = 92 girls</w:t>
      </w:r>
    </w:p>
    <w:p w:rsidR="00A74E59" w:rsidRPr="00A74E59" w:rsidRDefault="00E90199" w:rsidP="00A74E59">
      <w:pPr>
        <w:rPr>
          <w:b/>
        </w:rPr>
      </w:pPr>
      <w:r>
        <w:rPr>
          <w:b/>
          <w:noProof/>
          <w:lang w:val="en-IN" w:eastAsia="en-IN"/>
        </w:rPr>
        <w:drawing>
          <wp:inline distT="0" distB="0" distL="0" distR="0">
            <wp:extent cx="5760720" cy="38995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relation_girl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899535"/>
                    </a:xfrm>
                    <a:prstGeom prst="rect">
                      <a:avLst/>
                    </a:prstGeom>
                  </pic:spPr>
                </pic:pic>
              </a:graphicData>
            </a:graphic>
          </wp:inline>
        </w:drawing>
      </w:r>
    </w:p>
    <w:p w:rsidR="00A74E59" w:rsidRDefault="00A74E59" w:rsidP="00A74E59">
      <w:pPr>
        <w:spacing w:after="0"/>
        <w:jc w:val="both"/>
        <w:rPr>
          <w:b/>
        </w:rPr>
      </w:pPr>
      <w:r w:rsidRPr="00A74E59">
        <w:rPr>
          <w:b/>
        </w:rPr>
        <w:t>Figure S1</w:t>
      </w:r>
    </w:p>
    <w:p w:rsidR="00A74E59" w:rsidRPr="00A74E59" w:rsidRDefault="00A74E59" w:rsidP="00A74E59">
      <w:pPr>
        <w:jc w:val="both"/>
        <w:rPr>
          <w:b/>
        </w:rPr>
      </w:pPr>
      <w:r w:rsidRPr="00A74E59">
        <w:t xml:space="preserve">Pearson correlations in the subset of n = 92 girls, between: DNAm age = epigenetic age calculated according to Horvath </w:t>
      </w:r>
      <w:r w:rsidRPr="00A74E59">
        <w:fldChar w:fldCharType="begin"/>
      </w:r>
      <w:r w:rsidR="00A82C59">
        <w:instrText xml:space="preserve"> ADDIN EN.CITE &lt;EndNote&gt;&lt;Cite&gt;&lt;Author&gt;Horvath&lt;/Author&gt;&lt;Year&gt;2013&lt;/Year&gt;&lt;RecNum&gt;1005&lt;/RecNum&gt;&lt;DisplayText&gt;(1)&lt;/DisplayText&gt;&lt;record&gt;&lt;rec-number&gt;1005&lt;/rec-number&gt;&lt;foreign-keys&gt;&lt;key app="EN" db-id="ddeea0esdpeadyerxd35evf7fazppfvae2f9" timestamp="1545044714"&gt;1005&lt;/key&gt;&lt;/foreign-keys&gt;&lt;ref-type name="Journal Article"&gt;17&lt;/ref-type&gt;&lt;contributors&gt;&lt;authors&gt;&lt;author&gt;Horvath, Steve&lt;/author&gt;&lt;/authors&gt;&lt;/contributors&gt;&lt;titles&gt;&lt;title&gt;DNA methylation age of human tissues and cell types&lt;/title&gt;&lt;secondary-title&gt;Genome Biology&lt;/secondary-title&gt;&lt;/titles&gt;&lt;periodical&gt;&lt;full-title&gt;Genome Biol&lt;/full-title&gt;&lt;abbr-1&gt;Genome biology&lt;/abbr-1&gt;&lt;/periodical&gt;&lt;pages&gt;3156&lt;/pages&gt;&lt;volume&gt;14&lt;/volume&gt;&lt;number&gt;10&lt;/number&gt;&lt;dates&gt;&lt;year&gt;2013&lt;/year&gt;&lt;pub-dates&gt;&lt;date&gt;2013/12/10&lt;/date&gt;&lt;/pub-dates&gt;&lt;/dates&gt;&lt;isbn&gt;1474-760X&lt;/isbn&gt;&lt;urls&gt;&lt;related-urls&gt;&lt;url&gt;https://doi.org/10.1186/gb-2013-14-10-r115&lt;/url&gt;&lt;/related-urls&gt;&lt;/urls&gt;&lt;electronic-resource-num&gt;10.1186/gb-2013-14-10-r115&lt;/electronic-resource-num&gt;&lt;/record&gt;&lt;/Cite&gt;&lt;/EndNote&gt;</w:instrText>
      </w:r>
      <w:r w:rsidRPr="00A74E59">
        <w:fldChar w:fldCharType="separate"/>
      </w:r>
      <w:r w:rsidR="00A82C59">
        <w:rPr>
          <w:noProof/>
        </w:rPr>
        <w:t>(1)</w:t>
      </w:r>
      <w:r w:rsidRPr="00A74E59">
        <w:fldChar w:fldCharType="end"/>
      </w:r>
      <w:r w:rsidRPr="00A74E59">
        <w:t xml:space="preserve">, TL = relative telomere length, mtDNA content = relative mitochondrial DNA content, mean global DNA methylation = mean global DNA methylation, mean promoter methylation = mean methylation of the promoter gene-region, mean body methylation = mean methylation of the gene-body and mean methylation of the intergenic region. In the top right corner, the correlation coefficients, and in the bottom left corner scatterplots of the correlation with regression line and 0.95% CI are shown. On the diagonal density plots display the distribution of observations. 5mC = 5-methylcytosine; mtDNA = mitochondrial DNA; nDNA = nuclear DNA; T/S = </w:t>
      </w:r>
      <w:r w:rsidRPr="00A74E59">
        <w:rPr>
          <w:iCs/>
        </w:rPr>
        <w:t>telomere/ single copy gene ratio</w:t>
      </w:r>
      <w:r>
        <w:rPr>
          <w:b/>
        </w:rPr>
        <w:t xml:space="preserve"> </w:t>
      </w:r>
      <w:r w:rsidRPr="00A74E59">
        <w:rPr>
          <w:i/>
          <w:iCs/>
        </w:rPr>
        <w:t>* p &lt;0.05; ** p &lt;0.001</w:t>
      </w:r>
    </w:p>
    <w:p w:rsidR="00A82C59" w:rsidRDefault="00A82C59"/>
    <w:p w:rsidR="00A82C59" w:rsidRPr="00B52E5B" w:rsidRDefault="00B52E5B">
      <w:pPr>
        <w:rPr>
          <w:b/>
        </w:rPr>
      </w:pPr>
      <w:r w:rsidRPr="00B52E5B">
        <w:rPr>
          <w:b/>
        </w:rPr>
        <w:t>Reference</w:t>
      </w:r>
    </w:p>
    <w:p w:rsidR="00A82C59" w:rsidRPr="00A82C59" w:rsidRDefault="00A82C59" w:rsidP="00A82C59">
      <w:pPr>
        <w:pStyle w:val="EndNoteBibliography"/>
      </w:pPr>
      <w:r>
        <w:fldChar w:fldCharType="begin"/>
      </w:r>
      <w:r>
        <w:instrText xml:space="preserve"> ADDIN EN.REFLIST </w:instrText>
      </w:r>
      <w:r>
        <w:fldChar w:fldCharType="separate"/>
      </w:r>
      <w:r w:rsidRPr="00A82C59">
        <w:t>1.</w:t>
      </w:r>
      <w:r w:rsidRPr="00A82C59">
        <w:tab/>
        <w:t>Horvath S. DNA methylation age of human tissues and cell types. Genome biology. 2013;14(10):3156.</w:t>
      </w:r>
    </w:p>
    <w:p w:rsidR="00DB2D5E" w:rsidRDefault="00A82C59">
      <w:r>
        <w:fldChar w:fldCharType="end"/>
      </w:r>
      <w:bookmarkEnd w:id="0"/>
    </w:p>
    <w:sectPr w:rsidR="00DB2D5E" w:rsidSect="009B3C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deea0esdpeadyerxd35evf7fazppfvae2f9&quot;&gt;My EndNote Library Copy_14.10.18&lt;record-ids&gt;&lt;item&gt;1005&lt;/item&gt;&lt;/record-ids&gt;&lt;/item&gt;&lt;/Libraries&gt;"/>
  </w:docVars>
  <w:rsids>
    <w:rsidRoot w:val="00A74E59"/>
    <w:rsid w:val="00076A5A"/>
    <w:rsid w:val="000B623A"/>
    <w:rsid w:val="00862575"/>
    <w:rsid w:val="009B3CA7"/>
    <w:rsid w:val="00A74E59"/>
    <w:rsid w:val="00A82C59"/>
    <w:rsid w:val="00B52E5B"/>
    <w:rsid w:val="00DB2D5E"/>
    <w:rsid w:val="00E90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EFFA5C-2C35-410F-8FA9-504A67BD7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2C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2C59"/>
    <w:rPr>
      <w:rFonts w:ascii="Segoe UI" w:hAnsi="Segoe UI" w:cs="Segoe UI"/>
      <w:sz w:val="18"/>
      <w:szCs w:val="18"/>
      <w:lang w:val="en-US"/>
    </w:rPr>
  </w:style>
  <w:style w:type="paragraph" w:customStyle="1" w:styleId="EndNoteBibliographyTitle">
    <w:name w:val="EndNote Bibliography Title"/>
    <w:basedOn w:val="Normal"/>
    <w:link w:val="EndNoteBibliographyTitleChar"/>
    <w:rsid w:val="00A82C5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82C59"/>
    <w:rPr>
      <w:rFonts w:ascii="Calibri" w:hAnsi="Calibri" w:cs="Calibri"/>
      <w:noProof/>
      <w:lang w:val="en-US"/>
    </w:rPr>
  </w:style>
  <w:style w:type="paragraph" w:customStyle="1" w:styleId="EndNoteBibliography">
    <w:name w:val="EndNote Bibliography"/>
    <w:basedOn w:val="Normal"/>
    <w:link w:val="EndNoteBibliographyChar"/>
    <w:rsid w:val="00A82C5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82C59"/>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michelle.plusquin@uhasselt.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UHasselt</Company>
  <LinksUpToDate>false</LinksUpToDate>
  <CharactersWithSpaces>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REIMANN Brigitte</dc:creator>
  <cp:keywords/>
  <dc:description/>
  <cp:lastModifiedBy>Deepikas Sakthivel</cp:lastModifiedBy>
  <cp:revision>8</cp:revision>
  <dcterms:created xsi:type="dcterms:W3CDTF">2022-04-04T13:01:00Z</dcterms:created>
  <dcterms:modified xsi:type="dcterms:W3CDTF">2022-07-20T13:43:00Z</dcterms:modified>
</cp:coreProperties>
</file>