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left"/>
        <w:rPr>
          <w:rFonts w:hint="eastAsia" w:cs="Times New Roman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cs="Times New Roman"/>
          <w:b/>
          <w:bCs/>
          <w:sz w:val="24"/>
          <w:szCs w:val="24"/>
          <w:lang w:val="en-US" w:eastAsia="zh-CN"/>
        </w:rPr>
        <w:t>Figure. S2</w:t>
      </w:r>
    </w:p>
    <w:p>
      <w:pPr>
        <w:spacing w:line="480" w:lineRule="auto"/>
        <w:jc w:val="left"/>
        <w:rPr>
          <w:rFonts w:hint="eastAsia" w:cs="Times New Roman"/>
          <w:b/>
          <w:bCs/>
          <w:sz w:val="24"/>
          <w:szCs w:val="24"/>
          <w:lang w:val="en-US" w:eastAsia="zh-CN"/>
        </w:rPr>
      </w:pPr>
      <w:r>
        <w:rPr>
          <w:rFonts w:hint="eastAsia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69230" cy="3530600"/>
            <wp:effectExtent l="0" t="0" r="3810" b="5080"/>
            <wp:docPr id="2" name="图片 2" descr="SFIG2. 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FIG2. TIF"/>
                    <pic:cNvPicPr>
                      <a:picLocks noChangeAspect="1"/>
                    </pic:cNvPicPr>
                  </pic:nvPicPr>
                  <pic:blipFill>
                    <a:blip r:embed="rId4"/>
                    <a:srcRect t="9207" b="2378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 xml:space="preserve">Fig. S2 circCRKL knockdown ameliorates the sensitivity of imatinib-resistant cell line K562/G01. A. 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The cell survival rate and IC50 value were calculated with a CCK-8 assay after treatment with imatinib for 48 hours at different concentrations in K562 and K562/G01 cells. 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B.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 The cell survival rate and IC50 value were calculated with a CCK-8 assay after treatment with imatinib for 48 hours at different concentrations in K562/G01 cells knocked down circCRKL or its normal control. 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 xml:space="preserve">C. 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The apoptosis rate was measured with flow cytometry 48 hours after treatment with imatinib at 5 </w:t>
      </w:r>
      <w:r>
        <w:rPr>
          <w:sz w:val="24"/>
          <w:szCs w:val="24"/>
          <w:highlight w:val="none"/>
          <w:u w:val="none"/>
        </w:rPr>
        <w:t>μ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M concentration. 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 xml:space="preserve">D. 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The cell survival rate and IC50 value were calculated with a CCK-8 assay after treatment with imatinib for 48 hours at different concentrations in K562/G01 cells suppressed or overexpressed miR-877-5p. 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E.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 Relative protein levels were determined with western blot assays. *</w:t>
      </w:r>
      <w:r>
        <w:rPr>
          <w:rFonts w:hint="eastAsia"/>
          <w:b w:val="0"/>
          <w:bCs w:val="0"/>
          <w:i/>
          <w:iCs/>
          <w:sz w:val="24"/>
          <w:szCs w:val="24"/>
          <w:highlight w:val="none"/>
          <w:lang w:val="en-US" w:eastAsia="zh-CN"/>
        </w:rPr>
        <w:t>p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/>
          <w:b w:val="0"/>
          <w:bCs w:val="0"/>
          <w:sz w:val="24"/>
          <w:szCs w:val="24"/>
          <w:highlight w:val="none"/>
          <w:lang w:val="en-US" w:eastAsia="zh-CN"/>
        </w:rPr>
        <w:t>&lt; 0.05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 xml:space="preserve"> and ** </w:t>
      </w:r>
      <w:r>
        <w:rPr>
          <w:rFonts w:hint="default"/>
          <w:b w:val="0"/>
          <w:bCs w:val="0"/>
          <w:sz w:val="24"/>
          <w:szCs w:val="24"/>
          <w:highlight w:val="none"/>
          <w:lang w:val="en-US" w:eastAsia="zh-CN"/>
        </w:rPr>
        <w:t>&lt; 0.0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1.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753C9D"/>
    <w:rsid w:val="3E753C9D"/>
    <w:rsid w:val="5048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765</Characters>
  <Lines>0</Lines>
  <Paragraphs>0</Paragraphs>
  <TotalTime>0</TotalTime>
  <ScaleCrop>false</ScaleCrop>
  <LinksUpToDate>false</LinksUpToDate>
  <CharactersWithSpaces>907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2022-03-21T02:48:00Z</dcterms:created>
  <dc:creator>wJm</dc:creator>
  <cp:lastModifiedBy>13983802837</cp:lastModifiedBy>
  <dcterms:modified xsi:type="dcterms:W3CDTF">2022-08-17T08:26:22Z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1E09992D0C424608B7CB1A7081EFDDD0</vt:lpwstr>
  </property>
</Properties>
</file>