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8C2" w:rsidRDefault="00AD65B1">
      <w:pPr>
        <w:pStyle w:val="BodyText"/>
        <w:spacing w:line="480" w:lineRule="auto"/>
        <w:contextualSpacing/>
        <w:rPr>
          <w:rFonts w:ascii="Times New Roman" w:eastAsiaTheme="minorHAnsi" w:hAnsi="Times New Roman"/>
          <w:b/>
          <w:bCs/>
          <w:color w:val="000000" w:themeColor="text1"/>
          <w:szCs w:val="24"/>
          <w:shd w:val="clear" w:color="auto" w:fill="FFFFFF"/>
        </w:rPr>
      </w:pPr>
      <w:bookmarkStart w:id="0" w:name="_GoBack"/>
      <w:r>
        <w:rPr>
          <w:rFonts w:ascii="Times New Roman" w:eastAsiaTheme="minorHAnsi" w:hAnsi="Times New Roman"/>
          <w:b/>
          <w:bCs/>
          <w:color w:val="000000" w:themeColor="text1"/>
          <w:szCs w:val="24"/>
          <w:shd w:val="clear" w:color="auto" w:fill="FFFFFF"/>
        </w:rPr>
        <w:t>Supplementary materials</w:t>
      </w:r>
    </w:p>
    <w:p w:rsidR="00BE18C2" w:rsidRDefault="00AD65B1">
      <w:pPr>
        <w:pStyle w:val="BodyText"/>
        <w:spacing w:line="480" w:lineRule="auto"/>
        <w:contextualSpacing/>
        <w:rPr>
          <w:rFonts w:ascii="Times New Roman" w:eastAsiaTheme="minorHAnsi" w:hAnsi="Times New Roman"/>
          <w:color w:val="000000" w:themeColor="text1"/>
          <w:szCs w:val="24"/>
        </w:rPr>
      </w:pPr>
      <w:bookmarkStart w:id="1" w:name="_Hlk100119639"/>
      <w:r>
        <w:rPr>
          <w:rFonts w:ascii="Times New Roman" w:eastAsiaTheme="minorHAnsi" w:hAnsi="Times New Roman"/>
          <w:b/>
          <w:bCs/>
          <w:color w:val="000000" w:themeColor="text1"/>
          <w:kern w:val="2"/>
          <w:szCs w:val="24"/>
        </w:rPr>
        <w:t xml:space="preserve">Supplementary Table 1. </w:t>
      </w:r>
      <w:r>
        <w:rPr>
          <w:rFonts w:ascii="Times New Roman" w:eastAsiaTheme="minorHAnsi" w:hAnsi="Times New Roman"/>
          <w:color w:val="000000" w:themeColor="text1"/>
          <w:kern w:val="2"/>
          <w:szCs w:val="24"/>
        </w:rPr>
        <w:t>Sperm CNV results of nonlysis group</w:t>
      </w:r>
      <w:bookmarkEnd w:id="1"/>
    </w:p>
    <w:tbl>
      <w:tblPr>
        <w:tblW w:w="8505" w:type="dxa"/>
        <w:tblLook w:val="04A0" w:firstRow="1" w:lastRow="0" w:firstColumn="1" w:lastColumn="0" w:noHBand="0" w:noVBand="1"/>
      </w:tblPr>
      <w:tblGrid>
        <w:gridCol w:w="3640"/>
        <w:gridCol w:w="1318"/>
        <w:gridCol w:w="868"/>
        <w:gridCol w:w="1276"/>
        <w:gridCol w:w="1403"/>
      </w:tblGrid>
      <w:tr w:rsidR="00BE18C2">
        <w:trPr>
          <w:trHeight w:val="473"/>
        </w:trPr>
        <w:tc>
          <w:tcPr>
            <w:tcW w:w="3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Sample type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Sperm count (piece)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Repeat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Library concentration (ng/</w:t>
            </w:r>
            <w:r>
              <w:rPr>
                <w:rFonts w:ascii="Symbol" w:eastAsia="SimSun" w:hAnsi="Symbol" w:cs="Times New Roman"/>
                <w:b/>
                <w:color w:val="000000"/>
                <w:kern w:val="0"/>
                <w:sz w:val="18"/>
                <w:szCs w:val="18"/>
              </w:rPr>
              <w:t>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l)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CNV_results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sperm (cultured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0.236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0.152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sperm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0.274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sperm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0.238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0.264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sperm (cultured 1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0.266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0.266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7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0.264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sperm (cultured 3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0.356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sperm (cultured 3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sperm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0.332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0.276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0.274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0.276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injection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injection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0.238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injection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injection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injection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</w:t>
            </w: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 xml:space="preserve">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Blank drop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0.274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Blank drop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Blank drop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3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Blank drop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56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Positive control 10 pg GM12878 gDNA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17.8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</w:tr>
      <w:tr w:rsidR="00BE18C2">
        <w:trPr>
          <w:trHeight w:val="256"/>
        </w:trPr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Positive control 10 pg GM12878 gDNA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14.2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</w:tr>
    </w:tbl>
    <w:p w:rsidR="00BE18C2" w:rsidRDefault="00AD65B1">
      <w:pPr>
        <w:widowControl/>
        <w:spacing w:line="480" w:lineRule="auto"/>
        <w:contextualSpacing/>
        <w:jc w:val="left"/>
        <w:rPr>
          <w:rFonts w:ascii="Times New Roman" w:eastAsiaTheme="minorHAnsi" w:hAnsi="Times New Roman" w:cs="Times New Roman"/>
          <w:b/>
          <w:bCs/>
          <w:color w:val="000000" w:themeColor="text1"/>
        </w:rPr>
      </w:pPr>
      <w:r>
        <w:rPr>
          <w:rFonts w:ascii="Times New Roman" w:eastAsiaTheme="minorHAnsi" w:hAnsi="Times New Roman"/>
          <w:b/>
          <w:bCs/>
          <w:color w:val="000000" w:themeColor="text1"/>
        </w:rPr>
        <w:br w:type="page"/>
      </w:r>
    </w:p>
    <w:p w:rsidR="00BE18C2" w:rsidRDefault="00AD65B1">
      <w:pPr>
        <w:pStyle w:val="BodyText"/>
        <w:spacing w:line="480" w:lineRule="auto"/>
        <w:contextualSpacing/>
        <w:rPr>
          <w:rFonts w:ascii="Times New Roman" w:eastAsiaTheme="minorHAnsi" w:hAnsi="Times New Roman"/>
          <w:color w:val="000000" w:themeColor="text1"/>
          <w:kern w:val="2"/>
          <w:szCs w:val="24"/>
        </w:rPr>
      </w:pPr>
      <w:bookmarkStart w:id="2" w:name="_Hlk100119647"/>
      <w:r>
        <w:rPr>
          <w:rFonts w:ascii="Times New Roman" w:eastAsiaTheme="minorHAnsi" w:hAnsi="Times New Roman"/>
          <w:b/>
          <w:bCs/>
          <w:color w:val="000000" w:themeColor="text1"/>
          <w:kern w:val="2"/>
          <w:szCs w:val="24"/>
        </w:rPr>
        <w:t xml:space="preserve">Supplementary Table 2. </w:t>
      </w:r>
      <w:r>
        <w:rPr>
          <w:rFonts w:ascii="Times New Roman" w:eastAsiaTheme="minorHAnsi" w:hAnsi="Times New Roman"/>
          <w:color w:val="000000" w:themeColor="text1"/>
          <w:kern w:val="2"/>
          <w:szCs w:val="24"/>
        </w:rPr>
        <w:t>Sperm CNV results of lysis group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3402"/>
        <w:gridCol w:w="1276"/>
        <w:gridCol w:w="756"/>
        <w:gridCol w:w="1483"/>
        <w:gridCol w:w="1588"/>
      </w:tblGrid>
      <w:tr w:rsidR="00BE18C2">
        <w:trPr>
          <w:trHeight w:val="526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2"/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Sample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type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Sperm count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Repeat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Library concentration (ng/</w:t>
            </w:r>
            <w:r>
              <w:rPr>
                <w:rFonts w:ascii="Symbol" w:eastAsia="SimSun" w:hAnsi="Symbol" w:cs="Times New Roman"/>
                <w:b/>
                <w:color w:val="000000"/>
                <w:kern w:val="0"/>
                <w:sz w:val="18"/>
                <w:szCs w:val="18"/>
              </w:rPr>
              <w:t>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l)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CNV_results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0.134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0.136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0.362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0.154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4–8 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0.134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sperm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0.272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1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30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0.156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0.152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sperm (cultured 3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3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0.204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0.456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0.252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0.286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0.228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0.192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medium containing 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medium containing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(cultured 5 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injection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injection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0.308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injection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0.114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injection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0.134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sperm injection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0.186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 xml:space="preserve">In vitro fertilization zona </w:t>
            </w: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0.178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 w:val="18"/>
                <w:szCs w:val="18"/>
              </w:rPr>
              <w:t>In vitro fertilization zona pellucida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0.386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Blank drop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0.216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Blank drop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0.168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Blank drop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0.142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6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Blank drop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0.154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</w:tr>
      <w:tr w:rsidR="00BE18C2">
        <w:trPr>
          <w:trHeight w:val="28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Positive control 10 pg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 GM12878 gDNA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15.8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</w:tr>
      <w:tr w:rsidR="00BE18C2">
        <w:trPr>
          <w:trHeight w:val="285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Positive control 10 pg GM12878 gDNA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11.7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</w:tr>
    </w:tbl>
    <w:p w:rsidR="00BE18C2" w:rsidRDefault="00AD65B1">
      <w:pPr>
        <w:widowControl/>
        <w:spacing w:line="480" w:lineRule="auto"/>
        <w:jc w:val="left"/>
        <w:rPr>
          <w:rFonts w:ascii="Times New Roman" w:eastAsiaTheme="minorHAnsi" w:hAnsi="Times New Roman" w:cs="Times New Roman"/>
          <w:b/>
          <w:bCs/>
          <w:color w:val="000000" w:themeColor="text1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</w:rPr>
        <w:br w:type="page"/>
      </w:r>
    </w:p>
    <w:p w:rsidR="00BE18C2" w:rsidRDefault="00AD65B1">
      <w:pPr>
        <w:autoSpaceDE w:val="0"/>
        <w:autoSpaceDN w:val="0"/>
        <w:spacing w:line="480" w:lineRule="auto"/>
        <w:contextualSpacing/>
        <w:jc w:val="left"/>
        <w:rPr>
          <w:rFonts w:ascii="Times New Roman" w:eastAsiaTheme="minorHAnsi" w:hAnsi="Times New Roman" w:cs="Times New Roman"/>
          <w:color w:val="000000" w:themeColor="text1"/>
        </w:rPr>
      </w:pPr>
      <w:bookmarkStart w:id="3" w:name="_Hlk100119655"/>
      <w:r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Supplementary Table 3. </w:t>
      </w:r>
      <w:r>
        <w:rPr>
          <w:rFonts w:ascii="Times New Roman" w:eastAsiaTheme="minorHAnsi" w:hAnsi="Times New Roman" w:cs="Times New Roman"/>
          <w:color w:val="000000" w:themeColor="text1"/>
        </w:rPr>
        <w:t xml:space="preserve">CNV results of SCM and TE </w:t>
      </w:r>
      <w:r>
        <w:rPr>
          <w:rFonts w:ascii="Times New Roman" w:eastAsia="SimSun" w:hAnsi="Times New Roman" w:cs="Times New Roman" w:hint="eastAsia"/>
          <w:color w:val="000000" w:themeColor="text1"/>
          <w:lang w:val="en-US"/>
        </w:rPr>
        <w:t>in</w:t>
      </w:r>
      <w:r>
        <w:rPr>
          <w:rFonts w:ascii="Times New Roman" w:eastAsiaTheme="minorHAnsi" w:hAnsi="Times New Roman" w:cs="Times New Roman"/>
          <w:color w:val="000000" w:themeColor="text1"/>
        </w:rPr>
        <w:t xml:space="preserve"> 27 donated embryos</w:t>
      </w:r>
    </w:p>
    <w:tbl>
      <w:tblPr>
        <w:tblW w:w="8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4"/>
        <w:gridCol w:w="2211"/>
        <w:gridCol w:w="1180"/>
      </w:tblGrid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bookmarkEnd w:id="3"/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  <w:lang w:val="en-US"/>
              </w:rPr>
              <w:t xml:space="preserve"> ID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SCM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TE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Ploidy Concordance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1PN-2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46,XX,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-6(×1,mos,~50%),+10(×3,mos,~50%)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47,XX,+6(×3)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1PN-3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1PN-4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46,XX, -16(×1,mos,~50%)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45,XX, -16(×1)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1PN-5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46,XX, -4(×1,mos,~60%)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1PN-6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46,XX,+3(×3,mos,~50%),+7(×3,mos,~50%)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1PN-7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47,XX,+18(×3)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45,XX,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-Xp(×1,mos,~50%), -Xq(×1,mos,~50%), -18(×1)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1PN-8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1PN-9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BE18C2">
        <w:trPr>
          <w:trHeight w:val="72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1PN-10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48,XYY,+Y(×2),+3(×3,mos,~50%),+4(×3),</w:t>
            </w:r>
          </w:p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+11(×3), -13(×1), -14(×1),+15(×3),+17(×3), -18(×1), 20(×1),+21(×3)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1PN-11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47,XX,+16(×3)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45,XX, -16(×1)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1PN-12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46,XY, -4(×1,mos,~50%),+8(×3,mos,~50%)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1PN-13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1PN-14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46,XX, -3p(×1,mos,~40%),+15(×3,mos,~40%)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45,XX, -3(×1)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1PN-15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BE18C2">
        <w:trPr>
          <w:trHeight w:val="72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1PN-16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47,XY,+2(×3),+4(×3,mos,~50%),+11(×3,mos,</w:t>
            </w:r>
          </w:p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~60%)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1PN-17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1PN-18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45,X, -X(×1), -3(×1,mos,~60%),+6(×3,mos,~50%), 10(×1),+12(×3,mos,~60%),+18(×3),+21(×3,mos,~70%),+22(×3,mos,~50%)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46,XX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FP</w:t>
            </w:r>
          </w:p>
        </w:tc>
      </w:tr>
      <w:tr w:rsidR="00BE18C2">
        <w:trPr>
          <w:trHeight w:val="72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1PN-19</w:t>
            </w:r>
          </w:p>
        </w:tc>
        <w:tc>
          <w:tcPr>
            <w:tcW w:w="3964" w:type="dxa"/>
            <w:shd w:val="clear" w:color="auto" w:fill="auto"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45,XX, -4(×1,mos,~60%), -9(×1,mos,~60%),+14</w:t>
            </w:r>
          </w:p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(×3,mos,~50%), -21(×1)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45,XX, -21(×1)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1PN-20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 xml:space="preserve">46,XY,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-8p(×1,mos,~60%),+8q(×3,mos,~50%)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1PN-21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1PN-22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1PN-23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46,XY, -Yp(×0,mos,~50%), -Yq(×0,mos,~40%)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FP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1PN-24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52,XX,+7(×5),+18(×5)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51,XX,+7(×4),+18(×5)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TP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1PN-25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1PN-26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  <w:tr w:rsidR="00BE18C2">
        <w:trPr>
          <w:trHeight w:val="280"/>
        </w:trPr>
        <w:tc>
          <w:tcPr>
            <w:tcW w:w="156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SimSun" w:eastAsia="SimSun" w:hAnsi="SimSun" w:cs="SimSun" w:hint="eastAsia"/>
                <w:color w:val="000000"/>
                <w:kern w:val="0"/>
                <w:sz w:val="22"/>
                <w:szCs w:val="22"/>
                <w:lang w:val="en-US" w:bidi="ar"/>
              </w:rPr>
              <w:t>1PN-27</w:t>
            </w:r>
          </w:p>
        </w:tc>
        <w:tc>
          <w:tcPr>
            <w:tcW w:w="396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221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46,XY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TN</w:t>
            </w:r>
          </w:p>
        </w:tc>
      </w:tr>
    </w:tbl>
    <w:p w:rsidR="00BE18C2" w:rsidRDefault="00AD65B1">
      <w:pPr>
        <w:widowControl/>
        <w:spacing w:line="480" w:lineRule="auto"/>
        <w:jc w:val="left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</w:rPr>
        <w:t xml:space="preserve">Supplementary Table 4. </w:t>
      </w:r>
      <w:r>
        <w:rPr>
          <w:rFonts w:ascii="Times New Roman" w:hAnsi="Times New Roman" w:cs="Times New Roman"/>
          <w:color w:val="0000FF"/>
        </w:rPr>
        <w:t xml:space="preserve">The </w:t>
      </w:r>
      <w:r>
        <w:rPr>
          <w:rFonts w:ascii="Times New Roman" w:hAnsi="Times New Roman" w:cs="Times New Roman" w:hint="eastAsia"/>
          <w:color w:val="0000FF"/>
          <w:lang w:val="en-US"/>
        </w:rPr>
        <w:t xml:space="preserve">overview of NGS results from SCM and TE </w:t>
      </w:r>
      <w:r>
        <w:rPr>
          <w:rFonts w:ascii="Times New Roman" w:hAnsi="Times New Roman" w:cs="Times New Roman" w:hint="eastAsia"/>
          <w:color w:val="0000FF"/>
        </w:rPr>
        <w:t>in 27 donated 1PN embryos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2694"/>
      </w:tblGrid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Samples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SCM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18"/>
                <w:szCs w:val="18"/>
              </w:rPr>
              <w:t>TE</w:t>
            </w:r>
          </w:p>
        </w:tc>
      </w:tr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WGA success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rate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96.3% 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6/27)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100% 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7/27)</w:t>
            </w:r>
          </w:p>
        </w:tc>
      </w:tr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E18C2" w:rsidRDefault="00AD65B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XX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57.7% 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5/26)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55.6% 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5/27)</w:t>
            </w:r>
          </w:p>
        </w:tc>
      </w:tr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XY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42.3% 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1/26)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44.4% (12/27)</w:t>
            </w:r>
          </w:p>
        </w:tc>
      </w:tr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Sex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concordance rate</w:t>
            </w:r>
          </w:p>
        </w:tc>
        <w:tc>
          <w:tcPr>
            <w:tcW w:w="5245" w:type="dxa"/>
            <w:gridSpan w:val="2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00% (26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26)</w:t>
            </w:r>
          </w:p>
        </w:tc>
      </w:tr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Ploidy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E18C2" w:rsidRDefault="00AD65B1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ind w:firstLineChars="100" w:firstLine="180"/>
              <w:jc w:val="left"/>
              <w:textAlignment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Euploid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42.3% 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1/26)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74.1% (20/27)</w:t>
            </w:r>
          </w:p>
        </w:tc>
      </w:tr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ind w:firstLineChars="100" w:firstLine="18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Aneuploid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26.9% 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/26)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25.9% 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/27)</w:t>
            </w:r>
          </w:p>
        </w:tc>
      </w:tr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ind w:firstLineChars="100" w:firstLine="180"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Mosacism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30.8% 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/26)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0% (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/27)</w:t>
            </w:r>
          </w:p>
        </w:tc>
      </w:tr>
      <w:tr w:rsidR="00BE18C2">
        <w:trPr>
          <w:trHeight w:val="280"/>
        </w:trPr>
        <w:tc>
          <w:tcPr>
            <w:tcW w:w="1980" w:type="dxa"/>
            <w:shd w:val="clear" w:color="auto" w:fill="auto"/>
            <w:noWrap/>
          </w:tcPr>
          <w:p w:rsidR="00BE18C2" w:rsidRDefault="00AD65B1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Ploidy concordance rate</w:t>
            </w:r>
          </w:p>
        </w:tc>
        <w:tc>
          <w:tcPr>
            <w:tcW w:w="5245" w:type="dxa"/>
            <w:gridSpan w:val="2"/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</w:rPr>
              <w:t>69.2% (18/26)</w:t>
            </w:r>
          </w:p>
        </w:tc>
      </w:tr>
    </w:tbl>
    <w:p w:rsidR="00BE18C2" w:rsidRDefault="00AD65B1">
      <w:pPr>
        <w:widowControl/>
        <w:spacing w:line="480" w:lineRule="auto"/>
        <w:jc w:val="left"/>
        <w:rPr>
          <w:rFonts w:ascii="Times New Roman" w:eastAsiaTheme="minorHAnsi" w:hAnsi="Times New Roman" w:cs="Times New Roman"/>
          <w:b/>
          <w:bCs/>
          <w:color w:val="000000" w:themeColor="text1"/>
        </w:rPr>
      </w:pPr>
      <w:r>
        <w:rPr>
          <w:rFonts w:ascii="Times New Roman" w:eastAsiaTheme="minorHAnsi" w:hAnsi="Times New Roman"/>
          <w:b/>
          <w:bCs/>
          <w:color w:val="000000" w:themeColor="text1"/>
        </w:rPr>
        <w:br w:type="page"/>
      </w:r>
    </w:p>
    <w:p w:rsidR="00BE18C2" w:rsidRDefault="00AD65B1">
      <w:pPr>
        <w:pStyle w:val="BodyText"/>
        <w:spacing w:line="480" w:lineRule="auto"/>
        <w:contextualSpacing/>
        <w:rPr>
          <w:rFonts w:ascii="Times New Roman" w:eastAsiaTheme="minorHAnsi" w:hAnsi="Times New Roman"/>
          <w:color w:val="000000" w:themeColor="text1"/>
          <w:kern w:val="2"/>
          <w:szCs w:val="24"/>
        </w:rPr>
      </w:pPr>
      <w:bookmarkStart w:id="4" w:name="_Hlk100119669"/>
      <w:r>
        <w:rPr>
          <w:rFonts w:ascii="Times New Roman" w:eastAsiaTheme="minorHAnsi" w:hAnsi="Times New Roman"/>
          <w:b/>
          <w:bCs/>
          <w:color w:val="000000" w:themeColor="text1"/>
          <w:kern w:val="2"/>
          <w:szCs w:val="24"/>
        </w:rPr>
        <w:t xml:space="preserve">Supplementary Table 5. </w:t>
      </w:r>
      <w:r>
        <w:rPr>
          <w:rFonts w:ascii="Times New Roman" w:eastAsiaTheme="minorHAnsi" w:hAnsi="Times New Roman"/>
          <w:color w:val="000000" w:themeColor="text1"/>
          <w:kern w:val="2"/>
          <w:szCs w:val="24"/>
        </w:rPr>
        <w:t xml:space="preserve">The CNV results, parental contamination </w:t>
      </w:r>
      <w:r>
        <w:rPr>
          <w:rFonts w:ascii="Times New Roman" w:eastAsiaTheme="minorHAnsi" w:hAnsi="Times New Roman"/>
          <w:color w:val="000000" w:themeColor="text1"/>
          <w:kern w:val="2"/>
          <w:szCs w:val="24"/>
        </w:rPr>
        <w:t>and other information forms of 161 clinical IVF samples</w:t>
      </w:r>
    </w:p>
    <w:bookmarkEnd w:id="4"/>
    <w:p w:rsidR="00BE18C2" w:rsidRDefault="00AD65B1">
      <w:pPr>
        <w:widowControl/>
        <w:spacing w:line="480" w:lineRule="auto"/>
        <w:jc w:val="left"/>
        <w:rPr>
          <w:rFonts w:ascii="Times New Roman" w:eastAsiaTheme="minorHAnsi" w:hAnsi="Times New Roman" w:cs="Times New Roman"/>
          <w:b/>
          <w:bCs/>
        </w:rPr>
      </w:pPr>
      <w:r>
        <w:rPr>
          <w:rFonts w:ascii="Times New Roman" w:eastAsiaTheme="minorHAnsi" w:hAnsi="Times New Roman"/>
          <w:b/>
          <w:bCs/>
        </w:rPr>
        <w:br w:type="page"/>
      </w:r>
    </w:p>
    <w:p w:rsidR="00BE18C2" w:rsidRDefault="00AD65B1">
      <w:pPr>
        <w:spacing w:line="480" w:lineRule="auto"/>
        <w:contextualSpacing/>
        <w:jc w:val="left"/>
        <w:rPr>
          <w:rFonts w:ascii="Times New Roman" w:eastAsiaTheme="minorHAnsi" w:hAnsi="Times New Roman" w:cs="Times New Roman"/>
          <w:color w:val="000000" w:themeColor="text1"/>
        </w:rPr>
      </w:pPr>
      <w:bookmarkStart w:id="5" w:name="_Hlk100119992"/>
      <w:r>
        <w:rPr>
          <w:rFonts w:ascii="Times New Roman" w:eastAsiaTheme="minorHAnsi" w:hAnsi="Times New Roman"/>
          <w:b/>
          <w:bCs/>
        </w:rPr>
        <w:t>Supplementary Table 6</w:t>
      </w:r>
      <w:r>
        <w:rPr>
          <w:rFonts w:ascii="Times New Roman" w:eastAsiaTheme="minorHAnsi" w:hAnsi="Times New Roman" w:cs="Times New Roman"/>
          <w:b/>
          <w:bCs/>
          <w:color w:val="000000" w:themeColor="text1"/>
        </w:rPr>
        <w:t>.</w:t>
      </w:r>
      <w:r>
        <w:rPr>
          <w:rFonts w:ascii="Times New Roman" w:eastAsia="DengXian" w:hAnsi="Times New Roman" w:cs="Times New Roman"/>
          <w:color w:val="000000"/>
        </w:rPr>
        <w:t xml:space="preserve"> </w:t>
      </w:r>
      <w:r>
        <w:rPr>
          <w:rFonts w:ascii="Times New Roman" w:eastAsiaTheme="minorHAnsi" w:hAnsi="Times New Roman" w:cs="Times New Roman"/>
          <w:color w:val="000000" w:themeColor="text1"/>
        </w:rPr>
        <w:t>Comparison of maternal contamination between fresh embryos and frozen embryos</w:t>
      </w:r>
    </w:p>
    <w:tbl>
      <w:tblPr>
        <w:tblW w:w="8556" w:type="dxa"/>
        <w:tblLook w:val="04A0" w:firstRow="1" w:lastRow="0" w:firstColumn="1" w:lastColumn="0" w:noHBand="0" w:noVBand="1"/>
      </w:tblPr>
      <w:tblGrid>
        <w:gridCol w:w="1876"/>
        <w:gridCol w:w="2235"/>
        <w:gridCol w:w="2235"/>
        <w:gridCol w:w="2210"/>
      </w:tblGrid>
      <w:tr w:rsidR="00BE18C2">
        <w:trPr>
          <w:trHeight w:val="340"/>
        </w:trPr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5"/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mbryos (n)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</w:rPr>
              <w:t>Maternal contamination ratio&lt;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30%, % (95% CI)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</w:rPr>
              <w:t xml:space="preserve">Maternal contamination ratio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≥30%, %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(95% CI)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ll,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% (95% CI)</w:t>
            </w:r>
          </w:p>
        </w:tc>
      </w:tr>
      <w:tr w:rsidR="00BE18C2">
        <w:trPr>
          <w:trHeight w:val="173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</w:rPr>
              <w:t>Fresh embryos (106)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19.8 (13.3–28.4)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16.0 (10.3–24.2)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35.8 (27.4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45.3)</w:t>
            </w:r>
          </w:p>
        </w:tc>
      </w:tr>
      <w:tr w:rsidR="00BE18C2">
        <w:trPr>
          <w:trHeight w:val="173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 w:themeColor="text1"/>
                <w:sz w:val="18"/>
                <w:szCs w:val="18"/>
              </w:rPr>
              <w:t>Frozen embryos (52)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9.6 (4.2–20.6)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9.6 (4.2–20.6)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19.2 (10.8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31.9)</w:t>
            </w:r>
          </w:p>
        </w:tc>
      </w:tr>
      <w:tr w:rsidR="00BE18C2">
        <w:trPr>
          <w:trHeight w:val="60"/>
        </w:trPr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 value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0.104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0.273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</w:rPr>
              <w:t>0.033</w:t>
            </w:r>
          </w:p>
        </w:tc>
      </w:tr>
    </w:tbl>
    <w:p w:rsidR="00BE18C2" w:rsidRDefault="00AD65B1">
      <w:pPr>
        <w:widowControl/>
        <w:spacing w:line="480" w:lineRule="auto"/>
        <w:jc w:val="left"/>
        <w:rPr>
          <w:rFonts w:ascii="Times New Roman" w:eastAsiaTheme="minorHAnsi" w:hAnsi="Times New Roman" w:cs="Times New Roman"/>
          <w:b/>
          <w:bCs/>
        </w:rPr>
      </w:pPr>
      <w:r>
        <w:rPr>
          <w:rFonts w:ascii="Times New Roman" w:eastAsiaTheme="minorHAnsi" w:hAnsi="Times New Roman"/>
          <w:b/>
          <w:bCs/>
        </w:rPr>
        <w:br w:type="page"/>
      </w:r>
    </w:p>
    <w:p w:rsidR="00BE18C2" w:rsidRDefault="00AD65B1">
      <w:pPr>
        <w:pStyle w:val="BodyText"/>
        <w:spacing w:line="480" w:lineRule="auto"/>
        <w:contextualSpacing/>
        <w:rPr>
          <w:rFonts w:ascii="Times New Roman" w:eastAsiaTheme="minorHAnsi" w:hAnsi="Times New Roman"/>
          <w:b/>
          <w:bCs/>
          <w:color w:val="auto"/>
          <w:kern w:val="2"/>
          <w:szCs w:val="24"/>
        </w:rPr>
      </w:pPr>
      <w:bookmarkStart w:id="6" w:name="_Hlk100119997"/>
      <w:r>
        <w:rPr>
          <w:rFonts w:ascii="Times New Roman" w:eastAsiaTheme="minorHAnsi" w:hAnsi="Times New Roman"/>
          <w:b/>
          <w:bCs/>
          <w:color w:val="auto"/>
          <w:kern w:val="2"/>
          <w:szCs w:val="24"/>
        </w:rPr>
        <w:t xml:space="preserve">Supplementary Table 7. </w:t>
      </w:r>
      <w:r>
        <w:rPr>
          <w:rFonts w:ascii="Times New Roman" w:eastAsiaTheme="minorHAnsi" w:hAnsi="Times New Roman"/>
          <w:color w:val="auto"/>
          <w:kern w:val="2"/>
          <w:szCs w:val="24"/>
        </w:rPr>
        <w:t xml:space="preserve">Clinical baseline characteristics of </w:t>
      </w:r>
      <w:r>
        <w:rPr>
          <w:rFonts w:ascii="Times New Roman" w:eastAsiaTheme="minorHAnsi" w:hAnsi="Times New Roman"/>
          <w:color w:val="auto"/>
          <w:kern w:val="2"/>
          <w:szCs w:val="24"/>
        </w:rPr>
        <w:t>patients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417"/>
        <w:gridCol w:w="1134"/>
      </w:tblGrid>
      <w:tr w:rsidR="00BE18C2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bookmarkEnd w:id="6"/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IVF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ICSI</w:t>
            </w:r>
          </w:p>
        </w:tc>
      </w:tr>
      <w:tr w:rsidR="00BE18C2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No. of cycles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(patients)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</w:tr>
      <w:tr w:rsidR="00BE18C2">
        <w:tc>
          <w:tcPr>
            <w:tcW w:w="269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Mean female age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(SD),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1417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35.7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(4.1)</w:t>
            </w:r>
          </w:p>
        </w:tc>
        <w:tc>
          <w:tcPr>
            <w:tcW w:w="113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35.4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(5.1)</w:t>
            </w:r>
          </w:p>
        </w:tc>
      </w:tr>
      <w:tr w:rsidR="00BE18C2">
        <w:tc>
          <w:tcPr>
            <w:tcW w:w="269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Mean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male age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(SD),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y</w:t>
            </w:r>
          </w:p>
        </w:tc>
        <w:tc>
          <w:tcPr>
            <w:tcW w:w="1417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35.4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(4.9)</w:t>
            </w:r>
          </w:p>
        </w:tc>
        <w:tc>
          <w:tcPr>
            <w:tcW w:w="113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36.7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(5.4)</w:t>
            </w:r>
          </w:p>
        </w:tc>
      </w:tr>
      <w:tr w:rsidR="00BE18C2">
        <w:tc>
          <w:tcPr>
            <w:tcW w:w="269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Mean female BM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I(SD), kg/m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22.0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(3.0)</w:t>
            </w:r>
          </w:p>
        </w:tc>
        <w:tc>
          <w:tcPr>
            <w:tcW w:w="113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21.9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(2.6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BE18C2">
        <w:tc>
          <w:tcPr>
            <w:tcW w:w="5245" w:type="dxa"/>
            <w:gridSpan w:val="3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rimary PGT-A indication</w:t>
            </w:r>
          </w:p>
        </w:tc>
      </w:tr>
      <w:tr w:rsidR="00BE18C2">
        <w:tc>
          <w:tcPr>
            <w:tcW w:w="269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AMA</w:t>
            </w:r>
          </w:p>
        </w:tc>
        <w:tc>
          <w:tcPr>
            <w:tcW w:w="1417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BE18C2">
        <w:tc>
          <w:tcPr>
            <w:tcW w:w="269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RIF</w:t>
            </w:r>
          </w:p>
        </w:tc>
        <w:tc>
          <w:tcPr>
            <w:tcW w:w="1417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BE18C2">
        <w:tc>
          <w:tcPr>
            <w:tcW w:w="269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RPL</w:t>
            </w:r>
          </w:p>
        </w:tc>
        <w:tc>
          <w:tcPr>
            <w:tcW w:w="1417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BE18C2">
        <w:tc>
          <w:tcPr>
            <w:tcW w:w="269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Mixed caused</w:t>
            </w:r>
          </w:p>
        </w:tc>
        <w:tc>
          <w:tcPr>
            <w:tcW w:w="1417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BE18C2">
        <w:tc>
          <w:tcPr>
            <w:tcW w:w="269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Male factor infertility</w:t>
            </w:r>
          </w:p>
        </w:tc>
        <w:tc>
          <w:tcPr>
            <w:tcW w:w="1417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BE18C2">
        <w:tc>
          <w:tcPr>
            <w:tcW w:w="269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Previous aneuploid conception</w:t>
            </w:r>
          </w:p>
        </w:tc>
        <w:tc>
          <w:tcPr>
            <w:tcW w:w="1417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</w:tbl>
    <w:p w:rsidR="00BE18C2" w:rsidRDefault="00AD65B1">
      <w:pPr>
        <w:widowControl/>
        <w:spacing w:line="480" w:lineRule="auto"/>
        <w:jc w:val="left"/>
        <w:rPr>
          <w:rFonts w:ascii="Times New Roman" w:eastAsiaTheme="minorHAnsi" w:hAnsi="Times New Roman" w:cs="Times New Roman"/>
          <w:b/>
          <w:bCs/>
        </w:rPr>
      </w:pPr>
      <w:r>
        <w:rPr>
          <w:rFonts w:ascii="Times New Roman" w:eastAsiaTheme="minorHAnsi" w:hAnsi="Times New Roman"/>
          <w:b/>
          <w:bCs/>
        </w:rPr>
        <w:br w:type="page"/>
      </w:r>
    </w:p>
    <w:p w:rsidR="00BE18C2" w:rsidRDefault="00AD65B1">
      <w:pPr>
        <w:widowControl/>
        <w:spacing w:line="480" w:lineRule="auto"/>
        <w:contextualSpacing/>
        <w:jc w:val="left"/>
        <w:rPr>
          <w:rFonts w:ascii="Times New Roman" w:eastAsiaTheme="minorHAnsi" w:hAnsi="Times New Roman"/>
          <w:color w:val="000000" w:themeColor="text1"/>
        </w:rPr>
      </w:pPr>
      <w:bookmarkStart w:id="7" w:name="_Hlk100120002"/>
      <w:r>
        <w:rPr>
          <w:rFonts w:ascii="Times New Roman" w:eastAsiaTheme="minorHAnsi" w:hAnsi="Times New Roman"/>
          <w:b/>
          <w:bCs/>
        </w:rPr>
        <w:t xml:space="preserve">Supplementary Table 8. </w:t>
      </w:r>
      <w:r>
        <w:rPr>
          <w:rFonts w:ascii="Times New Roman" w:eastAsiaTheme="minorHAnsi" w:hAnsi="Times New Roman"/>
          <w:color w:val="000000" w:themeColor="text1"/>
        </w:rPr>
        <w:t>The CNV results and other information forms of 122 ICSI samples</w:t>
      </w:r>
    </w:p>
    <w:bookmarkEnd w:id="7"/>
    <w:p w:rsidR="00BE18C2" w:rsidRDefault="00AD65B1">
      <w:pPr>
        <w:widowControl/>
        <w:spacing w:line="480" w:lineRule="auto"/>
        <w:contextualSpacing/>
        <w:jc w:val="left"/>
        <w:rPr>
          <w:rFonts w:ascii="Times New Roman" w:eastAsiaTheme="minorHAnsi" w:hAnsi="Times New Roman" w:cs="Times New Roman"/>
          <w:b/>
          <w:bCs/>
        </w:rPr>
      </w:pPr>
      <w:r>
        <w:rPr>
          <w:rFonts w:ascii="Times New Roman" w:eastAsiaTheme="minorHAnsi" w:hAnsi="Times New Roman"/>
          <w:b/>
          <w:bCs/>
        </w:rPr>
        <w:br w:type="page"/>
      </w:r>
    </w:p>
    <w:p w:rsidR="00BE18C2" w:rsidRDefault="00AD65B1">
      <w:pPr>
        <w:rPr>
          <w:rFonts w:ascii="Times New Roman" w:eastAsiaTheme="minorHAnsi" w:hAnsi="Times New Roman"/>
          <w:b/>
          <w:bCs/>
        </w:rPr>
      </w:pPr>
      <w:bookmarkStart w:id="8" w:name="_Hlk100120007"/>
      <w:r>
        <w:rPr>
          <w:rFonts w:ascii="Times New Roman" w:eastAsiaTheme="minorHAnsi" w:hAnsi="Times New Roman"/>
          <w:b/>
          <w:bCs/>
        </w:rPr>
        <w:br w:type="page"/>
      </w:r>
    </w:p>
    <w:p w:rsidR="00BE18C2" w:rsidRDefault="00BE18C2">
      <w:pPr>
        <w:spacing w:line="480" w:lineRule="auto"/>
        <w:contextualSpacing/>
        <w:jc w:val="left"/>
        <w:rPr>
          <w:rFonts w:ascii="Times New Roman" w:eastAsiaTheme="minorHAnsi" w:hAnsi="Times New Roman"/>
          <w:b/>
          <w:bCs/>
        </w:rPr>
        <w:sectPr w:rsidR="00BE18C2" w:rsidSect="00AD65B1">
          <w:footerReference w:type="default" r:id="rId6"/>
          <w:type w:val="continuous"/>
          <w:pgSz w:w="11906" w:h="16838"/>
          <w:pgMar w:top="1440" w:right="1440" w:bottom="1440" w:left="1440" w:header="851" w:footer="992" w:gutter="0"/>
          <w:paperSrc w:first="259"/>
          <w:cols w:space="425"/>
          <w:docGrid w:type="linesAndChars" w:linePitch="326"/>
        </w:sectPr>
      </w:pPr>
    </w:p>
    <w:p w:rsidR="00BE18C2" w:rsidRDefault="00AD65B1">
      <w:pPr>
        <w:spacing w:line="480" w:lineRule="auto"/>
        <w:contextualSpacing/>
        <w:jc w:val="left"/>
        <w:rPr>
          <w:rFonts w:ascii="Times New Roman" w:eastAsia="DengXian" w:hAnsi="Times New Roman"/>
        </w:rPr>
      </w:pPr>
      <w:r>
        <w:rPr>
          <w:rFonts w:ascii="Times New Roman" w:eastAsiaTheme="minorHAnsi" w:hAnsi="Times New Roman"/>
          <w:b/>
          <w:bCs/>
        </w:rPr>
        <w:t>Supplementary</w:t>
      </w:r>
      <w:r>
        <w:rPr>
          <w:rFonts w:ascii="Times New Roman" w:eastAsiaTheme="minorHAnsi" w:hAnsi="Times New Roman"/>
          <w:b/>
          <w:bCs/>
          <w:color w:val="000000" w:themeColor="text1"/>
        </w:rPr>
        <w:t xml:space="preserve"> </w:t>
      </w:r>
      <w:r>
        <w:rPr>
          <w:rFonts w:ascii="Times New Roman" w:eastAsiaTheme="minorHAnsi" w:hAnsi="Times New Roman"/>
          <w:b/>
          <w:bCs/>
        </w:rPr>
        <w:t>Table 9.</w:t>
      </w:r>
      <w:r>
        <w:rPr>
          <w:rFonts w:ascii="Times New Roman" w:eastAsia="DengXian" w:hAnsi="Times New Roman"/>
          <w:b/>
          <w:bCs/>
        </w:rPr>
        <w:t xml:space="preserve"> </w:t>
      </w:r>
      <w:r>
        <w:rPr>
          <w:rFonts w:ascii="Times New Roman" w:eastAsia="DengXian" w:hAnsi="Times New Roman" w:hint="eastAsia"/>
          <w:bCs/>
          <w:color w:val="0000FF"/>
          <w:lang w:val="en-US"/>
        </w:rPr>
        <w:t xml:space="preserve"> </w:t>
      </w:r>
      <w:r>
        <w:rPr>
          <w:rFonts w:ascii="Times New Roman" w:eastAsia="SimSun" w:hAnsi="Times New Roman" w:cs="Times New Roman"/>
          <w:bCs/>
          <w:kern w:val="0"/>
          <w:szCs w:val="20"/>
          <w:lang w:val="en-US"/>
        </w:rPr>
        <w:t xml:space="preserve">Comparison of the diagnostic parameters </w:t>
      </w:r>
      <w:r>
        <w:rPr>
          <w:rFonts w:ascii="Times New Roman" w:eastAsia="SimSun" w:hAnsi="Times New Roman" w:cs="Times New Roman" w:hint="eastAsia"/>
          <w:bCs/>
          <w:kern w:val="0"/>
          <w:szCs w:val="20"/>
          <w:lang w:val="en-US"/>
        </w:rPr>
        <w:t xml:space="preserve">of SCM from </w:t>
      </w:r>
      <w:r>
        <w:rPr>
          <w:rFonts w:ascii="Times New Roman" w:hAnsi="Times New Roman" w:hint="eastAsia"/>
          <w:bCs/>
          <w:lang w:val="en-US"/>
        </w:rPr>
        <w:t>different blastocyst quality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eastAsia="SimSun" w:hAnsi="Times New Roman" w:cs="Times New Roman" w:hint="eastAsia"/>
          <w:lang w:val="en-US"/>
        </w:rPr>
        <w:t>and</w:t>
      </w:r>
      <w:r>
        <w:rPr>
          <w:rFonts w:ascii="Times New Roman" w:eastAsiaTheme="minorHAnsi" w:hAnsi="Times New Roman" w:cs="Times New Roman"/>
        </w:rPr>
        <w:t xml:space="preserve"> different sampling times</w:t>
      </w:r>
      <w:r>
        <w:rPr>
          <w:rFonts w:ascii="Times New Roman" w:eastAsia="SimSun" w:hAnsi="Times New Roman" w:cs="Times New Roman" w:hint="eastAsia"/>
          <w:lang w:val="en-US"/>
        </w:rPr>
        <w:t xml:space="preserve"> </w:t>
      </w:r>
      <w:r>
        <w:rPr>
          <w:rFonts w:ascii="Times New Roman" w:eastAsia="DengXian" w:hAnsi="Times New Roman"/>
        </w:rPr>
        <w:t xml:space="preserve">in </w:t>
      </w:r>
      <w:r>
        <w:rPr>
          <w:rFonts w:ascii="Times New Roman" w:eastAsiaTheme="minorHAnsi" w:hAnsi="Times New Roman"/>
        </w:rPr>
        <w:t>161 clinical IVF samples</w:t>
      </w:r>
      <w:r>
        <w:rPr>
          <w:rFonts w:ascii="Times New Roman" w:hAnsi="Times New Roman" w:hint="eastAsia"/>
          <w:lang w:val="en-US"/>
        </w:rPr>
        <w:t xml:space="preserve"> </w:t>
      </w:r>
    </w:p>
    <w:tbl>
      <w:tblPr>
        <w:tblW w:w="15075" w:type="dxa"/>
        <w:tblInd w:w="93" w:type="dxa"/>
        <w:tblLook w:val="04A0" w:firstRow="1" w:lastRow="0" w:firstColumn="1" w:lastColumn="0" w:noHBand="0" w:noVBand="1"/>
      </w:tblPr>
      <w:tblGrid>
        <w:gridCol w:w="1012"/>
        <w:gridCol w:w="1901"/>
        <w:gridCol w:w="1896"/>
        <w:gridCol w:w="1518"/>
        <w:gridCol w:w="1965"/>
        <w:gridCol w:w="1686"/>
        <w:gridCol w:w="1920"/>
        <w:gridCol w:w="1566"/>
        <w:gridCol w:w="1611"/>
      </w:tblGrid>
      <w:tr w:rsidR="00BE18C2">
        <w:trPr>
          <w:trHeight w:val="315"/>
        </w:trPr>
        <w:tc>
          <w:tcPr>
            <w:tcW w:w="101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BE18C2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NICS amplification success rate, % (95%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 xml:space="preserve"> CI)</w:t>
            </w:r>
          </w:p>
        </w:tc>
        <w:tc>
          <w:tcPr>
            <w:tcW w:w="18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TE Amplification success rate, % (95% CI)</w:t>
            </w:r>
          </w:p>
        </w:tc>
        <w:tc>
          <w:tcPr>
            <w:tcW w:w="15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analyzed samples(n)</w:t>
            </w:r>
          </w:p>
        </w:tc>
        <w:tc>
          <w:tcPr>
            <w:tcW w:w="19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Concordance,% (95% CI)</w:t>
            </w:r>
          </w:p>
        </w:tc>
        <w:tc>
          <w:tcPr>
            <w:tcW w:w="16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Sensitivity,% (95% CI)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Specificity,% (95% CI)</w:t>
            </w:r>
          </w:p>
        </w:tc>
        <w:tc>
          <w:tcPr>
            <w:tcW w:w="15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PPV,% (95% CI)</w:t>
            </w:r>
          </w:p>
        </w:tc>
        <w:tc>
          <w:tcPr>
            <w:tcW w:w="16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NPV,% (95% CI)</w:t>
            </w:r>
          </w:p>
        </w:tc>
      </w:tr>
      <w:tr w:rsidR="00BE18C2">
        <w:trPr>
          <w:trHeight w:val="285"/>
        </w:trPr>
        <w:tc>
          <w:tcPr>
            <w:tcW w:w="101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BE18C2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BE18C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BE18C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BE18C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BE18C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BE18C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BE18C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BE18C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BE18C2">
            <w:pPr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E18C2">
        <w:trPr>
          <w:trHeight w:val="420"/>
        </w:trPr>
        <w:tc>
          <w:tcPr>
            <w:tcW w:w="15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bidi="ar"/>
              </w:rPr>
              <w:t>Quality grade (n)</w:t>
            </w:r>
          </w:p>
        </w:tc>
      </w:tr>
      <w:tr w:rsidR="00BE18C2">
        <w:trPr>
          <w:trHeight w:val="480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Good (51)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82.4 (69.7–90.4)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98.0 (89.7–99.9</w:t>
            </w: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val="en-US" w:bidi="ar"/>
              </w:rPr>
              <w:t>）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Good (41)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 xml:space="preserve">70.7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(55.5–82.4)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81.8 (52.3–96.8)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66.7 (48.8–80.8)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47.4 (27.3–68.3)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90.9 (72.2–98.4)</w:t>
            </w:r>
          </w:p>
        </w:tc>
      </w:tr>
      <w:tr w:rsidR="00BE18C2">
        <w:trPr>
          <w:trHeight w:val="480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Fair (62)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95.2 (86.7–98.7)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96.8 (89.0–99.4)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Fair (57)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71.9 (59.2–81.9)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94.7 (75.4–99.7)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60.5 (44.7–74.4)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54.6 (38.0–70.2)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95.8 (79.8–99.8)</w:t>
            </w:r>
          </w:p>
        </w:tc>
      </w:tr>
      <w:tr w:rsidR="00BE18C2">
        <w:trPr>
          <w:trHeight w:val="480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Poor (48)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95.8 (86.0–99.3)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 xml:space="preserve">100.0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(92.6–100</w:t>
            </w: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val="en-US" w:bidi="ar"/>
              </w:rPr>
              <w:t>）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Poor (46)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82.6 (69.3–90.9)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92.9 (77.4–98.7)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66.7 (43.8–83.7)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81.3 (64.7–91.1)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85.7 (60.1–97.5)</w:t>
            </w:r>
          </w:p>
        </w:tc>
      </w:tr>
      <w:tr w:rsidR="00BE18C2">
        <w:trPr>
          <w:trHeight w:val="300"/>
        </w:trPr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p value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0.037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0.778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BE18C2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0.621</w:t>
            </w:r>
          </w:p>
        </w:tc>
      </w:tr>
      <w:tr w:rsidR="00BE18C2">
        <w:trPr>
          <w:trHeight w:val="480"/>
        </w:trPr>
        <w:tc>
          <w:tcPr>
            <w:tcW w:w="150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bidi="ar"/>
              </w:rPr>
              <w:t>Day of blastocyst biopsy</w:t>
            </w: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18"/>
                <w:szCs w:val="18"/>
                <w:lang w:val="en-US" w:bidi="ar"/>
              </w:rPr>
              <w:t>（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 w:bidi="ar"/>
              </w:rPr>
              <w:t>n</w:t>
            </w:r>
            <w:r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18"/>
                <w:szCs w:val="18"/>
                <w:lang w:val="en-US" w:bidi="ar"/>
              </w:rPr>
              <w:t>）</w:t>
            </w:r>
          </w:p>
        </w:tc>
      </w:tr>
      <w:tr w:rsidR="00BE18C2">
        <w:trPr>
          <w:trHeight w:val="480"/>
        </w:trPr>
        <w:tc>
          <w:tcPr>
            <w:tcW w:w="10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BE18C2" w:rsidRDefault="00AD65B1">
            <w:pPr>
              <w:widowControl/>
              <w:jc w:val="left"/>
              <w:textAlignment w:val="top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D5 (21)</w:t>
            </w:r>
          </w:p>
        </w:tc>
        <w:tc>
          <w:tcPr>
            <w:tcW w:w="19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81.0 (60.0–92.3</w:t>
            </w: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val="en-US" w:bidi="ar"/>
              </w:rPr>
              <w:t>）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100.0 (84.5–100)</w:t>
            </w:r>
          </w:p>
        </w:tc>
        <w:tc>
          <w:tcPr>
            <w:tcW w:w="15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BE18C2" w:rsidRDefault="00AD65B1">
            <w:pPr>
              <w:widowControl/>
              <w:jc w:val="left"/>
              <w:textAlignment w:val="top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D5 (17)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76.5 (52.7–90.4)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100.0% (67.6–100)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55.6% (26.7–81.1)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66.7% (39.1–86.2)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100.0% (56.6–100)</w:t>
            </w:r>
          </w:p>
        </w:tc>
      </w:tr>
      <w:tr w:rsidR="00BE18C2">
        <w:trPr>
          <w:trHeight w:val="480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8C2" w:rsidRDefault="00AD65B1">
            <w:pPr>
              <w:widowControl/>
              <w:jc w:val="left"/>
              <w:textAlignment w:val="top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D6 (125)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92.0 (85.9–95.6)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98.4 (94.4–99.7)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8C2" w:rsidRDefault="00AD65B1">
            <w:pPr>
              <w:widowControl/>
              <w:jc w:val="left"/>
              <w:textAlignment w:val="top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D6 (113)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75.2 (66.5–82.3)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90.5% (77.9–96.2)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66.2% (54.6–76.1)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61.3% (48.9–72.4)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92.2% (81.5–96.9)</w:t>
            </w:r>
          </w:p>
        </w:tc>
      </w:tr>
      <w:tr w:rsidR="00BE18C2">
        <w:trPr>
          <w:trHeight w:val="480"/>
        </w:trPr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8C2" w:rsidRDefault="00AD65B1">
            <w:pPr>
              <w:widowControl/>
              <w:jc w:val="left"/>
              <w:textAlignment w:val="top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D7 (15)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100.0 (79.6–100)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 xml:space="preserve">93.3%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(70.2–99.7)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18C2" w:rsidRDefault="00AD65B1">
            <w:pPr>
              <w:widowControl/>
              <w:jc w:val="left"/>
              <w:textAlignment w:val="top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D7 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71.4 (45.4–88.3)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87.5% (52.9–99.4</w:t>
            </w:r>
            <w:r>
              <w:rPr>
                <w:rFonts w:ascii="DengXian" w:eastAsia="DengXian" w:hAnsi="DengXian" w:cs="DengXian" w:hint="eastAsia"/>
                <w:color w:val="000000"/>
                <w:kern w:val="0"/>
                <w:sz w:val="18"/>
                <w:szCs w:val="18"/>
                <w:lang w:val="en-US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50.0% (18.8–81.2)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70.0% (39.7–89.2)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75.0% (30.1–98.7)</w:t>
            </w:r>
          </w:p>
        </w:tc>
      </w:tr>
      <w:tr w:rsidR="00BE18C2">
        <w:trPr>
          <w:trHeight w:val="300"/>
        </w:trPr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BE18C2" w:rsidRDefault="00AD65B1">
            <w:pPr>
              <w:widowControl/>
              <w:jc w:val="left"/>
              <w:textAlignment w:val="top"/>
              <w:rPr>
                <w:rFonts w:ascii="Times New Roman" w:eastAsia="DengXi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8"/>
                <w:szCs w:val="18"/>
                <w:lang w:val="en-US" w:bidi="ar"/>
              </w:rPr>
              <w:t>p value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strike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  <w:lang w:val="en-US" w:bidi="ar"/>
              </w:rPr>
              <w:t>0.120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0.296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BE18C2" w:rsidRDefault="00BE18C2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lang w:val="en-US" w:bidi="ar"/>
              </w:rPr>
              <w:t>0.341</w:t>
            </w:r>
          </w:p>
        </w:tc>
      </w:tr>
    </w:tbl>
    <w:p w:rsidR="00BE18C2" w:rsidRDefault="00BE18C2">
      <w:pPr>
        <w:pStyle w:val="BodyText"/>
        <w:spacing w:line="480" w:lineRule="auto"/>
        <w:contextualSpacing/>
        <w:rPr>
          <w:rFonts w:ascii="Times New Roman" w:eastAsia="DengXian" w:hAnsi="Times New Roman"/>
          <w:color w:val="auto"/>
          <w:kern w:val="2"/>
          <w:szCs w:val="24"/>
          <w:lang w:val="en-US"/>
        </w:rPr>
      </w:pPr>
    </w:p>
    <w:bookmarkEnd w:id="8"/>
    <w:p w:rsidR="00BE18C2" w:rsidRDefault="00AD65B1">
      <w:pPr>
        <w:widowControl/>
        <w:spacing w:line="480" w:lineRule="auto"/>
        <w:jc w:val="left"/>
        <w:rPr>
          <w:rFonts w:ascii="Times New Roman" w:eastAsiaTheme="minorHAnsi" w:hAnsi="Times New Roman" w:cs="Times New Roman"/>
          <w:b/>
          <w:bCs/>
        </w:rPr>
      </w:pPr>
      <w:r>
        <w:rPr>
          <w:rFonts w:ascii="Times New Roman" w:eastAsia="SimSun" w:hAnsi="Times New Roman" w:cs="Times New Roman" w:hint="eastAsia"/>
          <w:b/>
          <w:bCs/>
          <w:lang w:val="en-US"/>
        </w:rPr>
        <w:t xml:space="preserve"> </w:t>
      </w:r>
    </w:p>
    <w:p w:rsidR="00BE18C2" w:rsidRDefault="00AD65B1">
      <w:pPr>
        <w:widowControl/>
        <w:spacing w:line="480" w:lineRule="auto"/>
        <w:jc w:val="left"/>
        <w:rPr>
          <w:rFonts w:ascii="Times New Roman" w:eastAsiaTheme="minorHAnsi" w:hAnsi="Times New Roman" w:cs="Times New Roman"/>
          <w:b/>
          <w:bCs/>
        </w:rPr>
      </w:pPr>
      <w:r>
        <w:rPr>
          <w:rFonts w:ascii="Times New Roman" w:eastAsiaTheme="minorHAnsi" w:hAnsi="Times New Roman" w:cs="Times New Roman"/>
          <w:b/>
          <w:bCs/>
        </w:rPr>
        <w:br w:type="page"/>
      </w:r>
    </w:p>
    <w:p w:rsidR="00BE18C2" w:rsidRDefault="00AD65B1">
      <w:pPr>
        <w:spacing w:line="480" w:lineRule="auto"/>
        <w:contextualSpacing/>
        <w:jc w:val="left"/>
        <w:rPr>
          <w:rFonts w:ascii="Times New Roman" w:eastAsiaTheme="minorHAnsi" w:hAnsi="Times New Roman" w:cs="Times New Roman"/>
        </w:rPr>
      </w:pPr>
      <w:bookmarkStart w:id="9" w:name="_Hlk100120012"/>
      <w:r>
        <w:rPr>
          <w:rFonts w:ascii="Times New Roman" w:eastAsiaTheme="minorHAnsi" w:hAnsi="Times New Roman" w:cs="Times New Roman"/>
          <w:b/>
          <w:bCs/>
        </w:rPr>
        <w:t xml:space="preserve">Supplementary Table 10. </w:t>
      </w:r>
      <w:r>
        <w:rPr>
          <w:rFonts w:ascii="Times New Roman" w:eastAsiaTheme="minorHAnsi" w:hAnsi="Times New Roman" w:cs="Times New Roman"/>
        </w:rPr>
        <w:t>The TE results of 9 ‘Good’ samples</w:t>
      </w:r>
    </w:p>
    <w:tbl>
      <w:tblPr>
        <w:tblW w:w="7773" w:type="dxa"/>
        <w:tblLook w:val="04A0" w:firstRow="1" w:lastRow="0" w:firstColumn="1" w:lastColumn="0" w:noHBand="0" w:noVBand="1"/>
      </w:tblPr>
      <w:tblGrid>
        <w:gridCol w:w="1668"/>
        <w:gridCol w:w="2083"/>
        <w:gridCol w:w="1494"/>
        <w:gridCol w:w="1293"/>
        <w:gridCol w:w="1235"/>
      </w:tblGrid>
      <w:tr w:rsidR="00BE18C2">
        <w:trPr>
          <w:trHeight w:val="252"/>
        </w:trPr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bookmarkEnd w:id="9"/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Sample ID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TE CNV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NICS CNV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Gardner score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Q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uality grade</w:t>
            </w:r>
          </w:p>
        </w:tc>
      </w:tr>
      <w:tr w:rsidR="00BE18C2">
        <w:trPr>
          <w:trHeight w:val="25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1-4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6AA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</w:tr>
      <w:tr w:rsidR="00BE18C2">
        <w:trPr>
          <w:trHeight w:val="25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5-1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6AB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</w:tr>
      <w:tr w:rsidR="00BE18C2">
        <w:trPr>
          <w:trHeight w:val="25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5-2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6BA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</w:tr>
      <w:tr w:rsidR="00BE18C2">
        <w:trPr>
          <w:trHeight w:val="25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13-4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47,XN,+15(×3)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5AB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</w:tr>
      <w:tr w:rsidR="00BE18C2">
        <w:trPr>
          <w:trHeight w:val="25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14-3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46,XX,-X(×1,mos,~70%)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6BA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</w:tr>
      <w:tr w:rsidR="00BE18C2">
        <w:trPr>
          <w:trHeight w:val="25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14-4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6BA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</w:tr>
      <w:tr w:rsidR="00BE18C2">
        <w:trPr>
          <w:trHeight w:val="25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14-9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6AA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</w:tr>
      <w:tr w:rsidR="00BE18C2">
        <w:trPr>
          <w:trHeight w:val="25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15-1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4BA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</w:tr>
      <w:tr w:rsidR="00BE18C2">
        <w:trPr>
          <w:trHeight w:val="252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15-2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46,XN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N/A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6AA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Good</w:t>
            </w:r>
          </w:p>
        </w:tc>
      </w:tr>
    </w:tbl>
    <w:p w:rsidR="00BE18C2" w:rsidRDefault="00AD65B1">
      <w:pPr>
        <w:widowControl/>
        <w:spacing w:line="480" w:lineRule="auto"/>
        <w:jc w:val="left"/>
        <w:rPr>
          <w:rFonts w:ascii="Times New Roman" w:eastAsiaTheme="minorHAnsi" w:hAnsi="Times New Roman"/>
          <w:b/>
          <w:bCs/>
        </w:rPr>
      </w:pPr>
      <w:r>
        <w:rPr>
          <w:rFonts w:ascii="Times New Roman" w:eastAsiaTheme="minorHAnsi" w:hAnsi="Times New Roman"/>
          <w:b/>
          <w:bCs/>
        </w:rPr>
        <w:br w:type="page"/>
      </w:r>
    </w:p>
    <w:p w:rsidR="00BE18C2" w:rsidRDefault="00AD65B1">
      <w:pPr>
        <w:spacing w:line="480" w:lineRule="auto"/>
        <w:contextualSpacing/>
        <w:jc w:val="left"/>
        <w:rPr>
          <w:rFonts w:ascii="Times New Roman" w:eastAsiaTheme="minorHAnsi" w:hAnsi="Times New Roman"/>
        </w:rPr>
      </w:pPr>
      <w:bookmarkStart w:id="10" w:name="_Hlk100120021"/>
      <w:r>
        <w:rPr>
          <w:rFonts w:ascii="Times New Roman" w:eastAsiaTheme="minorHAnsi" w:hAnsi="Times New Roman"/>
          <w:b/>
          <w:bCs/>
        </w:rPr>
        <w:t>Supplementary Table 1</w:t>
      </w:r>
      <w:r>
        <w:rPr>
          <w:rFonts w:ascii="Times New Roman" w:eastAsia="SimSun" w:hAnsi="Times New Roman" w:hint="eastAsia"/>
          <w:b/>
          <w:bCs/>
          <w:lang w:val="en-US"/>
        </w:rPr>
        <w:t>1</w:t>
      </w:r>
      <w:r>
        <w:rPr>
          <w:rFonts w:ascii="Times New Roman" w:eastAsiaTheme="minorHAnsi" w:hAnsi="Times New Roman"/>
          <w:b/>
          <w:bCs/>
        </w:rPr>
        <w:t xml:space="preserve">. </w:t>
      </w:r>
      <w:r>
        <w:rPr>
          <w:rFonts w:ascii="Times New Roman" w:eastAsiaTheme="minorHAnsi" w:hAnsi="Times New Roman"/>
        </w:rPr>
        <w:t>The proportion of euploid embryos between</w:t>
      </w:r>
      <w:r>
        <w:rPr>
          <w:rFonts w:ascii="Times New Roman" w:eastAsia="DengXian" w:hAnsi="Times New Roman" w:cs="Times New Roman"/>
        </w:rPr>
        <w:t xml:space="preserve"> the</w:t>
      </w:r>
      <w:r>
        <w:rPr>
          <w:rFonts w:ascii="Times New Roman" w:eastAsiaTheme="minorHAnsi" w:hAnsi="Times New Roman"/>
        </w:rPr>
        <w:t xml:space="preserve"> IVF and ICSI groups</w:t>
      </w:r>
    </w:p>
    <w:tbl>
      <w:tblPr>
        <w:tblW w:w="665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417"/>
        <w:gridCol w:w="1985"/>
        <w:gridCol w:w="1276"/>
      </w:tblGrid>
      <w:tr w:rsidR="00BE18C2">
        <w:trPr>
          <w:trHeight w:val="252"/>
        </w:trPr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bookmarkEnd w:id="10"/>
          <w:p w:rsidR="00BE18C2" w:rsidRDefault="00AD65B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Fertilization method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center"/>
              <w:rPr>
                <w:rFonts w:ascii="Times New Roman" w:eastAsiaTheme="minorHAnsi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Cs/>
                <w:sz w:val="18"/>
                <w:szCs w:val="18"/>
              </w:rPr>
              <w:t>Euploid embryos (adjusted TE results)</w:t>
            </w:r>
          </w:p>
        </w:tc>
      </w:tr>
      <w:tr w:rsidR="00BE18C2">
        <w:trPr>
          <w:trHeight w:val="252"/>
        </w:trPr>
        <w:tc>
          <w:tcPr>
            <w:tcW w:w="1980" w:type="dxa"/>
            <w:vMerge/>
            <w:shd w:val="clear" w:color="auto" w:fill="auto"/>
            <w:noWrap/>
            <w:vAlign w:val="bottom"/>
          </w:tcPr>
          <w:p w:rsidR="00BE18C2" w:rsidRDefault="00BE18C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Theme="minorHAnsi" w:hAnsi="Times New Roman"/>
                <w:bCs/>
                <w:sz w:val="18"/>
                <w:szCs w:val="18"/>
              </w:rPr>
            </w:pPr>
            <w:r>
              <w:rPr>
                <w:rFonts w:ascii="Times New Roman" w:eastAsiaTheme="minorHAnsi" w:hAnsi="Times New Roman" w:hint="eastAsia"/>
                <w:bCs/>
                <w:sz w:val="18"/>
                <w:szCs w:val="18"/>
              </w:rPr>
              <w:t>N</w:t>
            </w:r>
            <w:r>
              <w:rPr>
                <w:rFonts w:ascii="Times New Roman" w:eastAsiaTheme="minorHAnsi" w:hAnsi="Times New Roman"/>
                <w:bCs/>
                <w:sz w:val="18"/>
                <w:szCs w:val="18"/>
              </w:rPr>
              <w:t>umber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% (95% CI)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p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BE18C2">
        <w:trPr>
          <w:trHeight w:val="252"/>
        </w:trPr>
        <w:tc>
          <w:tcPr>
            <w:tcW w:w="1980" w:type="dxa"/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I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VF (158)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9.5 (51.7–66.8)</w:t>
            </w:r>
          </w:p>
        </w:tc>
        <w:tc>
          <w:tcPr>
            <w:tcW w:w="1276" w:type="dxa"/>
            <w:vMerge w:val="restart"/>
            <w:vAlign w:val="center"/>
          </w:tcPr>
          <w:p w:rsidR="00BE18C2" w:rsidRDefault="00AD65B1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.553</w:t>
            </w:r>
          </w:p>
        </w:tc>
      </w:tr>
      <w:tr w:rsidR="00BE18C2">
        <w:trPr>
          <w:trHeight w:val="252"/>
        </w:trPr>
        <w:tc>
          <w:tcPr>
            <w:tcW w:w="1980" w:type="dxa"/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ICSI (118)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BE18C2" w:rsidRDefault="00AD65B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5.9 (46.9–64.6)</w:t>
            </w:r>
          </w:p>
        </w:tc>
        <w:tc>
          <w:tcPr>
            <w:tcW w:w="1276" w:type="dxa"/>
            <w:vMerge/>
          </w:tcPr>
          <w:p w:rsidR="00BE18C2" w:rsidRDefault="00BE18C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bookmarkEnd w:id="0"/>
    </w:tbl>
    <w:p w:rsidR="00BE18C2" w:rsidRDefault="00BE18C2">
      <w:pPr>
        <w:contextualSpacing/>
        <w:jc w:val="left"/>
        <w:rPr>
          <w:rFonts w:ascii="Times New Roman" w:hAnsi="Times New Roman" w:cs="Times New Roman"/>
        </w:rPr>
      </w:pPr>
    </w:p>
    <w:sectPr w:rsidR="00BE18C2" w:rsidSect="00AD65B1">
      <w:type w:val="continuous"/>
      <w:pgSz w:w="16838" w:h="11906" w:orient="landscape"/>
      <w:pgMar w:top="1440" w:right="1440" w:bottom="1440" w:left="1440" w:header="851" w:footer="992" w:gutter="0"/>
      <w:paperSrc w:first="259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D65B1">
      <w:r>
        <w:separator/>
      </w:r>
    </w:p>
  </w:endnote>
  <w:endnote w:type="continuationSeparator" w:id="0">
    <w:p w:rsidR="00000000" w:rsidRDefault="00AD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4"/>
      </w:rPr>
      <w:id w:val="-399362455"/>
    </w:sdtPr>
    <w:sdtEndPr/>
    <w:sdtContent>
      <w:p w:rsidR="00BE18C2" w:rsidRDefault="00AD65B1">
        <w:pPr>
          <w:pStyle w:val="Footer"/>
          <w:contextualSpacing/>
          <w:jc w:val="center"/>
          <w:rPr>
            <w:szCs w:val="24"/>
          </w:rPr>
        </w:pPr>
        <w:r>
          <w:rPr>
            <w:szCs w:val="24"/>
          </w:rPr>
          <w:fldChar w:fldCharType="begin"/>
        </w:r>
        <w:r>
          <w:rPr>
            <w:szCs w:val="24"/>
          </w:rPr>
          <w:instrText xml:space="preserve"> PAGE   \* MERGEFORMAT </w:instrText>
        </w:r>
        <w:r>
          <w:rPr>
            <w:szCs w:val="24"/>
          </w:rPr>
          <w:fldChar w:fldCharType="separate"/>
        </w:r>
        <w:r>
          <w:rPr>
            <w:szCs w:val="24"/>
          </w:rPr>
          <w:t>14</w:t>
        </w:r>
        <w:r>
          <w:rPr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D65B1">
      <w:r>
        <w:separator/>
      </w:r>
    </w:p>
  </w:footnote>
  <w:footnote w:type="continuationSeparator" w:id="0">
    <w:p w:rsidR="00000000" w:rsidRDefault="00AD6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embedSystemFont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lYWRkYjQyMWVlZmZkYzgxNTExMDM4N2QwZTBmOTgifQ=="/>
  </w:docVars>
  <w:rsids>
    <w:rsidRoot w:val="00D07D1E"/>
    <w:rsid w:val="00041C67"/>
    <w:rsid w:val="000B345B"/>
    <w:rsid w:val="000D03BC"/>
    <w:rsid w:val="001768B7"/>
    <w:rsid w:val="0018083D"/>
    <w:rsid w:val="00183FC5"/>
    <w:rsid w:val="00186788"/>
    <w:rsid w:val="002238B4"/>
    <w:rsid w:val="00233739"/>
    <w:rsid w:val="00235232"/>
    <w:rsid w:val="002934C2"/>
    <w:rsid w:val="002A0084"/>
    <w:rsid w:val="002E403D"/>
    <w:rsid w:val="00320EBB"/>
    <w:rsid w:val="003B1631"/>
    <w:rsid w:val="004075E1"/>
    <w:rsid w:val="004D46BB"/>
    <w:rsid w:val="005426D2"/>
    <w:rsid w:val="005439AA"/>
    <w:rsid w:val="00547114"/>
    <w:rsid w:val="00573ACC"/>
    <w:rsid w:val="00582B93"/>
    <w:rsid w:val="005935ED"/>
    <w:rsid w:val="006273E4"/>
    <w:rsid w:val="006445EF"/>
    <w:rsid w:val="00695209"/>
    <w:rsid w:val="006A4902"/>
    <w:rsid w:val="006B395B"/>
    <w:rsid w:val="006F29DB"/>
    <w:rsid w:val="007058E4"/>
    <w:rsid w:val="0077697E"/>
    <w:rsid w:val="00830B93"/>
    <w:rsid w:val="0084146B"/>
    <w:rsid w:val="008438DF"/>
    <w:rsid w:val="00846353"/>
    <w:rsid w:val="008A6B88"/>
    <w:rsid w:val="008B0EFF"/>
    <w:rsid w:val="008E08E2"/>
    <w:rsid w:val="009565DC"/>
    <w:rsid w:val="00A235A9"/>
    <w:rsid w:val="00A25A82"/>
    <w:rsid w:val="00A76DE4"/>
    <w:rsid w:val="00A843D9"/>
    <w:rsid w:val="00A87BE9"/>
    <w:rsid w:val="00AD1BC0"/>
    <w:rsid w:val="00AD65B1"/>
    <w:rsid w:val="00AF5037"/>
    <w:rsid w:val="00B02FCC"/>
    <w:rsid w:val="00B10F29"/>
    <w:rsid w:val="00B20A97"/>
    <w:rsid w:val="00B76365"/>
    <w:rsid w:val="00B80718"/>
    <w:rsid w:val="00BE18C2"/>
    <w:rsid w:val="00C10519"/>
    <w:rsid w:val="00C27228"/>
    <w:rsid w:val="00C42AF2"/>
    <w:rsid w:val="00CA7DDF"/>
    <w:rsid w:val="00CD358B"/>
    <w:rsid w:val="00D0489B"/>
    <w:rsid w:val="00D07D1E"/>
    <w:rsid w:val="00D14976"/>
    <w:rsid w:val="00D50D36"/>
    <w:rsid w:val="00DD16AD"/>
    <w:rsid w:val="00DE4ABA"/>
    <w:rsid w:val="00E25352"/>
    <w:rsid w:val="00E266EF"/>
    <w:rsid w:val="00EB720F"/>
    <w:rsid w:val="00F00ED4"/>
    <w:rsid w:val="00F073EB"/>
    <w:rsid w:val="00F744DA"/>
    <w:rsid w:val="00FD1E26"/>
    <w:rsid w:val="175A5DC8"/>
    <w:rsid w:val="2AD63A5B"/>
    <w:rsid w:val="31C728F3"/>
    <w:rsid w:val="34C82D5F"/>
    <w:rsid w:val="518B4047"/>
    <w:rsid w:val="62C8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AFDAC4-2961-42DB-985C-9B7F909A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footer" w:uiPriority="99" w:qFormat="1"/>
    <w:lsdException w:name="caption" w:semiHidden="1" w:unhideWhenUsed="1" w:qFormat="1"/>
    <w:lsdException w:name="annotation reference" w:uiPriority="99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  <w:rPr>
      <w:rFonts w:ascii="Tahoma" w:hAnsi="Tahoma" w:cs="Tahoma"/>
      <w:sz w:val="16"/>
      <w:szCs w:val="22"/>
      <w:lang w:val="en-US"/>
    </w:rPr>
  </w:style>
  <w:style w:type="paragraph" w:styleId="BodyText">
    <w:name w:val="Body Text"/>
    <w:basedOn w:val="Normal"/>
    <w:link w:val="BodyTextChar"/>
    <w:qFormat/>
    <w:pPr>
      <w:widowControl/>
      <w:spacing w:line="360" w:lineRule="auto"/>
      <w:jc w:val="left"/>
    </w:pPr>
    <w:rPr>
      <w:rFonts w:ascii="SimSun" w:eastAsia="SimSun" w:hAnsi="SimSun" w:cs="Times New Roman"/>
      <w:color w:val="808000"/>
      <w:kern w:val="0"/>
      <w:szCs w:val="20"/>
    </w:rPr>
  </w:style>
  <w:style w:type="paragraph" w:styleId="BalloonText">
    <w:name w:val="Balloon Text"/>
    <w:basedOn w:val="Normal"/>
    <w:link w:val="BalloonTextChar"/>
    <w:semiHidden/>
    <w:unhideWhenUsed/>
    <w:rPr>
      <w:sz w:val="18"/>
      <w:szCs w:val="18"/>
    </w:rPr>
  </w:style>
  <w:style w:type="paragraph" w:styleId="Footer">
    <w:name w:val="footer"/>
    <w:basedOn w:val="Normal"/>
    <w:uiPriority w:val="99"/>
    <w:qFormat/>
    <w:pPr>
      <w:tabs>
        <w:tab w:val="center" w:pos="4153"/>
        <w:tab w:val="right" w:pos="8306"/>
      </w:tabs>
      <w:snapToGrid w:val="0"/>
      <w:spacing w:line="480" w:lineRule="auto"/>
      <w:jc w:val="right"/>
    </w:pPr>
    <w:rPr>
      <w:rFonts w:ascii="Times New Roman" w:eastAsia="SimSun" w:hAnsi="Times New Roman" w:cs="Times New Roman"/>
      <w:szCs w:val="18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pPr>
      <w:jc w:val="both"/>
    </w:pPr>
    <w:rPr>
      <w:rFonts w:asciiTheme="minorHAnsi" w:hAnsiTheme="minorHAnsi" w:cstheme="minorBidi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Pr>
      <w:i/>
      <w:iCs/>
    </w:rPr>
  </w:style>
  <w:style w:type="character" w:styleId="LineNumber">
    <w:name w:val="line number"/>
    <w:basedOn w:val="DefaultParagraphFont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unhideWhenUsed/>
    <w:qFormat/>
    <w:rPr>
      <w:rFonts w:ascii="Tahoma" w:hAnsi="Tahoma" w:cs="Tahoma"/>
      <w:sz w:val="16"/>
      <w:szCs w:val="21"/>
      <w:u w:val="none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qFormat/>
    <w:rPr>
      <w:rFonts w:ascii="SimSun" w:hAnsi="SimSun"/>
      <w:color w:val="808000"/>
      <w:sz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Tahoma" w:eastAsiaTheme="minorEastAsia" w:hAnsi="Tahoma" w:cs="Tahoma"/>
      <w:kern w:val="2"/>
      <w:sz w:val="16"/>
      <w:szCs w:val="22"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Theme="minorHAnsi" w:eastAsiaTheme="minorEastAsia" w:hAnsiTheme="minorHAnsi" w:cstheme="minorBidi"/>
      <w:b/>
      <w:bCs/>
      <w:kern w:val="2"/>
      <w:sz w:val="16"/>
      <w:szCs w:val="22"/>
      <w:lang w:val="en-GB"/>
    </w:rPr>
  </w:style>
  <w:style w:type="character" w:customStyle="1" w:styleId="BalloonTextChar">
    <w:name w:val="Balloon Text Char"/>
    <w:basedOn w:val="DefaultParagraphFont"/>
    <w:link w:val="BalloonText"/>
    <w:semiHidden/>
    <w:qFormat/>
    <w:rPr>
      <w:rFonts w:asciiTheme="minorHAnsi" w:eastAsiaTheme="minorEastAsia" w:hAnsiTheme="minorHAnsi" w:cstheme="minorBidi"/>
      <w:kern w:val="2"/>
      <w:sz w:val="18"/>
      <w:szCs w:val="18"/>
      <w:lang w:val="en-GB"/>
    </w:rPr>
  </w:style>
  <w:style w:type="character" w:customStyle="1" w:styleId="font61">
    <w:name w:val="font61"/>
    <w:basedOn w:val="DefaultParagraphFont"/>
    <w:rPr>
      <w:rFonts w:ascii="DengXian" w:eastAsia="DengXian" w:hAnsi="DengXian" w:cs="DengXian" w:hint="eastAsia"/>
      <w:color w:val="000000"/>
      <w:sz w:val="18"/>
      <w:szCs w:val="18"/>
      <w:u w:val="none"/>
    </w:rPr>
  </w:style>
  <w:style w:type="character" w:customStyle="1" w:styleId="font31">
    <w:name w:val="font31"/>
    <w:basedOn w:val="DefaultParagraphFont"/>
    <w:rPr>
      <w:rFonts w:ascii="SimSun" w:eastAsia="SimSun" w:hAnsi="SimSun" w:cs="SimSun" w:hint="eastAsia"/>
      <w:b/>
      <w:bCs/>
      <w:color w:val="000000"/>
      <w:sz w:val="18"/>
      <w:szCs w:val="18"/>
      <w:u w:val="none"/>
    </w:rPr>
  </w:style>
  <w:style w:type="character" w:customStyle="1" w:styleId="font41">
    <w:name w:val="font41"/>
    <w:basedOn w:val="DefaultParagraphFont"/>
    <w:rPr>
      <w:rFonts w:ascii="Times New Roman" w:hAnsi="Times New Roman" w:cs="Times New Roman" w:hint="default"/>
      <w:b/>
      <w:bCs/>
      <w:color w:val="000000"/>
      <w:sz w:val="18"/>
      <w:szCs w:val="18"/>
      <w:u w:val="none"/>
    </w:rPr>
  </w:style>
  <w:style w:type="character" w:customStyle="1" w:styleId="font01">
    <w:name w:val="font01"/>
    <w:basedOn w:val="DefaultParagraphFont"/>
    <w:rPr>
      <w:rFonts w:ascii="Times New Roman" w:hAnsi="Times New Roman" w:cs="Times New Roman" w:hint="default"/>
      <w:color w:val="0000FF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2370</Words>
  <Characters>11442</Characters>
  <Application>Microsoft Office Word</Application>
  <DocSecurity>0</DocSecurity>
  <Lines>95</Lines>
  <Paragraphs>27</Paragraphs>
  <ScaleCrop>false</ScaleCrop>
  <Company/>
  <LinksUpToDate>false</LinksUpToDate>
  <CharactersWithSpaces>13785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PGS-XPY</dc:creator>
  <cp:lastModifiedBy>Deepikas Sakthivel</cp:lastModifiedBy>
  <cp:revision>53</cp:revision>
  <dcterms:created xsi:type="dcterms:W3CDTF">2022-04-06T01:22:00Z</dcterms:created>
  <dcterms:modified xsi:type="dcterms:W3CDTF">2022-08-19T01:41:00Z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58BF7A097255472F9DFF2C6FBCEDA85F</vt:lpwstr>
  </property>
</Properties>
</file>