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9B020" w14:textId="647E2CE1" w:rsidR="000834FE" w:rsidRPr="000834FE" w:rsidRDefault="000834FE" w:rsidP="000834FE">
      <w:pPr>
        <w:spacing w:line="360" w:lineRule="auto"/>
        <w:jc w:val="center"/>
        <w:rPr>
          <w:rFonts w:eastAsiaTheme="minorEastAsia"/>
          <w:color w:val="000000" w:themeColor="text1"/>
          <w:sz w:val="36"/>
          <w:szCs w:val="36"/>
          <w:lang w:eastAsia="zh-CN"/>
        </w:rPr>
      </w:pPr>
      <w:bookmarkStart w:id="0" w:name="_Hlk109995064"/>
      <w:bookmarkEnd w:id="0"/>
      <w:r w:rsidRPr="000834FE">
        <w:rPr>
          <w:rFonts w:eastAsiaTheme="minorEastAsia" w:hint="eastAsia"/>
          <w:color w:val="000000" w:themeColor="text1"/>
          <w:sz w:val="36"/>
          <w:szCs w:val="36"/>
          <w:lang w:eastAsia="zh-CN"/>
        </w:rPr>
        <w:t>S</w:t>
      </w:r>
      <w:r w:rsidRPr="000834FE">
        <w:rPr>
          <w:rFonts w:eastAsiaTheme="minorEastAsia"/>
          <w:color w:val="000000" w:themeColor="text1"/>
          <w:sz w:val="36"/>
          <w:szCs w:val="36"/>
          <w:lang w:eastAsia="zh-CN"/>
        </w:rPr>
        <w:t xml:space="preserve">upplementary </w:t>
      </w:r>
      <w:r w:rsidR="00067C8D">
        <w:rPr>
          <w:rFonts w:eastAsiaTheme="minorEastAsia"/>
          <w:color w:val="000000" w:themeColor="text1"/>
          <w:sz w:val="36"/>
          <w:szCs w:val="36"/>
          <w:lang w:eastAsia="zh-CN"/>
        </w:rPr>
        <w:t>figure</w:t>
      </w:r>
      <w:r w:rsidRPr="000834FE">
        <w:rPr>
          <w:rFonts w:eastAsiaTheme="minorEastAsia"/>
          <w:color w:val="000000" w:themeColor="text1"/>
          <w:sz w:val="36"/>
          <w:szCs w:val="36"/>
          <w:lang w:eastAsia="zh-CN"/>
        </w:rPr>
        <w:t>s for</w:t>
      </w:r>
    </w:p>
    <w:p w14:paraId="35EC3B12" w14:textId="77777777" w:rsidR="000834FE" w:rsidRPr="000834FE" w:rsidRDefault="000834FE" w:rsidP="000834FE">
      <w:pPr>
        <w:spacing w:line="360" w:lineRule="auto"/>
        <w:jc w:val="center"/>
        <w:rPr>
          <w:rFonts w:eastAsiaTheme="minorEastAsia"/>
          <w:b/>
          <w:bCs/>
          <w:color w:val="000000" w:themeColor="text1"/>
          <w:sz w:val="36"/>
          <w:szCs w:val="36"/>
          <w:lang w:eastAsia="zh-CN"/>
        </w:rPr>
      </w:pPr>
    </w:p>
    <w:p w14:paraId="6904021D" w14:textId="0017854A" w:rsidR="00E64AA9" w:rsidRDefault="00E64AA9" w:rsidP="00E64AA9">
      <w:pPr>
        <w:spacing w:line="480" w:lineRule="auto"/>
        <w:jc w:val="center"/>
        <w:rPr>
          <w:rFonts w:eastAsiaTheme="minorEastAsia"/>
          <w:b/>
          <w:bCs/>
          <w:color w:val="FF0000"/>
          <w:sz w:val="24"/>
          <w:szCs w:val="24"/>
          <w:lang w:eastAsia="zh-CN"/>
        </w:rPr>
      </w:pPr>
      <w:bookmarkStart w:id="1" w:name="_Hlk108864096"/>
      <w:r w:rsidRPr="0073716D">
        <w:rPr>
          <w:color w:val="FF0000"/>
          <w:sz w:val="24"/>
          <w:szCs w:val="24"/>
        </w:rPr>
        <w:t>Association of peripheral basophils with tumor M2 macrophage infiltration and outcomes of the anti-PD-1 inhibitor plus chemotherapy combination in advanced gastric cancer</w:t>
      </w:r>
      <w:bookmarkEnd w:id="1"/>
    </w:p>
    <w:p w14:paraId="750CE431" w14:textId="1C0AE51B" w:rsidR="00916EC6" w:rsidRDefault="00916EC6" w:rsidP="00916EC6">
      <w:pPr>
        <w:spacing w:line="360" w:lineRule="auto"/>
        <w:rPr>
          <w:rFonts w:eastAsiaTheme="minorEastAsia"/>
          <w:b/>
          <w:bCs/>
          <w:color w:val="FF0000"/>
          <w:sz w:val="24"/>
          <w:szCs w:val="24"/>
          <w:lang w:eastAsia="zh-CN"/>
        </w:rPr>
      </w:pPr>
      <w:r w:rsidRPr="00916EC6">
        <w:rPr>
          <w:rFonts w:eastAsiaTheme="minorEastAsia"/>
          <w:b/>
          <w:bCs/>
          <w:color w:val="FF0000"/>
          <w:sz w:val="24"/>
          <w:szCs w:val="24"/>
          <w:lang w:eastAsia="zh-CN"/>
        </w:rPr>
        <w:t>This file includes:</w:t>
      </w:r>
    </w:p>
    <w:p w14:paraId="103134ED" w14:textId="000455AB" w:rsidR="00E53872" w:rsidRDefault="00E53872" w:rsidP="00E337B4">
      <w:pPr>
        <w:spacing w:line="480" w:lineRule="auto"/>
        <w:rPr>
          <w:color w:val="FF0000"/>
          <w:sz w:val="24"/>
          <w:szCs w:val="24"/>
        </w:rPr>
      </w:pPr>
      <w:r w:rsidRPr="007A235F">
        <w:rPr>
          <w:b/>
          <w:bCs/>
          <w:color w:val="FF0000"/>
          <w:sz w:val="24"/>
          <w:szCs w:val="24"/>
        </w:rPr>
        <w:t>Figure S1.</w:t>
      </w:r>
      <w:r w:rsidRPr="007A235F">
        <w:rPr>
          <w:color w:val="FF0000"/>
          <w:sz w:val="24"/>
          <w:szCs w:val="24"/>
        </w:rPr>
        <w:t xml:space="preserve"> Counts o</w:t>
      </w:r>
      <w:r w:rsidRPr="00515367">
        <w:rPr>
          <w:color w:val="FF0000"/>
          <w:sz w:val="24"/>
          <w:szCs w:val="24"/>
        </w:rPr>
        <w:t>f various peripheral leukocyte populations before treatment with the anti-PD-1 inhibitor plus chemotherapy combination.</w:t>
      </w:r>
    </w:p>
    <w:p w14:paraId="0FBE1E0B" w14:textId="77777777" w:rsidR="00E53872" w:rsidRPr="00515367" w:rsidRDefault="00E53872" w:rsidP="00E337B4">
      <w:pPr>
        <w:spacing w:line="480" w:lineRule="auto"/>
        <w:rPr>
          <w:color w:val="FF0000"/>
          <w:sz w:val="24"/>
          <w:szCs w:val="24"/>
        </w:rPr>
      </w:pPr>
      <w:r w:rsidRPr="00515367">
        <w:rPr>
          <w:b/>
          <w:bCs/>
          <w:color w:val="FF0000"/>
          <w:sz w:val="24"/>
          <w:szCs w:val="24"/>
        </w:rPr>
        <w:t>Figure S2.</w:t>
      </w:r>
      <w:r w:rsidRPr="00515367">
        <w:rPr>
          <w:color w:val="FF0000"/>
          <w:sz w:val="24"/>
          <w:szCs w:val="24"/>
        </w:rPr>
        <w:t xml:space="preserve"> Peripheral basophils of patients treated with chemotherapy alone who experienced complete/partial response (CR/PR) or stable/progressive disease (SD/PD) as the best objective response to chemotherapy.</w:t>
      </w:r>
    </w:p>
    <w:p w14:paraId="415735B9" w14:textId="3C396A6A" w:rsidR="00E53872" w:rsidRDefault="00E53872" w:rsidP="00E337B4">
      <w:pPr>
        <w:spacing w:line="480" w:lineRule="auto"/>
        <w:rPr>
          <w:color w:val="FF0000"/>
          <w:sz w:val="24"/>
          <w:szCs w:val="24"/>
        </w:rPr>
      </w:pPr>
      <w:r w:rsidRPr="002358F0">
        <w:rPr>
          <w:b/>
          <w:bCs/>
          <w:color w:val="FF0000"/>
          <w:sz w:val="24"/>
          <w:szCs w:val="24"/>
        </w:rPr>
        <w:t>Figure S3.</w:t>
      </w:r>
      <w:r w:rsidRPr="002358F0">
        <w:rPr>
          <w:color w:val="FF0000"/>
          <w:sz w:val="24"/>
          <w:szCs w:val="24"/>
        </w:rPr>
        <w:t xml:space="preserve"> The</w:t>
      </w:r>
      <w:r w:rsidRPr="00515367">
        <w:rPr>
          <w:color w:val="FF0000"/>
          <w:sz w:val="24"/>
          <w:szCs w:val="24"/>
        </w:rPr>
        <w:t xml:space="preserve"> efficacy of peripheral basophil counts or the CPS in distinguishing responders from non-responders to the anti-PD-1 inhibitor plus chemotherapy combination.</w:t>
      </w:r>
    </w:p>
    <w:p w14:paraId="01B429F8" w14:textId="63CDF81A" w:rsidR="00E53872" w:rsidRPr="00E53872" w:rsidRDefault="00E53872" w:rsidP="00E337B4">
      <w:pPr>
        <w:spacing w:line="480" w:lineRule="auto"/>
        <w:rPr>
          <w:rFonts w:eastAsiaTheme="minorEastAsia"/>
          <w:b/>
          <w:bCs/>
          <w:color w:val="FF0000"/>
          <w:sz w:val="24"/>
          <w:szCs w:val="24"/>
          <w:lang w:eastAsia="zh-CN"/>
        </w:rPr>
      </w:pPr>
      <w:r w:rsidRPr="002358F0">
        <w:rPr>
          <w:b/>
          <w:bCs/>
          <w:color w:val="FF0000"/>
          <w:sz w:val="24"/>
          <w:szCs w:val="24"/>
        </w:rPr>
        <w:t xml:space="preserve">Figure S4. </w:t>
      </w:r>
      <w:r w:rsidRPr="002358F0">
        <w:rPr>
          <w:color w:val="FF0000"/>
          <w:sz w:val="24"/>
          <w:szCs w:val="24"/>
        </w:rPr>
        <w:t>The peri</w:t>
      </w:r>
      <w:r w:rsidRPr="00515367">
        <w:rPr>
          <w:color w:val="FF0000"/>
          <w:sz w:val="24"/>
          <w:szCs w:val="24"/>
        </w:rPr>
        <w:t>pheral basophil count at baseline was not prognostic for survival due to chemotherapy alone.</w:t>
      </w:r>
    </w:p>
    <w:p w14:paraId="49C2FDB7" w14:textId="77777777" w:rsidR="00E56B30" w:rsidRDefault="00E56B30" w:rsidP="00916EC6">
      <w:pPr>
        <w:spacing w:line="360" w:lineRule="auto"/>
        <w:rPr>
          <w:rFonts w:eastAsiaTheme="minorEastAsia"/>
          <w:bCs/>
          <w:color w:val="FF0000"/>
          <w:sz w:val="24"/>
          <w:szCs w:val="24"/>
          <w:lang w:eastAsia="zh-CN"/>
        </w:rPr>
      </w:pPr>
      <w:r>
        <w:rPr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13FDF7FB" wp14:editId="1B80D1C1">
            <wp:extent cx="5943600" cy="3900805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0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B1799" w14:textId="77777777" w:rsidR="00E56B30" w:rsidRDefault="00E56B30" w:rsidP="00E56B30">
      <w:pPr>
        <w:spacing w:line="480" w:lineRule="auto"/>
        <w:rPr>
          <w:rFonts w:eastAsiaTheme="minorEastAsia"/>
          <w:b/>
          <w:bCs/>
          <w:color w:val="FF0000"/>
          <w:sz w:val="24"/>
          <w:szCs w:val="24"/>
          <w:lang w:eastAsia="zh-CN"/>
        </w:rPr>
      </w:pPr>
      <w:r w:rsidRPr="003B12D3">
        <w:rPr>
          <w:b/>
          <w:bCs/>
          <w:sz w:val="24"/>
          <w:szCs w:val="24"/>
        </w:rPr>
        <w:t>Figure S1.</w:t>
      </w:r>
      <w:r w:rsidRPr="003B12D3">
        <w:rPr>
          <w:sz w:val="24"/>
          <w:szCs w:val="24"/>
        </w:rPr>
        <w:t xml:space="preserve"> </w:t>
      </w:r>
      <w:r w:rsidRPr="00515367">
        <w:rPr>
          <w:color w:val="FF0000"/>
          <w:sz w:val="24"/>
          <w:szCs w:val="24"/>
        </w:rPr>
        <w:t xml:space="preserve">Counts of various peripheral leukocyte populations before treatment with the anti-PD-1 inhibitor plus chemotherapy combination. </w:t>
      </w:r>
      <w:r w:rsidRPr="003B12D3">
        <w:rPr>
          <w:sz w:val="24"/>
          <w:szCs w:val="24"/>
        </w:rPr>
        <w:t xml:space="preserve">Peripheral neutrophils (a), monocytes (b), eosinophils (c), lymphocytes (d), neutrophil-lymphocyte ratio (e), and </w:t>
      </w:r>
      <w:r>
        <w:rPr>
          <w:sz w:val="24"/>
          <w:szCs w:val="24"/>
        </w:rPr>
        <w:t xml:space="preserve">the </w:t>
      </w:r>
      <w:r w:rsidRPr="003B12D3">
        <w:rPr>
          <w:sz w:val="24"/>
          <w:szCs w:val="24"/>
        </w:rPr>
        <w:t xml:space="preserve">lymphocyte-to-monocyte ratio (f) from patients with gastric cancer who experienced complete/partial response (CR/PR) or stable/progressive disease (SD/PD) as the best objective response to </w:t>
      </w:r>
      <w:r>
        <w:rPr>
          <w:sz w:val="24"/>
          <w:szCs w:val="24"/>
        </w:rPr>
        <w:t xml:space="preserve">the </w:t>
      </w:r>
      <w:r w:rsidRPr="003B12D3">
        <w:rPr>
          <w:sz w:val="24"/>
          <w:szCs w:val="24"/>
        </w:rPr>
        <w:t xml:space="preserve">anti-PD-1 </w:t>
      </w:r>
      <w:r w:rsidRPr="003B12D3">
        <w:rPr>
          <w:sz w:val="24"/>
          <w:szCs w:val="24"/>
        </w:rPr>
        <w:lastRenderedPageBreak/>
        <w:t>inhibitor plus chemotherapy</w:t>
      </w:r>
      <w:r>
        <w:rPr>
          <w:sz w:val="24"/>
          <w:szCs w:val="24"/>
        </w:rPr>
        <w:t xml:space="preserve"> combination</w:t>
      </w:r>
      <w:r w:rsidRPr="003B12D3">
        <w:rPr>
          <w:sz w:val="24"/>
          <w:szCs w:val="24"/>
        </w:rPr>
        <w:t>.</w:t>
      </w:r>
      <w:r w:rsidRPr="00E56B30">
        <w:rPr>
          <w:bCs/>
          <w:noProof/>
          <w:color w:val="000000" w:themeColor="text1"/>
          <w:sz w:val="24"/>
          <w:szCs w:val="24"/>
        </w:rPr>
        <w:t xml:space="preserve"> </w:t>
      </w:r>
      <w:r>
        <w:rPr>
          <w:bCs/>
          <w:noProof/>
          <w:color w:val="000000" w:themeColor="text1"/>
          <w:sz w:val="24"/>
          <w:szCs w:val="24"/>
        </w:rPr>
        <w:drawing>
          <wp:inline distT="0" distB="0" distL="0" distR="0" wp14:anchorId="282493CF" wp14:editId="1E47261F">
            <wp:extent cx="3543300" cy="2891155"/>
            <wp:effectExtent l="0" t="0" r="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89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6B30">
        <w:rPr>
          <w:rFonts w:eastAsiaTheme="minorEastAsia"/>
          <w:b/>
          <w:bCs/>
          <w:color w:val="FF0000"/>
          <w:sz w:val="24"/>
          <w:szCs w:val="24"/>
          <w:lang w:eastAsia="zh-CN"/>
        </w:rPr>
        <w:t xml:space="preserve"> </w:t>
      </w:r>
    </w:p>
    <w:p w14:paraId="752AF33A" w14:textId="7574115D" w:rsidR="006A0470" w:rsidRPr="00E56B30" w:rsidRDefault="00E56B30" w:rsidP="00E56B30">
      <w:pPr>
        <w:spacing w:line="480" w:lineRule="auto"/>
        <w:rPr>
          <w:rFonts w:eastAsiaTheme="minorEastAsia"/>
          <w:color w:val="FF0000"/>
          <w:sz w:val="24"/>
          <w:szCs w:val="24"/>
          <w:lang w:eastAsia="zh-CN"/>
        </w:rPr>
      </w:pPr>
      <w:r w:rsidRPr="00E56B30">
        <w:rPr>
          <w:rFonts w:eastAsiaTheme="minorEastAsia"/>
          <w:b/>
          <w:bCs/>
          <w:color w:val="FF0000"/>
          <w:sz w:val="24"/>
          <w:szCs w:val="24"/>
          <w:lang w:eastAsia="zh-CN"/>
        </w:rPr>
        <w:t>Figure S2.</w:t>
      </w:r>
      <w:r w:rsidRPr="00E56B30">
        <w:rPr>
          <w:rFonts w:eastAsiaTheme="minorEastAsia"/>
          <w:color w:val="FF0000"/>
          <w:sz w:val="24"/>
          <w:szCs w:val="24"/>
          <w:lang w:eastAsia="zh-CN"/>
        </w:rPr>
        <w:t xml:space="preserve"> Peripheral basophils of patients treated with chemotherapy alone who experienced complete/partial response (CR/PR) or stable/progressive disease (SD/PD) as the best objective response to chemotherapy.</w:t>
      </w:r>
    </w:p>
    <w:p w14:paraId="28F811CA" w14:textId="60B633ED" w:rsidR="008E1833" w:rsidRDefault="003D25E6" w:rsidP="000834FE">
      <w:pPr>
        <w:spacing w:line="360" w:lineRule="auto"/>
        <w:rPr>
          <w:bCs/>
          <w:noProof/>
          <w:color w:val="000000" w:themeColor="text1"/>
          <w:sz w:val="24"/>
          <w:szCs w:val="24"/>
        </w:rPr>
      </w:pPr>
      <w:r>
        <w:rPr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1BF3F972" wp14:editId="2155E549">
            <wp:extent cx="5943600" cy="813943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3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2E3D0" w14:textId="1B51282E" w:rsidR="00E56B30" w:rsidRPr="00E56B30" w:rsidRDefault="00E56B30" w:rsidP="00E56B30">
      <w:pPr>
        <w:spacing w:line="480" w:lineRule="auto"/>
        <w:rPr>
          <w:color w:val="FF0000"/>
          <w:sz w:val="24"/>
          <w:szCs w:val="24"/>
        </w:rPr>
      </w:pPr>
      <w:r w:rsidRPr="002358F0">
        <w:rPr>
          <w:b/>
          <w:bCs/>
          <w:color w:val="FF0000"/>
          <w:sz w:val="24"/>
          <w:szCs w:val="24"/>
        </w:rPr>
        <w:lastRenderedPageBreak/>
        <w:t>Figure S3.</w:t>
      </w:r>
      <w:r w:rsidRPr="002358F0">
        <w:rPr>
          <w:color w:val="FF0000"/>
          <w:sz w:val="24"/>
          <w:szCs w:val="24"/>
        </w:rPr>
        <w:t xml:space="preserve"> The</w:t>
      </w:r>
      <w:r w:rsidRPr="00515367">
        <w:rPr>
          <w:color w:val="FF0000"/>
          <w:sz w:val="24"/>
          <w:szCs w:val="24"/>
        </w:rPr>
        <w:t xml:space="preserve"> efficacy of peripheral basophil counts or the CPS in distinguishing responders from non-responders to the anti-PD-1 inhibitor plus chemotherapy combination. </w:t>
      </w:r>
      <w:r w:rsidRPr="003B12D3">
        <w:rPr>
          <w:sz w:val="24"/>
          <w:szCs w:val="24"/>
        </w:rPr>
        <w:t>Receiver operating characteristic (ROC) curve to evaluate the performance of peripheral basophil</w:t>
      </w:r>
      <w:r>
        <w:rPr>
          <w:sz w:val="24"/>
          <w:szCs w:val="24"/>
        </w:rPr>
        <w:t>s</w:t>
      </w:r>
      <w:r w:rsidRPr="003B12D3">
        <w:rPr>
          <w:sz w:val="24"/>
          <w:szCs w:val="24"/>
        </w:rPr>
        <w:t xml:space="preserve"> at baseline for identifying patients with </w:t>
      </w:r>
      <w:r>
        <w:rPr>
          <w:sz w:val="24"/>
          <w:szCs w:val="24"/>
        </w:rPr>
        <w:t xml:space="preserve">a </w:t>
      </w:r>
      <w:r w:rsidRPr="003B12D3">
        <w:rPr>
          <w:sz w:val="24"/>
          <w:szCs w:val="24"/>
        </w:rPr>
        <w:t>response (CR/PR) in (a) all patients, (b) EBV</w:t>
      </w:r>
      <w:r>
        <w:rPr>
          <w:sz w:val="24"/>
          <w:szCs w:val="24"/>
        </w:rPr>
        <w:t>-</w:t>
      </w:r>
      <w:r w:rsidRPr="003B12D3">
        <w:rPr>
          <w:sz w:val="24"/>
          <w:szCs w:val="24"/>
        </w:rPr>
        <w:t xml:space="preserve">negative, (c) </w:t>
      </w:r>
      <w:proofErr w:type="spellStart"/>
      <w:r w:rsidRPr="003B12D3">
        <w:rPr>
          <w:sz w:val="24"/>
          <w:szCs w:val="24"/>
        </w:rPr>
        <w:t>pMMR</w:t>
      </w:r>
      <w:proofErr w:type="spellEnd"/>
      <w:r w:rsidRPr="003B12D3">
        <w:rPr>
          <w:sz w:val="24"/>
          <w:szCs w:val="24"/>
        </w:rPr>
        <w:t xml:space="preserve">, </w:t>
      </w:r>
      <w:r w:rsidRPr="00515367">
        <w:rPr>
          <w:color w:val="FF0000"/>
          <w:sz w:val="24"/>
          <w:szCs w:val="24"/>
        </w:rPr>
        <w:t>(d) first-line, (e) second-line or later subgroups. (f) ROC curve to evaluate the performance of CPS for identifying patients with a response.</w:t>
      </w:r>
    </w:p>
    <w:p w14:paraId="65C45A8E" w14:textId="7EC187ED" w:rsidR="00DB1617" w:rsidRDefault="00A14C91" w:rsidP="000834FE">
      <w:pPr>
        <w:spacing w:line="360" w:lineRule="auto"/>
        <w:rPr>
          <w:rFonts w:eastAsiaTheme="minorEastAsia"/>
          <w:bCs/>
          <w:color w:val="000000" w:themeColor="text1"/>
          <w:sz w:val="24"/>
          <w:szCs w:val="24"/>
          <w:lang w:eastAsia="zh-CN"/>
        </w:rPr>
      </w:pPr>
      <w:r>
        <w:rPr>
          <w:rFonts w:eastAsiaTheme="minorEastAsia"/>
          <w:bCs/>
          <w:noProof/>
          <w:color w:val="000000" w:themeColor="text1"/>
          <w:sz w:val="24"/>
          <w:szCs w:val="24"/>
          <w:lang w:eastAsia="zh-CN"/>
        </w:rPr>
        <w:drawing>
          <wp:inline distT="0" distB="0" distL="0" distR="0" wp14:anchorId="075E0B2D" wp14:editId="66D787C4">
            <wp:extent cx="5943600" cy="484822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7CE1E" w14:textId="1FE58B00" w:rsidR="00E56B30" w:rsidRPr="00E56B30" w:rsidRDefault="00E56B30" w:rsidP="00E56B30">
      <w:pPr>
        <w:spacing w:line="480" w:lineRule="auto"/>
        <w:rPr>
          <w:sz w:val="24"/>
          <w:szCs w:val="24"/>
        </w:rPr>
      </w:pPr>
      <w:bookmarkStart w:id="2" w:name="_Hlk109127328"/>
      <w:r w:rsidRPr="002358F0">
        <w:rPr>
          <w:b/>
          <w:bCs/>
          <w:color w:val="FF0000"/>
          <w:sz w:val="24"/>
          <w:szCs w:val="24"/>
        </w:rPr>
        <w:t xml:space="preserve">Figure S4. </w:t>
      </w:r>
      <w:bookmarkStart w:id="3" w:name="_Hlk109127203"/>
      <w:r w:rsidRPr="002358F0">
        <w:rPr>
          <w:color w:val="FF0000"/>
          <w:sz w:val="24"/>
          <w:szCs w:val="24"/>
        </w:rPr>
        <w:t>The peri</w:t>
      </w:r>
      <w:r w:rsidRPr="00515367">
        <w:rPr>
          <w:color w:val="FF0000"/>
          <w:sz w:val="24"/>
          <w:szCs w:val="24"/>
        </w:rPr>
        <w:t xml:space="preserve">pheral basophil count at baseline was not prognostic for survival due to chemotherapy alone. The progression-free survival and overall survival of patients treated with </w:t>
      </w:r>
      <w:r w:rsidRPr="00515367">
        <w:rPr>
          <w:color w:val="FF0000"/>
          <w:sz w:val="24"/>
          <w:szCs w:val="24"/>
        </w:rPr>
        <w:lastRenderedPageBreak/>
        <w:t>chemotherapy alone stratified by the mean value (a, b) or the optimal cut-off value (c, d) of the peripheral basophil count at baseline.</w:t>
      </w:r>
      <w:bookmarkEnd w:id="2"/>
      <w:bookmarkEnd w:id="3"/>
    </w:p>
    <w:sectPr w:rsidR="00E56B30" w:rsidRPr="00E56B30" w:rsidSect="0089429A">
      <w:headerReference w:type="first" r:id="rId10"/>
      <w:footnotePr>
        <w:numFmt w:val="lowerLetter"/>
        <w:numRestart w:val="eachPage"/>
      </w:footnotePr>
      <w:pgSz w:w="12240" w:h="15840"/>
      <w:pgMar w:top="1440" w:right="1440" w:bottom="1440" w:left="144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E9305" w14:textId="77777777" w:rsidR="00FF1DF2" w:rsidRDefault="00FF1DF2" w:rsidP="000834FE">
      <w:r>
        <w:separator/>
      </w:r>
    </w:p>
  </w:endnote>
  <w:endnote w:type="continuationSeparator" w:id="0">
    <w:p w14:paraId="10075C0C" w14:textId="77777777" w:rsidR="00FF1DF2" w:rsidRDefault="00FF1DF2" w:rsidP="00083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2F6A2" w14:textId="77777777" w:rsidR="00FF1DF2" w:rsidRDefault="00FF1DF2" w:rsidP="000834FE">
      <w:r>
        <w:separator/>
      </w:r>
    </w:p>
  </w:footnote>
  <w:footnote w:type="continuationSeparator" w:id="0">
    <w:p w14:paraId="2C97C1DB" w14:textId="77777777" w:rsidR="00FF1DF2" w:rsidRDefault="00FF1DF2" w:rsidP="00083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DEDE2" w14:textId="77777777" w:rsidR="00256EAC" w:rsidRDefault="00FF1DF2" w:rsidP="000834FE">
    <w:pPr>
      <w:pStyle w:val="a3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numFmt w:val="lowerLetter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4C7"/>
    <w:rsid w:val="000226EF"/>
    <w:rsid w:val="00046C4E"/>
    <w:rsid w:val="00067C8D"/>
    <w:rsid w:val="000834FE"/>
    <w:rsid w:val="00111E22"/>
    <w:rsid w:val="001178D4"/>
    <w:rsid w:val="001701C6"/>
    <w:rsid w:val="00172D69"/>
    <w:rsid w:val="00175E40"/>
    <w:rsid w:val="001C79F2"/>
    <w:rsid w:val="001F1012"/>
    <w:rsid w:val="00236135"/>
    <w:rsid w:val="00264EFD"/>
    <w:rsid w:val="002650DD"/>
    <w:rsid w:val="0026550C"/>
    <w:rsid w:val="002A0232"/>
    <w:rsid w:val="002A7B5F"/>
    <w:rsid w:val="002B1C9C"/>
    <w:rsid w:val="00347226"/>
    <w:rsid w:val="00393C37"/>
    <w:rsid w:val="003D25E6"/>
    <w:rsid w:val="004043E5"/>
    <w:rsid w:val="0042019F"/>
    <w:rsid w:val="00422158"/>
    <w:rsid w:val="00432E51"/>
    <w:rsid w:val="0043793A"/>
    <w:rsid w:val="00454365"/>
    <w:rsid w:val="004A6305"/>
    <w:rsid w:val="004B5013"/>
    <w:rsid w:val="004C76FB"/>
    <w:rsid w:val="004D6F81"/>
    <w:rsid w:val="0051782C"/>
    <w:rsid w:val="0054364E"/>
    <w:rsid w:val="00545CAC"/>
    <w:rsid w:val="005C15F2"/>
    <w:rsid w:val="005D4B22"/>
    <w:rsid w:val="00617737"/>
    <w:rsid w:val="006454C7"/>
    <w:rsid w:val="00661369"/>
    <w:rsid w:val="0068442A"/>
    <w:rsid w:val="006A0470"/>
    <w:rsid w:val="006B0D2A"/>
    <w:rsid w:val="0071686D"/>
    <w:rsid w:val="007A235F"/>
    <w:rsid w:val="007D2BF7"/>
    <w:rsid w:val="00827D64"/>
    <w:rsid w:val="00835EDB"/>
    <w:rsid w:val="00895CAA"/>
    <w:rsid w:val="008B05B0"/>
    <w:rsid w:val="008E1833"/>
    <w:rsid w:val="00916EC6"/>
    <w:rsid w:val="009272DC"/>
    <w:rsid w:val="009A2E68"/>
    <w:rsid w:val="009D6B42"/>
    <w:rsid w:val="00A14C91"/>
    <w:rsid w:val="00B6649B"/>
    <w:rsid w:val="00C06367"/>
    <w:rsid w:val="00C5616D"/>
    <w:rsid w:val="00C82E00"/>
    <w:rsid w:val="00CB2E92"/>
    <w:rsid w:val="00D040B8"/>
    <w:rsid w:val="00D531F0"/>
    <w:rsid w:val="00D72AE8"/>
    <w:rsid w:val="00DB1617"/>
    <w:rsid w:val="00E06030"/>
    <w:rsid w:val="00E337B4"/>
    <w:rsid w:val="00E53872"/>
    <w:rsid w:val="00E56B30"/>
    <w:rsid w:val="00E64AA9"/>
    <w:rsid w:val="00E87871"/>
    <w:rsid w:val="00ED2571"/>
    <w:rsid w:val="00F2540F"/>
    <w:rsid w:val="00F52BF8"/>
    <w:rsid w:val="00F56C88"/>
    <w:rsid w:val="00F77EAC"/>
    <w:rsid w:val="00F971E0"/>
    <w:rsid w:val="00FF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E12C24"/>
  <w15:chartTrackingRefBased/>
  <w15:docId w15:val="{A770D96F-536E-42D6-B2FB-54E360E8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34FE"/>
    <w:rPr>
      <w:rFonts w:ascii="Times New Roman" w:eastAsia="Calibri" w:hAnsi="Times New Roman" w:cs="Times New Roman"/>
      <w:kern w:val="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34F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0834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34FE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0834FE"/>
    <w:rPr>
      <w:sz w:val="18"/>
      <w:szCs w:val="18"/>
    </w:rPr>
  </w:style>
  <w:style w:type="table" w:styleId="a7">
    <w:name w:val="Table Grid"/>
    <w:basedOn w:val="a1"/>
    <w:uiPriority w:val="39"/>
    <w:rsid w:val="000834FE"/>
    <w:rPr>
      <w:rFonts w:eastAsia="等线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0834FE"/>
  </w:style>
  <w:style w:type="character" w:customStyle="1" w:styleId="a9">
    <w:name w:val="脚注文本 字符"/>
    <w:basedOn w:val="a0"/>
    <w:link w:val="a8"/>
    <w:uiPriority w:val="99"/>
    <w:semiHidden/>
    <w:rsid w:val="000834FE"/>
    <w:rPr>
      <w:rFonts w:ascii="Times New Roman" w:eastAsia="Calibri" w:hAnsi="Times New Roman" w:cs="Times New Roman"/>
      <w:kern w:val="0"/>
      <w:sz w:val="20"/>
      <w:szCs w:val="20"/>
      <w:lang w:eastAsia="en-US"/>
    </w:rPr>
  </w:style>
  <w:style w:type="character" w:styleId="aa">
    <w:name w:val="footnote reference"/>
    <w:basedOn w:val="a0"/>
    <w:uiPriority w:val="99"/>
    <w:semiHidden/>
    <w:unhideWhenUsed/>
    <w:rsid w:val="000834FE"/>
    <w:rPr>
      <w:vertAlign w:val="superscript"/>
    </w:rPr>
  </w:style>
  <w:style w:type="paragraph" w:styleId="ab">
    <w:name w:val="List Paragraph"/>
    <w:basedOn w:val="a"/>
    <w:link w:val="ac"/>
    <w:uiPriority w:val="34"/>
    <w:qFormat/>
    <w:rsid w:val="004B5013"/>
    <w:pPr>
      <w:widowControl w:val="0"/>
      <w:spacing w:after="160" w:line="259" w:lineRule="auto"/>
      <w:ind w:left="720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ac">
    <w:name w:val="列表段落 字符"/>
    <w:basedOn w:val="a0"/>
    <w:link w:val="ab"/>
    <w:uiPriority w:val="34"/>
    <w:rsid w:val="004B5013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Chaorui</dc:creator>
  <cp:keywords/>
  <dc:description/>
  <cp:lastModifiedBy>Wu Chaorui</cp:lastModifiedBy>
  <cp:revision>116</cp:revision>
  <dcterms:created xsi:type="dcterms:W3CDTF">2022-04-01T13:46:00Z</dcterms:created>
  <dcterms:modified xsi:type="dcterms:W3CDTF">2022-07-29T06:00:00Z</dcterms:modified>
</cp:coreProperties>
</file>