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default" w:ascii="Times New Roman" w:hAnsi="Times New Roman" w:cs="Times New Roman"/>
          <w:b/>
          <w:bCs/>
          <w:sz w:val="32"/>
          <w:szCs w:val="32"/>
          <w:lang w:val="en-GB"/>
        </w:rPr>
      </w:pPr>
      <w:r>
        <w:rPr>
          <w:rFonts w:hint="default" w:ascii="Times New Roman" w:hAnsi="Times New Roman" w:cs="Times New Roman"/>
          <w:b/>
          <w:bCs/>
          <w:sz w:val="32"/>
          <w:szCs w:val="32"/>
          <w:lang w:val="en-GB"/>
        </w:rPr>
        <w:t>SGLT2 inhibitors improve kidney function and morphology by regulating renal metabolic reprogramming in mice with diabetic kidney disease</w:t>
      </w:r>
    </w:p>
    <w:p>
      <w:pPr>
        <w:spacing w:line="360" w:lineRule="auto"/>
        <w:jc w:val="center"/>
        <w:rPr>
          <w:rFonts w:hint="default" w:ascii="Times New Roman" w:hAnsi="Times New Roman" w:cs="Times New Roman"/>
          <w:b/>
          <w:bCs/>
          <w:sz w:val="28"/>
          <w:szCs w:val="28"/>
          <w:lang w:val="en-GB"/>
        </w:rPr>
      </w:pPr>
    </w:p>
    <w:p>
      <w:pPr>
        <w:spacing w:line="360" w:lineRule="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vertAlign w:val="superscript"/>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Yong-Ping Lu</w:t>
      </w:r>
      <w:r>
        <w:rPr>
          <w:rFonts w:hint="default" w:ascii="Times New Roman" w:hAnsi="Times New Roman" w:cs="Times New Roman"/>
          <w:color w:val="000000" w:themeColor="text1"/>
          <w:sz w:val="24"/>
          <w:highlight w:val="none"/>
          <w:vertAlign w:val="superscript"/>
          <w14:textFill>
            <w14:solidFill>
              <w14:schemeClr w14:val="tx1"/>
            </w14:solidFill>
          </w14:textFill>
        </w:rPr>
        <w:t>1</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 xml:space="preserve">, </w:t>
      </w:r>
      <w:r>
        <w:rPr>
          <w:rFonts w:hint="default" w:ascii="Times New Roman" w:hAnsi="Times New Roman" w:cs="Times New Roman"/>
          <w:color w:val="000000" w:themeColor="text1"/>
          <w:sz w:val="24"/>
          <w:highlight w:val="none"/>
          <w:vertAlign w:val="superscript"/>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Ze-Yu Zhang</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4"/>
          <w:highlight w:val="none"/>
          <w:vertAlign w:val="superscript"/>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Hong-Wei Wu</w:t>
      </w:r>
      <w:r>
        <w:rPr>
          <w:rFonts w:hint="default" w:ascii="Times New Roman" w:hAnsi="Times New Roman" w:cs="Times New Roman"/>
          <w:color w:val="000000" w:themeColor="text1"/>
          <w:sz w:val="24"/>
          <w:highlight w:val="none"/>
          <w:vertAlign w:val="superscript"/>
          <w14:textFill>
            <w14:solidFill>
              <w14:schemeClr w14:val="tx1"/>
            </w14:solidFill>
          </w14:textFill>
        </w:rPr>
        <w:t>2,3</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 xml:space="preserve"> Li-Jing Fang</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4</w:t>
      </w:r>
      <w:r>
        <w:rPr>
          <w:rFonts w:hint="default" w:ascii="Times New Roman" w:hAnsi="Times New Roman" w:cs="Times New Roman"/>
          <w:color w:val="000000" w:themeColor="text1"/>
          <w:sz w:val="24"/>
          <w:highlight w:val="none"/>
          <w:lang w:val="en-US" w:eastAsia="zh-CN"/>
          <w14:textFill>
            <w14:solidFill>
              <w14:schemeClr w14:val="tx1"/>
            </w14:solidFill>
          </w14:textFill>
        </w:rPr>
        <w:t>, Bo Hu</w:t>
      </w:r>
      <w:r>
        <w:rPr>
          <w:rFonts w:hint="default" w:ascii="Times New Roman" w:hAnsi="Times New Roman" w:cs="Times New Roman"/>
          <w:color w:val="000000" w:themeColor="text1"/>
          <w:sz w:val="24"/>
          <w:highlight w:val="none"/>
          <w:vertAlign w:val="superscript"/>
          <w14:textFill>
            <w14:solidFill>
              <w14:schemeClr w14:val="tx1"/>
            </w14:solidFill>
          </w14:textFill>
        </w:rPr>
        <w:t>2</w:t>
      </w:r>
      <w:r>
        <w:rPr>
          <w:rFonts w:hint="default" w:ascii="Times New Roman" w:hAnsi="Times New Roman" w:cs="Times New Roman"/>
          <w:color w:val="000000" w:themeColor="text1"/>
          <w:sz w:val="24"/>
          <w:highlight w:val="none"/>
          <w:lang w:val="en-US" w:eastAsia="zh-CN"/>
          <w14:textFill>
            <w14:solidFill>
              <w14:schemeClr w14:val="tx1"/>
            </w14:solidFill>
          </w14:textFill>
        </w:rPr>
        <w:t>, Chun Tang</w:t>
      </w:r>
      <w:r>
        <w:rPr>
          <w:rFonts w:hint="default" w:ascii="Times New Roman" w:hAnsi="Times New Roman" w:cs="Times New Roman"/>
          <w:color w:val="000000" w:themeColor="text1"/>
          <w:sz w:val="24"/>
          <w:highlight w:val="none"/>
          <w:vertAlign w:val="superscript"/>
          <w14:textFill>
            <w14:solidFill>
              <w14:schemeClr w14:val="tx1"/>
            </w14:solidFill>
          </w14:textFill>
        </w:rPr>
        <w:t>1</w:t>
      </w:r>
      <w:r>
        <w:rPr>
          <w:rFonts w:hint="default" w:ascii="Times New Roman" w:hAnsi="Times New Roman" w:cs="Times New Roman"/>
          <w:color w:val="000000" w:themeColor="text1"/>
          <w:sz w:val="24"/>
          <w:highlight w:val="none"/>
          <w:lang w:val="en-US" w:eastAsia="zh-CN"/>
          <w14:textFill>
            <w14:solidFill>
              <w14:schemeClr w14:val="tx1"/>
            </w14:solidFill>
          </w14:textFill>
        </w:rPr>
        <w:t>, Yi-Qing Zhang</w:t>
      </w:r>
      <w:r>
        <w:rPr>
          <w:rFonts w:hint="default" w:ascii="Times New Roman" w:hAnsi="Times New Roman" w:cs="Times New Roman"/>
          <w:color w:val="000000" w:themeColor="text1"/>
          <w:sz w:val="24"/>
          <w:highlight w:val="none"/>
          <w:vertAlign w:val="superscript"/>
          <w14:textFill>
            <w14:solidFill>
              <w14:schemeClr w14:val="tx1"/>
            </w14:solidFill>
          </w14:textFill>
        </w:rPr>
        <w:t>1</w:t>
      </w:r>
      <w:r>
        <w:rPr>
          <w:rFonts w:hint="default" w:ascii="Times New Roman" w:hAnsi="Times New Roman" w:cs="Times New Roman"/>
          <w:color w:val="000000" w:themeColor="text1"/>
          <w:sz w:val="24"/>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"https://pubmed.ncbi.nlm.nih.gov/?sort=date&amp;term=Yin+L&amp;cauthor_id=33614731"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sz w:val="24"/>
          <w:highlight w:val="none"/>
          <w14:textFill>
            <w14:solidFill>
              <w14:schemeClr w14:val="tx1"/>
            </w14:solidFill>
          </w14:textFill>
        </w:rPr>
        <w:t>Lianghong Yin</w:t>
      </w:r>
      <w:r>
        <w:rPr>
          <w:rFonts w:hint="default" w:ascii="Times New Roman" w:hAnsi="Times New Roman" w:cs="Times New Roman"/>
          <w:color w:val="000000" w:themeColor="text1"/>
          <w:sz w:val="24"/>
          <w:highlight w:val="none"/>
          <w14:textFill>
            <w14:solidFill>
              <w14:schemeClr w14:val="tx1"/>
            </w14:solidFill>
          </w14:textFill>
        </w:rPr>
        <w:fldChar w:fldCharType="end"/>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 xml:space="preserve">, </w:t>
      </w:r>
      <w:r>
        <w:rPr>
          <w:rFonts w:hint="default" w:ascii="Times New Roman" w:hAnsi="Times New Roman" w:cs="Times New Roman"/>
          <w:color w:val="000000" w:themeColor="text1"/>
          <w:sz w:val="24"/>
          <w:highlight w:val="none"/>
          <w:lang w:val="en-US" w:eastAsia="zh-CN"/>
          <w14:textFill>
            <w14:solidFill>
              <w14:schemeClr w14:val="tx1"/>
            </w14:solidFill>
          </w14:textFill>
        </w:rPr>
        <w:t>Dong-E Tang</w:t>
      </w:r>
      <w:r>
        <w:rPr>
          <w:rFonts w:hint="default" w:ascii="Times New Roman" w:hAnsi="Times New Roman" w:cs="Times New Roman"/>
          <w:color w:val="000000" w:themeColor="text1"/>
          <w:sz w:val="24"/>
          <w:highlight w:val="none"/>
          <w:vertAlign w:val="superscript"/>
          <w14:textFill>
            <w14:solidFill>
              <w14:schemeClr w14:val="tx1"/>
            </w14:solidFill>
          </w14:textFill>
        </w:rPr>
        <w:t>1</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vertAlign w:val="superscript"/>
          <w14:textFill>
            <w14:solidFill>
              <w14:schemeClr w14:val="tx1"/>
            </w14:solidFill>
          </w14:textFill>
        </w:rPr>
        <w:t xml:space="preserve"> </w:t>
      </w:r>
      <w:r>
        <w:rPr>
          <w:rFonts w:hint="default" w:ascii="Times New Roman" w:hAnsi="Times New Roman" w:cs="Times New Roman"/>
          <w:color w:val="000000" w:themeColor="text1"/>
          <w:sz w:val="24"/>
          <w:highlight w:val="none"/>
          <w14:textFill>
            <w14:solidFill>
              <w14:schemeClr w14:val="tx1"/>
            </w14:solidFill>
          </w14:textFill>
        </w:rPr>
        <w:t>*Zhi-Hua Zheng</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4"/>
          <w:highlight w:val="none"/>
          <w14:textFill>
            <w14:solidFill>
              <w14:schemeClr w14:val="tx1"/>
            </w14:solidFill>
          </w14:textFill>
        </w:rPr>
        <w:t>*Ting Zhu</w:t>
      </w:r>
      <w:r>
        <w:rPr>
          <w:rFonts w:hint="default" w:ascii="Times New Roman" w:hAnsi="Times New Roman" w:cs="Times New Roman"/>
          <w:color w:val="000000" w:themeColor="text1"/>
          <w:sz w:val="24"/>
          <w:highlight w:val="none"/>
          <w:vertAlign w:val="superscript"/>
          <w14:textFill>
            <w14:solidFill>
              <w14:schemeClr w14:val="tx1"/>
            </w14:solidFill>
          </w14:textFill>
        </w:rPr>
        <w:t>1</w:t>
      </w:r>
      <w:r>
        <w:rPr>
          <w:rFonts w:hint="default" w:ascii="Times New Roman" w:hAnsi="Times New Roman" w:cs="Times New Roman"/>
          <w:color w:val="000000" w:themeColor="text1"/>
          <w:sz w:val="24"/>
          <w:highlight w:val="none"/>
          <w14:textFill>
            <w14:solidFill>
              <w14:schemeClr w14:val="tx1"/>
            </w14:solidFill>
          </w14:textFill>
        </w:rPr>
        <w:t>, *</w:t>
      </w:r>
      <w:r>
        <w:rPr>
          <w:rFonts w:hint="default" w:ascii="Times New Roman" w:hAnsi="Times New Roman" w:cs="Times New Roman"/>
          <w:color w:val="000000" w:themeColor="text1"/>
          <w:sz w:val="24"/>
          <w:highlight w:val="none"/>
          <w:lang w:val="en-US" w:eastAsia="zh-CN"/>
          <w14:textFill>
            <w14:solidFill>
              <w14:schemeClr w14:val="tx1"/>
            </w14:solidFill>
          </w14:textFill>
        </w:rPr>
        <w:t>Yong Dai</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3</w:t>
      </w:r>
    </w:p>
    <w:p>
      <w:pPr>
        <w:spacing w:line="360" w:lineRule="auto"/>
        <w:rPr>
          <w:rFonts w:hint="default" w:ascii="Times New Roman" w:hAnsi="Times New Roman" w:cs="Times New Roman"/>
          <w:color w:val="000000" w:themeColor="text1"/>
          <w:sz w:val="24"/>
          <w:highlight w:val="none"/>
          <w:lang w:val="zh-CN"/>
          <w14:textFill>
            <w14:solidFill>
              <w14:schemeClr w14:val="tx1"/>
            </w14:solidFill>
          </w14:textFill>
        </w:rPr>
      </w:pPr>
      <w:r>
        <w:rPr>
          <w:rFonts w:hint="default" w:ascii="Times New Roman" w:hAnsi="Times New Roman" w:cs="Times New Roman"/>
          <w:color w:val="000000" w:themeColor="text1"/>
          <w:sz w:val="24"/>
          <w:highlight w:val="none"/>
          <w:vertAlign w:val="superscript"/>
          <w:lang w:val="zh-CN"/>
          <w14:textFill>
            <w14:solidFill>
              <w14:schemeClr w14:val="tx1"/>
            </w14:solidFill>
          </w14:textFill>
        </w:rPr>
        <w:t>1</w:t>
      </w:r>
      <w:r>
        <w:rPr>
          <w:rFonts w:hint="default" w:ascii="Times New Roman" w:hAnsi="Times New Roman" w:cs="Times New Roman"/>
          <w:color w:val="000000" w:themeColor="text1"/>
          <w:sz w:val="24"/>
          <w:highlight w:val="none"/>
          <w:vertAlign w:val="superscript"/>
          <w14:textFill>
            <w14:solidFill>
              <w14:schemeClr w14:val="tx1"/>
            </w14:solidFill>
          </w14:textFill>
        </w:rPr>
        <w:t xml:space="preserve"> </w:t>
      </w:r>
      <w:r>
        <w:rPr>
          <w:rFonts w:hint="default" w:ascii="Times New Roman" w:hAnsi="Times New Roman" w:cs="Times New Roman"/>
          <w:color w:val="000000" w:themeColor="text1"/>
          <w:sz w:val="24"/>
          <w:highlight w:val="none"/>
          <w:lang w:val="zh-CN"/>
          <w14:textFill>
            <w14:solidFill>
              <w14:schemeClr w14:val="tx1"/>
            </w14:solidFill>
          </w14:textFill>
        </w:rPr>
        <w:t xml:space="preserve">Department of Nephrology, Center of Kidney and Urology, the seventh affiliated Hospital, Sun Yat-sen University, Shenzhen, China </w:t>
      </w:r>
    </w:p>
    <w:p>
      <w:pPr>
        <w:spacing w:line="360" w:lineRule="auto"/>
        <w:rPr>
          <w:rFonts w:hint="default" w:ascii="Times New Roman" w:hAnsi="Times New Roman" w:cs="Times New Roman"/>
          <w:color w:val="000000" w:themeColor="text1"/>
          <w:sz w:val="24"/>
          <w:highlight w:val="none"/>
          <w:lang w:val="zh-CN"/>
          <w14:textFill>
            <w14:solidFill>
              <w14:schemeClr w14:val="tx1"/>
            </w14:solidFill>
          </w14:textFill>
        </w:rPr>
      </w:pP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highlight w:val="none"/>
          <w:lang w:val="zh-CN"/>
          <w14:textFill>
            <w14:solidFill>
              <w14:schemeClr w14:val="tx1"/>
            </w14:solidFill>
          </w14:textFill>
        </w:rPr>
        <w:t xml:space="preserve"> Department of Nephrology, the First Affiliated Hospital of Jinan University, Guangzhou, China</w:t>
      </w:r>
    </w:p>
    <w:p>
      <w:pPr>
        <w:spacing w:line="360" w:lineRule="auto"/>
        <w:rPr>
          <w:rFonts w:hint="default" w:ascii="Times New Roman" w:hAnsi="Times New Roman" w:cs="Times New Roman"/>
          <w:color w:val="000000" w:themeColor="text1"/>
          <w:sz w:val="24"/>
          <w:highlight w:val="none"/>
          <w:lang w:val="zh-CN"/>
          <w14:textFill>
            <w14:solidFill>
              <w14:schemeClr w14:val="tx1"/>
            </w14:solidFill>
          </w14:textFill>
        </w:rPr>
      </w:pP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highlight w:val="none"/>
          <w:lang w:val="zh-CN"/>
          <w14:textFill>
            <w14:solidFill>
              <w14:schemeClr w14:val="tx1"/>
            </w14:solidFill>
          </w14:textFill>
        </w:rPr>
        <w:t xml:space="preserve"> </w:t>
      </w:r>
      <w:r>
        <w:rPr>
          <w:rFonts w:hint="default" w:ascii="Times New Roman" w:hAnsi="Times New Roman" w:cs="Times New Roman"/>
          <w:color w:val="auto"/>
          <w:sz w:val="24"/>
          <w:szCs w:val="24"/>
        </w:rPr>
        <w:t>Guangdong Provincial Engineering Research Center of Autoimmune Disease Precision Medicine, the Second Clinical Medical College of Jinan University, the First Affiliated Hospital of Southern University of Science and Technology, Shenzhen People</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s Hospital, Shenzhen</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color w:val="000000" w:themeColor="text1"/>
          <w:sz w:val="24"/>
          <w:highlight w:val="none"/>
          <w:lang w:val="zh-CN"/>
          <w14:textFill>
            <w14:solidFill>
              <w14:schemeClr w14:val="tx1"/>
            </w14:solidFill>
          </w14:textFill>
        </w:rPr>
        <w:t>China</w:t>
      </w:r>
    </w:p>
    <w:p>
      <w:pPr>
        <w:spacing w:line="360" w:lineRule="auto"/>
        <w:rPr>
          <w:rFonts w:hint="default" w:ascii="Times New Roman" w:hAnsi="Times New Roman" w:cs="Times New Roman"/>
          <w:sz w:val="24"/>
          <w:szCs w:val="24"/>
          <w:lang w:val="zh-CN"/>
        </w:rPr>
      </w:pP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4</w:t>
      </w:r>
      <w:r>
        <w:rPr>
          <w:rFonts w:hint="default" w:ascii="Times New Roman" w:hAnsi="Times New Roman" w:cs="Times New Roman"/>
          <w:color w:val="000000" w:themeColor="text1"/>
          <w:sz w:val="24"/>
          <w:highlight w:val="none"/>
          <w:lang w:val="zh-CN"/>
          <w14:textFill>
            <w14:solidFill>
              <w14:schemeClr w14:val="tx1"/>
            </w14:solidFill>
          </w14:textFill>
        </w:rPr>
        <w:t xml:space="preserve"> </w:t>
      </w:r>
      <w:r>
        <w:rPr>
          <w:rFonts w:hint="default" w:ascii="Times New Roman" w:hAnsi="Times New Roman" w:cs="Times New Roman"/>
          <w:sz w:val="24"/>
          <w:szCs w:val="24"/>
          <w:lang w:val="zh-CN"/>
        </w:rPr>
        <w:t xml:space="preserve">Department of Nephrology, </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Guangzhou first people's hospital</w:t>
      </w:r>
      <w:r>
        <w:rPr>
          <w:rFonts w:hint="default" w:ascii="Times New Roman" w:hAnsi="Times New Roman" w:cs="Times New Roman"/>
          <w:sz w:val="24"/>
          <w:szCs w:val="24"/>
          <w:lang w:val="zh-CN"/>
        </w:rPr>
        <w:t>, Guangzhou, China</w:t>
      </w:r>
    </w:p>
    <w:p>
      <w:pPr>
        <w:spacing w:line="360" w:lineRule="auto"/>
        <w:rPr>
          <w:rFonts w:hint="default" w:ascii="Times New Roman" w:hAnsi="Times New Roman" w:cs="Times New Roman"/>
          <w:sz w:val="24"/>
          <w:szCs w:val="24"/>
          <w:lang w:val="zh-CN"/>
        </w:rPr>
      </w:pPr>
    </w:p>
    <w:p>
      <w:pPr>
        <w:spacing w:line="360" w:lineRule="auto"/>
        <w:rPr>
          <w:rFonts w:hint="default" w:ascii="Times New Roman" w:hAnsi="Times New Roman" w:cs="Times New Roman"/>
          <w:color w:val="000000" w:themeColor="text1"/>
          <w:sz w:val="24"/>
          <w:highlight w:val="none"/>
          <w:lang w:val="zh-CN"/>
          <w14:textFill>
            <w14:solidFill>
              <w14:schemeClr w14:val="tx1"/>
            </w14:solidFill>
          </w14:textFill>
        </w:rPr>
      </w:pPr>
      <w:r>
        <w:rPr>
          <w:rFonts w:hint="default" w:ascii="Times New Roman" w:hAnsi="Times New Roman" w:cs="Times New Roman"/>
          <w:color w:val="000000" w:themeColor="text1"/>
          <w:sz w:val="24"/>
          <w:highlight w:val="none"/>
          <w:vertAlign w:val="superscript"/>
          <w:lang w:val="zh-CN"/>
          <w14:textFill>
            <w14:solidFill>
              <w14:schemeClr w14:val="tx1"/>
            </w14:solidFill>
          </w14:textFill>
        </w:rPr>
        <w:t>#</w:t>
      </w:r>
      <w:r>
        <w:rPr>
          <w:rFonts w:hint="default" w:ascii="Times New Roman" w:hAnsi="Times New Roman" w:cs="Times New Roman"/>
          <w:color w:val="000000" w:themeColor="text1"/>
          <w:sz w:val="24"/>
          <w:highlight w:val="none"/>
          <w:lang w:val="zh-CN"/>
          <w14:textFill>
            <w14:solidFill>
              <w14:schemeClr w14:val="tx1"/>
            </w14:solidFill>
          </w14:textFill>
        </w:rPr>
        <w:t xml:space="preserve"> Yong-Ping Lu, Hong-Wei Wu</w:t>
      </w:r>
      <w:r>
        <w:rPr>
          <w:rFonts w:hint="default" w:ascii="Times New Roman" w:hAnsi="Times New Roman" w:cs="Times New Roman"/>
          <w:color w:val="000000" w:themeColor="text1"/>
          <w:sz w:val="24"/>
          <w:highlight w:val="none"/>
          <w:lang w:val="en-US" w:eastAsia="zh-CN"/>
          <w14:textFill>
            <w14:solidFill>
              <w14:schemeClr w14:val="tx1"/>
            </w14:solidFill>
          </w14:textFill>
        </w:rPr>
        <w:t>, and Ze-Yu Zhang</w:t>
      </w:r>
      <w:r>
        <w:rPr>
          <w:rFonts w:hint="default" w:ascii="Times New Roman" w:hAnsi="Times New Roman" w:cs="Times New Roman"/>
          <w:color w:val="000000" w:themeColor="text1"/>
          <w:sz w:val="24"/>
          <w:highlight w:val="none"/>
          <w:lang w:val="zh-CN"/>
          <w14:textFill>
            <w14:solidFill>
              <w14:schemeClr w14:val="tx1"/>
            </w14:solidFill>
          </w14:textFill>
        </w:rPr>
        <w:t xml:space="preserve"> contributed equally to this work.</w:t>
      </w:r>
    </w:p>
    <w:p>
      <w:pPr>
        <w:spacing w:line="360" w:lineRule="auto"/>
        <w:rPr>
          <w:rFonts w:hint="default" w:ascii="Times New Roman" w:hAnsi="Times New Roman" w:cs="Times New Roman"/>
          <w:b/>
          <w:bCs/>
          <w:color w:val="000000"/>
          <w:sz w:val="24"/>
          <w:szCs w:val="24"/>
        </w:rPr>
      </w:pPr>
    </w:p>
    <w:p>
      <w:pPr>
        <w:spacing w:line="360" w:lineRule="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Prof.Dr.Yong Dai</w:t>
      </w:r>
    </w:p>
    <w:p>
      <w:pPr>
        <w:spacing w:line="360" w:lineRule="auto"/>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lang w:val="en-US" w:eastAsia="zh-CN"/>
        </w:rPr>
        <w:t>T</w:t>
      </w:r>
      <w:r>
        <w:rPr>
          <w:rFonts w:hint="default" w:ascii="Times New Roman" w:hAnsi="Times New Roman" w:cs="Times New Roman"/>
          <w:i/>
          <w:iCs/>
          <w:color w:val="000000"/>
          <w:sz w:val="24"/>
          <w:szCs w:val="24"/>
        </w:rPr>
        <w:t>he First Affiliated Hospital of Southern University of Science and Technology, the Second Clinical Medical College of Jinan University, Shenzhen People’s Hospital, Shenzhen 518020, China, Tel: +86 0755-22942780, E-mail address: daiyong22@aliyun.com</w:t>
      </w:r>
    </w:p>
    <w:p>
      <w:pPr>
        <w:spacing w:line="360" w:lineRule="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Dr</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lang w:val="en-US" w:eastAsia="zh-CN"/>
        </w:rPr>
        <w:t>Ting Zhu</w:t>
      </w:r>
    </w:p>
    <w:p>
      <w:pPr>
        <w:spacing w:line="360" w:lineRule="auto"/>
        <w:rPr>
          <w:rFonts w:hint="default" w:ascii="Times New Roman" w:hAnsi="Times New Roman" w:cs="Times New Roman"/>
          <w:i/>
          <w:iCs/>
          <w:sz w:val="24"/>
          <w:szCs w:val="24"/>
        </w:rPr>
      </w:pPr>
      <w:r>
        <w:rPr>
          <w:rFonts w:hint="default" w:ascii="Times New Roman" w:hAnsi="Times New Roman" w:cs="Times New Roman"/>
          <w:i/>
          <w:iCs/>
          <w:sz w:val="24"/>
          <w:szCs w:val="24"/>
        </w:rPr>
        <w:t xml:space="preserve">Department of Nephrology, Center of Kidney and Urology, the seventh affiliated Hospital, Sun Yat-sen University, Shenzhen, China, E-mail address: </w:t>
      </w:r>
      <w:r>
        <w:rPr>
          <w:rFonts w:hint="default" w:ascii="Times New Roman" w:hAnsi="Times New Roman" w:cs="Times New Roman"/>
          <w:sz w:val="21"/>
          <w:szCs w:val="21"/>
          <w:lang w:val="en-US" w:eastAsia="zh-CN"/>
        </w:rPr>
        <w:t>ztzoe_093@163.com</w:t>
      </w:r>
      <w:r>
        <w:rPr>
          <w:rFonts w:hint="default" w:ascii="Times New Roman" w:hAnsi="Times New Roman" w:cs="Times New Roman"/>
          <w:i/>
          <w:iCs/>
          <w:sz w:val="24"/>
          <w:szCs w:val="24"/>
        </w:rPr>
        <w:t xml:space="preserve"> </w:t>
      </w:r>
    </w:p>
    <w:p>
      <w:pPr>
        <w:spacing w:line="360" w:lineRule="auto"/>
        <w:rPr>
          <w:rFonts w:hint="default" w:ascii="Times New Roman" w:hAnsi="Times New Roman" w:cs="Times New Roman"/>
          <w:b/>
          <w:bCs/>
          <w:color w:val="000000" w:themeColor="text1"/>
          <w:sz w:val="24"/>
          <w:highlight w:val="none"/>
          <w:u w:val="none"/>
          <w14:textFill>
            <w14:solidFill>
              <w14:schemeClr w14:val="tx1"/>
            </w14:solidFill>
          </w14:textFill>
        </w:rPr>
      </w:pPr>
      <w:r>
        <w:rPr>
          <w:rFonts w:hint="default" w:ascii="Times New Roman" w:hAnsi="Times New Roman" w:cs="Times New Roman"/>
          <w:b/>
          <w:bCs/>
          <w:color w:val="000000" w:themeColor="text1"/>
          <w:sz w:val="24"/>
          <w:highlight w:val="none"/>
          <w:u w:val="none"/>
          <w14:textFill>
            <w14:solidFill>
              <w14:schemeClr w14:val="tx1"/>
            </w14:solidFill>
          </w14:textFill>
        </w:rPr>
        <w:t>Prof. Dr. Zhi-Hua Zheng</w:t>
      </w:r>
    </w:p>
    <w:p>
      <w:pPr>
        <w:spacing w:line="360" w:lineRule="auto"/>
        <w:rPr>
          <w:rStyle w:val="4"/>
          <w:rFonts w:hint="default" w:ascii="Times New Roman" w:hAnsi="Times New Roman" w:cs="Times New Roman"/>
          <w:color w:val="000000" w:themeColor="text1"/>
          <w:sz w:val="24"/>
          <w:highlight w:val="none"/>
          <w:u w:val="none"/>
          <w14:textFill>
            <w14:solidFill>
              <w14:schemeClr w14:val="tx1"/>
            </w14:solidFill>
          </w14:textFill>
        </w:rPr>
      </w:pPr>
      <w:r>
        <w:rPr>
          <w:rFonts w:hint="default" w:ascii="Times New Roman" w:hAnsi="Times New Roman" w:cs="Times New Roman"/>
          <w:color w:val="000000" w:themeColor="text1"/>
          <w:sz w:val="24"/>
          <w:highlight w:val="none"/>
          <w:u w:val="none"/>
          <w14:textFill>
            <w14:solidFill>
              <w14:schemeClr w14:val="tx1"/>
            </w14:solidFill>
          </w14:textFill>
        </w:rPr>
        <w:t xml:space="preserve">Department of nephrology, Center of kidney and urology, the seventh affiliated hospital, Sun Yat-sen university, Shenzhen,China, E-mail address: </w:t>
      </w:r>
      <w:r>
        <w:rPr>
          <w:rFonts w:hint="default" w:ascii="Times New Roman" w:hAnsi="Times New Roman" w:cs="Times New Roman"/>
          <w:color w:val="000000" w:themeColor="text1"/>
          <w:highlight w:val="none"/>
          <w:u w:val="none"/>
          <w14:textFill>
            <w14:solidFill>
              <w14:schemeClr w14:val="tx1"/>
            </w14:solidFill>
          </w14:textFill>
        </w:rPr>
        <w:fldChar w:fldCharType="begin"/>
      </w:r>
      <w:r>
        <w:rPr>
          <w:rFonts w:hint="default" w:ascii="Times New Roman" w:hAnsi="Times New Roman" w:cs="Times New Roman"/>
          <w:color w:val="000000" w:themeColor="text1"/>
          <w:highlight w:val="none"/>
          <w:u w:val="none"/>
          <w14:textFill>
            <w14:solidFill>
              <w14:schemeClr w14:val="tx1"/>
            </w14:solidFill>
          </w14:textFill>
        </w:rPr>
        <w:instrText xml:space="preserve"> HYPERLINK "mailto:zhzhihua@mail.sysu.edu.cn" </w:instrText>
      </w:r>
      <w:r>
        <w:rPr>
          <w:rFonts w:hint="default" w:ascii="Times New Roman" w:hAnsi="Times New Roman" w:cs="Times New Roman"/>
          <w:color w:val="000000" w:themeColor="text1"/>
          <w:highlight w:val="none"/>
          <w:u w:val="none"/>
          <w14:textFill>
            <w14:solidFill>
              <w14:schemeClr w14:val="tx1"/>
            </w14:solidFill>
          </w14:textFill>
        </w:rPr>
        <w:fldChar w:fldCharType="separate"/>
      </w:r>
      <w:r>
        <w:rPr>
          <w:rStyle w:val="4"/>
          <w:rFonts w:hint="default" w:ascii="Times New Roman" w:hAnsi="Times New Roman" w:cs="Times New Roman"/>
          <w:color w:val="000000" w:themeColor="text1"/>
          <w:sz w:val="24"/>
          <w:highlight w:val="none"/>
          <w:u w:val="none"/>
          <w14:textFill>
            <w14:solidFill>
              <w14:schemeClr w14:val="tx1"/>
            </w14:solidFill>
          </w14:textFill>
        </w:rPr>
        <w:t>zhzhihua@mail.sysu.edu.cn</w:t>
      </w:r>
      <w:r>
        <w:rPr>
          <w:rStyle w:val="4"/>
          <w:rFonts w:hint="default" w:ascii="Times New Roman" w:hAnsi="Times New Roman" w:cs="Times New Roman"/>
          <w:color w:val="000000" w:themeColor="text1"/>
          <w:sz w:val="24"/>
          <w:highlight w:val="none"/>
          <w:u w:val="none"/>
          <w14:textFill>
            <w14:solidFill>
              <w14:schemeClr w14:val="tx1"/>
            </w14:solidFill>
          </w14:textFill>
        </w:rPr>
        <w:fldChar w:fldCharType="end"/>
      </w:r>
    </w:p>
    <w:p>
      <w:pPr>
        <w:spacing w:line="360" w:lineRule="auto"/>
        <w:rPr>
          <w:rStyle w:val="4"/>
          <w:rFonts w:hint="default" w:ascii="Times New Roman" w:hAnsi="Times New Roman" w:cs="Times New Roman"/>
          <w:color w:val="000000" w:themeColor="text1"/>
          <w:sz w:val="24"/>
          <w:highlight w:val="none"/>
          <w:u w:val="none"/>
          <w14:textFill>
            <w14:solidFill>
              <w14:schemeClr w14:val="tx1"/>
            </w14:solidFill>
          </w14:textFill>
        </w:rPr>
      </w:pPr>
    </w:p>
    <w:p>
      <w:pPr>
        <w:spacing w:line="360" w:lineRule="auto"/>
        <w:jc w:val="center"/>
        <w:rPr>
          <w:rStyle w:val="4"/>
          <w:rFonts w:hint="default" w:ascii="Times New Roman" w:hAnsi="Times New Roman" w:cs="Times New Roman"/>
          <w:b/>
          <w:bCs/>
          <w:color w:val="000000" w:themeColor="text1"/>
          <w:sz w:val="32"/>
          <w:szCs w:val="32"/>
          <w:highlight w:val="none"/>
          <w:u w:val="none"/>
          <w14:textFill>
            <w14:solidFill>
              <w14:schemeClr w14:val="tx1"/>
            </w14:solidFill>
          </w14:textFill>
        </w:rPr>
      </w:pPr>
      <w:r>
        <w:rPr>
          <w:rStyle w:val="4"/>
          <w:rFonts w:hint="default" w:ascii="Times New Roman" w:hAnsi="Times New Roman" w:cs="Times New Roman"/>
          <w:b/>
          <w:bCs/>
          <w:color w:val="000000" w:themeColor="text1"/>
          <w:sz w:val="32"/>
          <w:szCs w:val="32"/>
          <w:highlight w:val="none"/>
          <w:u w:val="none"/>
          <w14:textFill>
            <w14:solidFill>
              <w14:schemeClr w14:val="tx1"/>
            </w14:solidFill>
          </w14:textFill>
        </w:rPr>
        <w:t>Supplementary Figure</w:t>
      </w:r>
    </w:p>
    <w:p>
      <w:pPr>
        <w:spacing w:line="360" w:lineRule="auto"/>
        <w:jc w:val="center"/>
        <w:rPr>
          <w:rStyle w:val="4"/>
          <w:rFonts w:hint="default" w:ascii="Times New Roman" w:hAnsi="Times New Roman" w:cs="Times New Roman"/>
          <w:b/>
          <w:bCs/>
          <w:color w:val="000000" w:themeColor="text1"/>
          <w:sz w:val="32"/>
          <w:szCs w:val="32"/>
          <w:highlight w:val="none"/>
          <w:u w:val="none"/>
          <w14:textFill>
            <w14:solidFill>
              <w14:schemeClr w14:val="tx1"/>
            </w14:solidFill>
          </w14:textFill>
        </w:rPr>
      </w:pPr>
    </w:p>
    <w:p>
      <w:pPr>
        <w:rPr>
          <w:rFonts w:hint="default" w:ascii="Times New Roman" w:hAnsi="Times New Roman" w:cs="Times New Roman" w:eastAsiaTheme="minorEastAsia"/>
          <w:b/>
          <w:bCs/>
          <w:lang w:val="en-US" w:eastAsia="zh-CN"/>
        </w:rPr>
      </w:pPr>
      <w:r>
        <w:rPr>
          <w:rFonts w:hint="default" w:ascii="Times New Roman" w:hAnsi="Times New Roman" w:cs="Times New Roman" w:eastAsiaTheme="minorEastAsia"/>
          <w:b/>
          <w:bCs/>
          <w:lang w:val="en-US" w:eastAsia="zh-CN"/>
        </w:rPr>
        <w:t>Supplementary Figure S1</w:t>
      </w:r>
      <w:r>
        <w:rPr>
          <w:rFonts w:hint="eastAsia" w:ascii="Times New Roman" w:hAnsi="Times New Roman" w:cs="Times New Roman"/>
          <w:b/>
          <w:bCs/>
          <w:lang w:val="en-US" w:eastAsia="zh-CN"/>
        </w:rPr>
        <w:t>.</w:t>
      </w:r>
      <w:r>
        <w:rPr>
          <w:rFonts w:hint="default" w:ascii="Times New Roman" w:hAnsi="Times New Roman" w:cs="Times New Roman" w:eastAsiaTheme="minorEastAsia"/>
          <w:b/>
          <w:bCs/>
          <w:lang w:val="en-US" w:eastAsia="zh-CN"/>
        </w:rPr>
        <w:t xml:space="preserve"> Quality control of kidney and serum proteomics.</w:t>
      </w:r>
    </w:p>
    <w:p>
      <w:pPr>
        <w:rPr>
          <w:rFonts w:hint="default" w:ascii="Times New Roman" w:hAnsi="Times New Roman" w:cs="Times New Roman" w:eastAsiaTheme="minorEastAsia"/>
          <w:b/>
          <w:bCs/>
          <w:lang w:val="en-US" w:eastAsia="zh-CN"/>
        </w:rPr>
      </w:pPr>
      <w:r>
        <w:rPr>
          <w:rFonts w:hint="default" w:ascii="Times New Roman" w:hAnsi="Times New Roman" w:cs="Times New Roman" w:eastAsiaTheme="minorEastAsia"/>
          <w:b/>
          <w:bCs/>
          <w:lang w:val="en-US" w:eastAsia="zh-CN"/>
        </w:rPr>
        <w:t>Supplementary Figure S2</w:t>
      </w:r>
      <w:r>
        <w:rPr>
          <w:rFonts w:hint="eastAsia" w:ascii="Times New Roman" w:hAnsi="Times New Roman" w:cs="Times New Roman"/>
          <w:b/>
          <w:bCs/>
          <w:lang w:val="en-US" w:eastAsia="zh-CN"/>
        </w:rPr>
        <w:t>.</w:t>
      </w:r>
      <w:r>
        <w:rPr>
          <w:rFonts w:hint="default" w:ascii="Times New Roman" w:hAnsi="Times New Roman" w:cs="Times New Roman" w:eastAsiaTheme="minorEastAsia"/>
          <w:b/>
          <w:bCs/>
          <w:lang w:val="en-US" w:eastAsia="zh-CN"/>
        </w:rPr>
        <w:t xml:space="preserve"> Quality control of kidney and serum metabolomics.</w:t>
      </w:r>
    </w:p>
    <w:p>
      <w:pPr>
        <w:rPr>
          <w:rFonts w:hint="eastAsia" w:ascii="Times New Roman" w:hAnsi="Times New Roman" w:cs="Times New Roman"/>
          <w:b/>
          <w:bCs/>
          <w:lang w:val="en-US" w:eastAsia="zh-CN"/>
        </w:rPr>
      </w:pPr>
      <w:r>
        <w:rPr>
          <w:rFonts w:hint="eastAsia" w:ascii="Times New Roman" w:hAnsi="Times New Roman" w:cs="Times New Roman"/>
          <w:b/>
          <w:bCs/>
          <w:lang w:val="en-US" w:eastAsia="zh-CN"/>
        </w:rPr>
        <w:t>Supplementary Figure S3. The identification of differential expressed metabolites between db/db and Empa group.</w:t>
      </w:r>
    </w:p>
    <w:p>
      <w:pPr>
        <w:rPr>
          <w:rFonts w:hint="default" w:ascii="Times New Roman" w:hAnsi="Times New Roman" w:cs="Times New Roman" w:eastAsiaTheme="minorEastAsia"/>
          <w:b/>
          <w:bCs/>
          <w:lang w:val="en-US" w:eastAsia="zh-CN"/>
        </w:rPr>
      </w:pPr>
    </w:p>
    <w:p>
      <w:pPr>
        <w:rPr>
          <w:rFonts w:hint="default" w:ascii="Times New Roman" w:hAnsi="Times New Roman" w:cs="Times New Roman"/>
        </w:rPr>
      </w:pPr>
    </w:p>
    <w:p>
      <w:pP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drawing>
          <wp:inline distT="0" distB="0" distL="114300" distR="114300">
            <wp:extent cx="5262880" cy="3094355"/>
            <wp:effectExtent l="0" t="0" r="4445" b="1270"/>
            <wp:docPr id="1" name="图片 1" descr="Supplementary figure S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S1_00"/>
                    <pic:cNvPicPr>
                      <a:picLocks noChangeAspect="1"/>
                    </pic:cNvPicPr>
                  </pic:nvPicPr>
                  <pic:blipFill>
                    <a:blip r:embed="rId4"/>
                    <a:stretch>
                      <a:fillRect/>
                    </a:stretch>
                  </pic:blipFill>
                  <pic:spPr>
                    <a:xfrm>
                      <a:off x="0" y="0"/>
                      <a:ext cx="5262880" cy="3094355"/>
                    </a:xfrm>
                    <a:prstGeom prst="rect">
                      <a:avLst/>
                    </a:prstGeom>
                  </pic:spPr>
                </pic:pic>
              </a:graphicData>
            </a:graphic>
          </wp:inline>
        </w:drawing>
      </w:r>
    </w:p>
    <w:p>
      <w:pPr>
        <w:rPr>
          <w:rFonts w:hint="default" w:ascii="Times New Roman" w:hAnsi="Times New Roman" w:cs="Times New Roman" w:eastAsiaTheme="minorEastAsia"/>
          <w:b/>
          <w:bCs/>
          <w:lang w:val="en-US" w:eastAsia="zh-CN"/>
        </w:rPr>
      </w:pPr>
      <w:r>
        <w:rPr>
          <w:rFonts w:hint="default" w:ascii="Times New Roman" w:hAnsi="Times New Roman" w:cs="Times New Roman" w:eastAsiaTheme="minorEastAsia"/>
          <w:b/>
          <w:bCs/>
          <w:lang w:val="en-US" w:eastAsia="zh-CN"/>
        </w:rPr>
        <w:t>Supplementary Figure S1: Quality control of kidney and serum proteomics.</w:t>
      </w:r>
    </w:p>
    <w:p>
      <w:pP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(A and B) The distribution of number of identified proteins in the kidney (A) and serum (B) samples. Each dots with the same color represent multiple independent samples. (C and D) The distribution of peptide numbers of identified proteins in the kidney (C) and serum (D). (E and F) The distribution of protein numbers in the kidney (C) and serum (D) samples.</w:t>
      </w:r>
    </w:p>
    <w:p>
      <w:pP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drawing>
          <wp:inline distT="0" distB="0" distL="114300" distR="114300">
            <wp:extent cx="5262880" cy="6191250"/>
            <wp:effectExtent l="0" t="0" r="4445" b="0"/>
            <wp:docPr id="2" name="图片 2" descr="Supplementary figure S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 S2_00"/>
                    <pic:cNvPicPr>
                      <a:picLocks noChangeAspect="1"/>
                    </pic:cNvPicPr>
                  </pic:nvPicPr>
                  <pic:blipFill>
                    <a:blip r:embed="rId5"/>
                    <a:stretch>
                      <a:fillRect/>
                    </a:stretch>
                  </pic:blipFill>
                  <pic:spPr>
                    <a:xfrm>
                      <a:off x="0" y="0"/>
                      <a:ext cx="5262880" cy="6191250"/>
                    </a:xfrm>
                    <a:prstGeom prst="rect">
                      <a:avLst/>
                    </a:prstGeom>
                  </pic:spPr>
                </pic:pic>
              </a:graphicData>
            </a:graphic>
          </wp:inline>
        </w:drawing>
      </w:r>
    </w:p>
    <w:p>
      <w:pPr>
        <w:rPr>
          <w:rFonts w:hint="default" w:ascii="Times New Roman" w:hAnsi="Times New Roman" w:cs="Times New Roman" w:eastAsiaTheme="minorEastAsia"/>
          <w:b/>
          <w:bCs/>
          <w:lang w:val="en-US" w:eastAsia="zh-CN"/>
        </w:rPr>
      </w:pPr>
      <w:r>
        <w:rPr>
          <w:rFonts w:hint="default" w:ascii="Times New Roman" w:hAnsi="Times New Roman" w:cs="Times New Roman" w:eastAsiaTheme="minorEastAsia"/>
          <w:b/>
          <w:bCs/>
          <w:lang w:val="en-US" w:eastAsia="zh-CN"/>
        </w:rPr>
        <w:t>Supplementary Figure S2: Quality control of kidney and serum metabolomics.</w:t>
      </w:r>
    </w:p>
    <w:p>
      <w:pP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(A</w:t>
      </w:r>
      <w:r>
        <w:rPr>
          <w:rFonts w:hint="eastAsia" w:ascii="Times New Roman" w:hAnsi="Times New Roman" w:cs="Times New Roman"/>
          <w:lang w:val="en-US" w:eastAsia="zh-CN"/>
        </w:rPr>
        <w:t xml:space="preserve"> and</w:t>
      </w:r>
      <w:r>
        <w:rPr>
          <w:rFonts w:hint="default" w:ascii="Times New Roman" w:hAnsi="Times New Roman" w:cs="Times New Roman" w:eastAsiaTheme="minorEastAsia"/>
          <w:lang w:val="en-US" w:eastAsia="zh-CN"/>
        </w:rPr>
        <w:t xml:space="preserve"> B) The diagram for the extracted ion chromatography of internal standard metabolites from all quality control samples in the kidney (A) or serum proteomics (B) in both positive ion model and negative ion model. (C</w:t>
      </w:r>
      <w:r>
        <w:rPr>
          <w:rFonts w:hint="eastAsia" w:ascii="Times New Roman" w:hAnsi="Times New Roman" w:cs="Times New Roman"/>
          <w:lang w:val="en-US" w:eastAsia="zh-CN"/>
        </w:rPr>
        <w:t xml:space="preserve"> and</w:t>
      </w:r>
      <w:r>
        <w:rPr>
          <w:rFonts w:hint="default" w:ascii="Times New Roman" w:hAnsi="Times New Roman" w:cs="Times New Roman" w:eastAsiaTheme="minorEastAsia"/>
          <w:lang w:val="en-US" w:eastAsia="zh-CN"/>
        </w:rPr>
        <w:t xml:space="preserve"> D) The Pearson’s correlation analysis for the QC sample from positive and negative ion models in the kidney (C) and serum (D) metabolomics. (E</w:t>
      </w:r>
      <w:r>
        <w:rPr>
          <w:rFonts w:hint="eastAsia" w:ascii="Times New Roman" w:hAnsi="Times New Roman" w:cs="Times New Roman"/>
          <w:lang w:val="en-US" w:eastAsia="zh-CN"/>
        </w:rPr>
        <w:t xml:space="preserve"> and</w:t>
      </w:r>
      <w:r>
        <w:rPr>
          <w:rFonts w:hint="default" w:ascii="Times New Roman" w:hAnsi="Times New Roman" w:cs="Times New Roman" w:eastAsiaTheme="minorEastAsia"/>
          <w:lang w:val="en-US" w:eastAsia="zh-CN"/>
        </w:rPr>
        <w:t xml:space="preserve"> F) PCA scores plots showing the metabolic profile for db/m, db/db, Empa, and QC groups in the kidney (E) and the serum (F). All QC samples are tightly clustered in PCA scores plots. (G</w:t>
      </w:r>
      <w:r>
        <w:rPr>
          <w:rFonts w:hint="eastAsia" w:ascii="Times New Roman" w:hAnsi="Times New Roman" w:cs="Times New Roman"/>
          <w:lang w:val="en-US" w:eastAsia="zh-CN"/>
        </w:rPr>
        <w:t xml:space="preserve"> and</w:t>
      </w:r>
      <w:r>
        <w:rPr>
          <w:rFonts w:hint="default" w:ascii="Times New Roman" w:hAnsi="Times New Roman" w:cs="Times New Roman" w:eastAsiaTheme="minorEastAsia"/>
          <w:lang w:val="en-US" w:eastAsia="zh-CN"/>
        </w:rPr>
        <w:t xml:space="preserve"> H) Response stability of 3 introduced internal standards from positive and negative ion models in the kidney (G) and serum (H) metabolomics. The smaller the relative standard deviation (RSD) among internal standards, the more system stability and higher quality for the data.</w:t>
      </w:r>
    </w:p>
    <w:p>
      <w:pPr>
        <w:rPr>
          <w:rFonts w:hint="default" w:ascii="Times New Roman" w:hAnsi="Times New Roman" w:cs="Times New Roman" w:eastAsiaTheme="minorEastAsia"/>
          <w:lang w:val="en-US" w:eastAsia="zh-CN"/>
        </w:rPr>
      </w:pPr>
    </w:p>
    <w:p>
      <w:pPr>
        <w:rPr>
          <w:rFonts w:hint="default" w:ascii="Times New Roman" w:hAnsi="Times New Roman" w:cs="Times New Roman" w:eastAsiaTheme="minorEastAsia"/>
          <w:lang w:val="en-US" w:eastAsia="zh-CN"/>
        </w:rPr>
      </w:pPr>
    </w:p>
    <w:p>
      <w:pPr>
        <w:rPr>
          <w:rFonts w:hint="eastAsia" w:ascii="Times New Roman" w:hAnsi="Times New Roman" w:cs="Times New Roman"/>
          <w:b/>
          <w:bCs/>
          <w:lang w:val="en-US" w:eastAsia="zh-CN"/>
        </w:rPr>
      </w:pPr>
      <w:r>
        <w:rPr>
          <w:rFonts w:hint="eastAsia" w:ascii="Times New Roman" w:hAnsi="Times New Roman" w:cs="Times New Roman"/>
          <w:b/>
          <w:bCs/>
          <w:lang w:val="en-US" w:eastAsia="zh-CN"/>
        </w:rPr>
        <w:drawing>
          <wp:inline distT="0" distB="0" distL="114300" distR="114300">
            <wp:extent cx="5269230" cy="4182745"/>
            <wp:effectExtent l="0" t="0" r="7620" b="8255"/>
            <wp:docPr id="3" name="图片 3" descr="Supplementary figure S3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S3_00"/>
                    <pic:cNvPicPr>
                      <a:picLocks noChangeAspect="1"/>
                    </pic:cNvPicPr>
                  </pic:nvPicPr>
                  <pic:blipFill>
                    <a:blip r:embed="rId6"/>
                    <a:stretch>
                      <a:fillRect/>
                    </a:stretch>
                  </pic:blipFill>
                  <pic:spPr>
                    <a:xfrm>
                      <a:off x="0" y="0"/>
                      <a:ext cx="5269230" cy="4182745"/>
                    </a:xfrm>
                    <a:prstGeom prst="rect">
                      <a:avLst/>
                    </a:prstGeom>
                  </pic:spPr>
                </pic:pic>
              </a:graphicData>
            </a:graphic>
          </wp:inline>
        </w:drawing>
      </w:r>
    </w:p>
    <w:p>
      <w:pPr>
        <w:rPr>
          <w:rFonts w:hint="eastAsia" w:ascii="Times New Roman" w:hAnsi="Times New Roman" w:cs="Times New Roman"/>
          <w:b/>
          <w:bCs/>
          <w:lang w:val="en-US" w:eastAsia="zh-CN"/>
        </w:rPr>
      </w:pPr>
      <w:r>
        <w:rPr>
          <w:rFonts w:hint="eastAsia" w:ascii="Times New Roman" w:hAnsi="Times New Roman" w:cs="Times New Roman"/>
          <w:b/>
          <w:bCs/>
          <w:lang w:val="en-US" w:eastAsia="zh-CN"/>
        </w:rPr>
        <w:t>Supplementary Figure S3. The identification of differential expressed metabolites between db/db and Empa group.</w:t>
      </w:r>
    </w:p>
    <w:p>
      <w:pPr>
        <w:rPr>
          <w:rFonts w:hint="default" w:ascii="Times New Roman" w:hAnsi="Times New Roman" w:cs="Times New Roman"/>
          <w:lang w:val="en-US" w:eastAsia="zh-CN"/>
        </w:rPr>
      </w:pPr>
      <w:r>
        <w:rPr>
          <w:rFonts w:hint="eastAsia" w:ascii="Times New Roman" w:hAnsi="Times New Roman" w:cs="Times New Roman"/>
          <w:lang w:val="en-US" w:eastAsia="zh-CN"/>
        </w:rPr>
        <w:t xml:space="preserve">(A, B）PLS-DA score plots for db/db and Empa group in the kidney (A) and the serum (B) metabolomics. (C, D) Venn plot showing the screening methods for 94 and 37 Empa-altered metabolites in the kidney (C) and serum (D), respectively. 194 (kidney) and 74 (serum) differential expressed metabolites between db/db and Empa group was identified with the screening standard of |FC| &gt; 1.5, VIP &gt; 1, </w:t>
      </w:r>
      <w:r>
        <w:rPr>
          <w:rFonts w:hint="eastAsia" w:ascii="Times New Roman" w:hAnsi="Times New Roman" w:cs="Times New Roman"/>
          <w:i/>
          <w:iCs/>
          <w:lang w:val="en-US" w:eastAsia="zh-CN"/>
        </w:rPr>
        <w:t xml:space="preserve">P </w:t>
      </w:r>
      <w:r>
        <w:rPr>
          <w:rFonts w:hint="eastAsia" w:ascii="Times New Roman" w:hAnsi="Times New Roman" w:cs="Times New Roman"/>
          <w:lang w:val="en-US" w:eastAsia="zh-CN"/>
        </w:rPr>
        <w:t>&lt; 0.05, and matched in KEGG and HMDB database. Among them, 94 (kidney) and 37 (serum) metabolites, co-expressed in db/db vs. db/m and Empa vs. db/db groups, are considered Empa-altered metabolites.</w:t>
      </w:r>
    </w:p>
    <w:p>
      <w:pPr>
        <w:rPr>
          <w:rFonts w:hint="default" w:ascii="Times New Roman" w:hAnsi="Times New Roman" w:cs="Times New Roman" w:eastAsiaTheme="minor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iYWY4ZGNiNzRlZWVjMzNmNGY4NzcxZmM5NDY0YzkifQ=="/>
  </w:docVars>
  <w:rsids>
    <w:rsidRoot w:val="00000000"/>
    <w:rsid w:val="614437AF"/>
    <w:rsid w:val="7F4C2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582</Words>
  <Characters>3357</Characters>
  <Lines>0</Lines>
  <Paragraphs>0</Paragraphs>
  <TotalTime>1</TotalTime>
  <ScaleCrop>false</ScaleCrop>
  <LinksUpToDate>false</LinksUpToDate>
  <CharactersWithSpaces>3916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2022-03-21T14:20:00Z</dcterms:created>
  <dc:creator>zy</dc:creator>
  <cp:lastModifiedBy>WPS_1478399293</cp:lastModifiedBy>
  <dcterms:modified xsi:type="dcterms:W3CDTF">2022-08-30T12:12:17Z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BAB4EBB6D0224E278B2720431B7B137D</vt:lpwstr>
  </property>
</Properties>
</file>