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290C1" w14:textId="7BD00F07" w:rsidR="002D1B91" w:rsidRPr="0095279F" w:rsidRDefault="005D23A1" w:rsidP="0095279F">
      <w:pPr>
        <w:spacing w:line="360" w:lineRule="auto"/>
        <w:rPr>
          <w:rFonts w:cs="Times New Roman"/>
          <w:b/>
          <w:sz w:val="24"/>
          <w:szCs w:val="24"/>
        </w:rPr>
      </w:pPr>
      <w:bookmarkStart w:id="0" w:name="OLE_LINK148"/>
      <w:bookmarkStart w:id="1" w:name="OLE_LINK150"/>
      <w:r>
        <w:rPr>
          <w:rFonts w:cs="Times New Roman"/>
          <w:b/>
          <w:sz w:val="24"/>
          <w:szCs w:val="24"/>
        </w:rPr>
        <w:t>Additional file 1</w:t>
      </w:r>
    </w:p>
    <w:p w14:paraId="2687F92F" w14:textId="77777777" w:rsidR="002D1B91" w:rsidRPr="0095279F" w:rsidRDefault="002D1B91" w:rsidP="0095279F">
      <w:pPr>
        <w:spacing w:line="360" w:lineRule="auto"/>
        <w:jc w:val="center"/>
        <w:rPr>
          <w:rFonts w:cs="Times New Roman"/>
          <w:b/>
          <w:sz w:val="18"/>
          <w:szCs w:val="18"/>
        </w:rPr>
      </w:pPr>
      <w:r w:rsidRPr="0095279F">
        <w:rPr>
          <w:rFonts w:cs="Times New Roman"/>
          <w:noProof/>
          <w:sz w:val="18"/>
          <w:szCs w:val="18"/>
        </w:rPr>
        <w:drawing>
          <wp:inline distT="0" distB="0" distL="0" distR="0" wp14:anchorId="634FEE41" wp14:editId="0C743192">
            <wp:extent cx="5266690" cy="3042920"/>
            <wp:effectExtent l="0" t="0" r="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6690" cy="3042920"/>
                    </a:xfrm>
                    <a:prstGeom prst="rect">
                      <a:avLst/>
                    </a:prstGeom>
                    <a:noFill/>
                    <a:ln>
                      <a:noFill/>
                    </a:ln>
                  </pic:spPr>
                </pic:pic>
              </a:graphicData>
            </a:graphic>
          </wp:inline>
        </w:drawing>
      </w:r>
    </w:p>
    <w:p w14:paraId="496F34F9" w14:textId="77777777" w:rsidR="002D1B91" w:rsidRPr="0095279F" w:rsidRDefault="002D1B91" w:rsidP="0095279F">
      <w:pPr>
        <w:spacing w:line="360" w:lineRule="auto"/>
        <w:rPr>
          <w:rFonts w:cs="Times New Roman"/>
          <w:b/>
          <w:sz w:val="18"/>
          <w:szCs w:val="18"/>
        </w:rPr>
      </w:pPr>
      <w:r w:rsidRPr="0095279F">
        <w:rPr>
          <w:rFonts w:cs="Times New Roman"/>
          <w:b/>
          <w:sz w:val="18"/>
          <w:szCs w:val="18"/>
        </w:rPr>
        <w:t>Figure S1. The correlation of differentially expressed proteins in the kidney and serum</w:t>
      </w:r>
    </w:p>
    <w:p w14:paraId="4A501770" w14:textId="77777777" w:rsidR="002D1B91" w:rsidRPr="0095279F" w:rsidRDefault="002D1B91" w:rsidP="0095279F">
      <w:pPr>
        <w:spacing w:line="360" w:lineRule="auto"/>
        <w:rPr>
          <w:rFonts w:cs="Times New Roman"/>
          <w:sz w:val="18"/>
          <w:szCs w:val="18"/>
        </w:rPr>
      </w:pPr>
      <w:bookmarkStart w:id="2" w:name="OLE_LINK147"/>
      <w:bookmarkEnd w:id="0"/>
      <w:bookmarkEnd w:id="1"/>
      <w:r w:rsidRPr="0095279F">
        <w:rPr>
          <w:rFonts w:cs="Times New Roman"/>
          <w:sz w:val="18"/>
          <w:szCs w:val="18"/>
        </w:rPr>
        <w:t>(A)</w:t>
      </w:r>
      <w:bookmarkEnd w:id="2"/>
      <w:r w:rsidRPr="0095279F">
        <w:rPr>
          <w:rFonts w:cs="Times New Roman"/>
          <w:sz w:val="18"/>
          <w:szCs w:val="18"/>
        </w:rPr>
        <w:t xml:space="preserve"> Venn plot showing the intersection of significantly altered proteins (FC &gt; 1.5 or FC &lt; 0.67 and </w:t>
      </w:r>
      <w:r w:rsidRPr="0095279F">
        <w:rPr>
          <w:rFonts w:cs="Times New Roman"/>
          <w:i/>
          <w:iCs/>
          <w:sz w:val="18"/>
          <w:szCs w:val="18"/>
        </w:rPr>
        <w:t>P</w:t>
      </w:r>
      <w:r w:rsidRPr="0095279F">
        <w:rPr>
          <w:rFonts w:cs="Times New Roman"/>
          <w:sz w:val="18"/>
          <w:szCs w:val="18"/>
        </w:rPr>
        <w:t xml:space="preserve"> &lt; 0.05) in the kidney and serum samples. Scatter plot showing the Pearson’s correlation of combined DEPs between serum and kidney proteins in the CT (B) and DKD (C) groups. Scatter plot showing the Pearson’s correlation of combined DEPs between serum and kidney proteins in the DKD (D) and ANT (E) groups. </w:t>
      </w:r>
    </w:p>
    <w:p w14:paraId="7D9FFB80" w14:textId="77777777" w:rsidR="002D1B91" w:rsidRPr="0095279F" w:rsidRDefault="002D1B91" w:rsidP="0095279F">
      <w:pPr>
        <w:spacing w:line="360" w:lineRule="auto"/>
        <w:rPr>
          <w:rFonts w:cs="Times New Roman"/>
          <w:b/>
          <w:color w:val="000000"/>
          <w:sz w:val="18"/>
          <w:szCs w:val="18"/>
        </w:rPr>
      </w:pPr>
      <w:r w:rsidRPr="0095279F">
        <w:rPr>
          <w:rFonts w:cs="Times New Roman"/>
          <w:sz w:val="18"/>
          <w:szCs w:val="18"/>
        </w:rPr>
        <w:br w:type="page"/>
      </w:r>
    </w:p>
    <w:p w14:paraId="7D805934" w14:textId="77777777" w:rsidR="002D1B91" w:rsidRPr="0095279F" w:rsidRDefault="002D1B91" w:rsidP="0095279F">
      <w:pPr>
        <w:spacing w:line="360" w:lineRule="auto"/>
        <w:jc w:val="center"/>
        <w:rPr>
          <w:rFonts w:cs="Times New Roman"/>
          <w:b/>
          <w:color w:val="000000"/>
          <w:sz w:val="18"/>
          <w:szCs w:val="18"/>
        </w:rPr>
      </w:pPr>
      <w:r w:rsidRPr="0095279F">
        <w:rPr>
          <w:rFonts w:cs="Times New Roman"/>
          <w:b/>
          <w:noProof/>
          <w:color w:val="000000"/>
          <w:sz w:val="18"/>
          <w:szCs w:val="18"/>
        </w:rPr>
        <w:lastRenderedPageBreak/>
        <w:drawing>
          <wp:inline distT="0" distB="0" distL="0" distR="0" wp14:anchorId="609E6E7A" wp14:editId="39012041">
            <wp:extent cx="5266690" cy="588899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6690" cy="5888990"/>
                    </a:xfrm>
                    <a:prstGeom prst="rect">
                      <a:avLst/>
                    </a:prstGeom>
                    <a:noFill/>
                    <a:ln>
                      <a:noFill/>
                    </a:ln>
                  </pic:spPr>
                </pic:pic>
              </a:graphicData>
            </a:graphic>
          </wp:inline>
        </w:drawing>
      </w:r>
    </w:p>
    <w:p w14:paraId="3FEB1BE6" w14:textId="77777777" w:rsidR="002D1B91" w:rsidRPr="0095279F" w:rsidRDefault="002D1B91" w:rsidP="0095279F">
      <w:pPr>
        <w:spacing w:line="360" w:lineRule="auto"/>
        <w:rPr>
          <w:rFonts w:cs="Times New Roman"/>
          <w:b/>
          <w:color w:val="000000"/>
          <w:sz w:val="18"/>
          <w:szCs w:val="18"/>
        </w:rPr>
      </w:pPr>
      <w:r w:rsidRPr="0095279F">
        <w:rPr>
          <w:rFonts w:cs="Times New Roman"/>
          <w:b/>
          <w:color w:val="000000"/>
          <w:sz w:val="18"/>
          <w:szCs w:val="18"/>
        </w:rPr>
        <w:t xml:space="preserve">Figure S2. The quality control (QC) of </w:t>
      </w:r>
      <w:r w:rsidRPr="0095279F">
        <w:rPr>
          <w:rFonts w:cs="Times New Roman"/>
          <w:b/>
          <w:bCs/>
          <w:color w:val="000000"/>
          <w:sz w:val="18"/>
          <w:szCs w:val="18"/>
        </w:rPr>
        <w:t>metabolomic profiling in the kidney and serum</w:t>
      </w:r>
    </w:p>
    <w:p w14:paraId="399A11B5" w14:textId="77777777" w:rsidR="002D1B91" w:rsidRPr="0095279F" w:rsidRDefault="002D1B91" w:rsidP="0095279F">
      <w:pPr>
        <w:spacing w:line="360" w:lineRule="auto"/>
        <w:rPr>
          <w:rFonts w:cs="Times New Roman"/>
          <w:sz w:val="18"/>
          <w:szCs w:val="18"/>
        </w:rPr>
      </w:pPr>
      <w:r w:rsidRPr="0095279F">
        <w:rPr>
          <w:rFonts w:cs="Times New Roman"/>
          <w:sz w:val="18"/>
          <w:szCs w:val="18"/>
        </w:rPr>
        <w:t xml:space="preserve">The extracted ion chromatograms (EIC) of the internal standard (IS) in kidney QC samples in negative (A) and positive (B) ion model. The EIC of the IS in serum QC samples in negative </w:t>
      </w:r>
      <w:bookmarkStart w:id="3" w:name="OLE_LINK151"/>
      <w:bookmarkStart w:id="4" w:name="OLE_LINK152"/>
      <w:r w:rsidRPr="0095279F">
        <w:rPr>
          <w:rFonts w:cs="Times New Roman"/>
          <w:sz w:val="18"/>
          <w:szCs w:val="18"/>
        </w:rPr>
        <w:t>(C)</w:t>
      </w:r>
      <w:bookmarkEnd w:id="3"/>
      <w:bookmarkEnd w:id="4"/>
      <w:r w:rsidRPr="0095279F">
        <w:rPr>
          <w:rFonts w:cs="Times New Roman"/>
          <w:sz w:val="18"/>
          <w:szCs w:val="18"/>
        </w:rPr>
        <w:t xml:space="preserve"> and positive (D) ion model. Pearson correlation analysis for QC samples in the kidney (E) and serum (F). 3D-PLS-DA score plots exhibited a significant separation trend among the CT, DKD, ANT, and QC groups in the kidney (G) and serum (H).</w:t>
      </w:r>
    </w:p>
    <w:p w14:paraId="66A62DB6" w14:textId="77777777" w:rsidR="002D1B91" w:rsidRPr="0095279F" w:rsidRDefault="002D1B91" w:rsidP="0095279F">
      <w:pPr>
        <w:spacing w:line="360" w:lineRule="auto"/>
        <w:rPr>
          <w:rFonts w:cs="Times New Roman"/>
          <w:b/>
          <w:sz w:val="18"/>
          <w:szCs w:val="18"/>
        </w:rPr>
      </w:pPr>
      <w:r w:rsidRPr="0095279F">
        <w:rPr>
          <w:rFonts w:cs="Times New Roman"/>
          <w:sz w:val="18"/>
          <w:szCs w:val="18"/>
        </w:rPr>
        <w:br w:type="page"/>
      </w:r>
    </w:p>
    <w:p w14:paraId="10347A9C" w14:textId="77777777" w:rsidR="002D1B91" w:rsidRPr="0095279F" w:rsidRDefault="002D1B91" w:rsidP="0095279F">
      <w:pPr>
        <w:spacing w:line="360" w:lineRule="auto"/>
        <w:jc w:val="center"/>
        <w:rPr>
          <w:rFonts w:cs="Times New Roman"/>
          <w:b/>
          <w:sz w:val="18"/>
          <w:szCs w:val="18"/>
        </w:rPr>
      </w:pPr>
      <w:r w:rsidRPr="0095279F">
        <w:rPr>
          <w:rFonts w:cs="Times New Roman"/>
          <w:noProof/>
          <w:sz w:val="18"/>
          <w:szCs w:val="18"/>
        </w:rPr>
        <w:lastRenderedPageBreak/>
        <w:drawing>
          <wp:inline distT="0" distB="0" distL="0" distR="0" wp14:anchorId="7B3F2099" wp14:editId="3FD27642">
            <wp:extent cx="5266690" cy="3672205"/>
            <wp:effectExtent l="0" t="0" r="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6690" cy="3672205"/>
                    </a:xfrm>
                    <a:prstGeom prst="rect">
                      <a:avLst/>
                    </a:prstGeom>
                    <a:noFill/>
                    <a:ln>
                      <a:noFill/>
                    </a:ln>
                  </pic:spPr>
                </pic:pic>
              </a:graphicData>
            </a:graphic>
          </wp:inline>
        </w:drawing>
      </w:r>
    </w:p>
    <w:p w14:paraId="48505DD5" w14:textId="77777777" w:rsidR="002D1B91" w:rsidRPr="0095279F" w:rsidRDefault="002D1B91" w:rsidP="0095279F">
      <w:pPr>
        <w:spacing w:line="360" w:lineRule="auto"/>
        <w:rPr>
          <w:rFonts w:cs="Times New Roman"/>
          <w:b/>
          <w:sz w:val="18"/>
          <w:szCs w:val="18"/>
        </w:rPr>
      </w:pPr>
      <w:r w:rsidRPr="0095279F">
        <w:rPr>
          <w:rFonts w:cs="Times New Roman"/>
          <w:b/>
          <w:sz w:val="18"/>
          <w:szCs w:val="18"/>
        </w:rPr>
        <w:t>Figure S3. Metabolic profile in the kidney and serum of the ANT group</w:t>
      </w:r>
    </w:p>
    <w:p w14:paraId="760CD62A" w14:textId="6580EEA2" w:rsidR="00BF7314" w:rsidRPr="00BF7314" w:rsidRDefault="002D1B91" w:rsidP="0095279F">
      <w:pPr>
        <w:spacing w:line="360" w:lineRule="auto"/>
        <w:rPr>
          <w:rFonts w:cs="Times New Roman"/>
          <w:sz w:val="18"/>
          <w:szCs w:val="18"/>
        </w:rPr>
      </w:pPr>
      <w:r w:rsidRPr="0095279F">
        <w:rPr>
          <w:rFonts w:cs="Times New Roman"/>
          <w:sz w:val="18"/>
          <w:szCs w:val="18"/>
        </w:rPr>
        <w:t xml:space="preserve">The upset plot for differentially expressed metabolites in the kidney (A) and serum (B) between the ANT and DKD groups. (C) Venn plot showing the intersection of significantly altered metabolites (FC &gt; 1.5 or FC &lt; 0.67, and </w:t>
      </w:r>
      <w:r w:rsidRPr="0095279F">
        <w:rPr>
          <w:rFonts w:cs="Times New Roman"/>
          <w:i/>
          <w:iCs/>
          <w:sz w:val="18"/>
          <w:szCs w:val="18"/>
        </w:rPr>
        <w:t>P</w:t>
      </w:r>
      <w:r w:rsidRPr="0095279F">
        <w:rPr>
          <w:rFonts w:cs="Times New Roman"/>
          <w:sz w:val="18"/>
          <w:szCs w:val="18"/>
        </w:rPr>
        <w:t xml:space="preserve"> &lt; 0.05) in the kidney and serum samples. Scatter plot showing the Pearson’s correlation of combined DEMs between serum and kidney metabolites in the CT (D) and DKD (E) groups. Scatter plot showing the Pearson’s correlation of combined DEMs between serum and kidney metabolites in the DKD (G) and ANT (H) groups. The kidney (F) and serum (I) metabolites profiles after STEM analysis. STEM analysis was applied to obtain the metabolite expression profiles across the CT, DKD, and ANT groups. Profile ID is shown at the top left corner of the profile. Lines in each profile represent the expression pattern of proteins across the three groups (permutation test, </w:t>
      </w:r>
      <w:r w:rsidRPr="0095279F">
        <w:rPr>
          <w:rFonts w:cs="Times New Roman"/>
          <w:i/>
          <w:iCs/>
          <w:sz w:val="18"/>
          <w:szCs w:val="18"/>
        </w:rPr>
        <w:t xml:space="preserve">P </w:t>
      </w:r>
      <w:r w:rsidRPr="0095279F">
        <w:rPr>
          <w:rFonts w:cs="Times New Roman"/>
          <w:sz w:val="18"/>
          <w:szCs w:val="18"/>
        </w:rPr>
        <w:t>&lt; 0.05).</w:t>
      </w:r>
    </w:p>
    <w:p w14:paraId="1C30E4D9" w14:textId="77777777" w:rsidR="00E71BE3" w:rsidRDefault="00E71BE3" w:rsidP="0095279F">
      <w:pPr>
        <w:widowControl/>
        <w:spacing w:line="360" w:lineRule="auto"/>
        <w:jc w:val="left"/>
        <w:rPr>
          <w:rFonts w:cs="Times New Roman"/>
          <w:sz w:val="18"/>
          <w:szCs w:val="18"/>
        </w:rPr>
      </w:pPr>
      <w:r w:rsidRPr="0095279F">
        <w:rPr>
          <w:rFonts w:cs="Times New Roman"/>
          <w:sz w:val="18"/>
          <w:szCs w:val="18"/>
        </w:rPr>
        <w:br w:type="page"/>
      </w:r>
    </w:p>
    <w:p w14:paraId="1D23D766" w14:textId="7CC930C0" w:rsidR="00D80717" w:rsidRDefault="00DD5A1D" w:rsidP="00812A9C">
      <w:pPr>
        <w:widowControl/>
        <w:spacing w:line="360" w:lineRule="auto"/>
        <w:jc w:val="center"/>
        <w:rPr>
          <w:rFonts w:cs="Times New Roman"/>
          <w:b/>
          <w:sz w:val="18"/>
          <w:szCs w:val="18"/>
        </w:rPr>
      </w:pPr>
      <w:r>
        <w:rPr>
          <w:rFonts w:cs="Times New Roman"/>
          <w:b/>
          <w:noProof/>
          <w:sz w:val="18"/>
          <w:szCs w:val="18"/>
        </w:rPr>
        <w:lastRenderedPageBreak/>
        <w:drawing>
          <wp:inline distT="0" distB="0" distL="0" distR="0" wp14:anchorId="4D6020D2" wp14:editId="5034990C">
            <wp:extent cx="5274310" cy="4432300"/>
            <wp:effectExtent l="0" t="0" r="8890"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432300"/>
                    </a:xfrm>
                    <a:prstGeom prst="rect">
                      <a:avLst/>
                    </a:prstGeom>
                  </pic:spPr>
                </pic:pic>
              </a:graphicData>
            </a:graphic>
          </wp:inline>
        </w:drawing>
      </w:r>
    </w:p>
    <w:p w14:paraId="4352FE9D" w14:textId="3EA808B6" w:rsidR="00E8336C" w:rsidRDefault="00BF7314" w:rsidP="002F6DC3">
      <w:pPr>
        <w:widowControl/>
        <w:spacing w:line="360" w:lineRule="auto"/>
        <w:rPr>
          <w:rFonts w:cs="Times New Roman" w:hint="eastAsia"/>
          <w:b/>
          <w:sz w:val="18"/>
          <w:szCs w:val="18"/>
        </w:rPr>
      </w:pPr>
      <w:bookmarkStart w:id="5" w:name="OLE_LINK178"/>
      <w:bookmarkStart w:id="6" w:name="OLE_LINK179"/>
      <w:r w:rsidRPr="003B3C70">
        <w:rPr>
          <w:rFonts w:cs="Times New Roman"/>
          <w:b/>
          <w:sz w:val="18"/>
          <w:szCs w:val="18"/>
        </w:rPr>
        <w:t>Figure S4</w:t>
      </w:r>
      <w:r w:rsidR="002F6DC3">
        <w:rPr>
          <w:rFonts w:cs="Times New Roman" w:hint="eastAsia"/>
          <w:b/>
          <w:sz w:val="18"/>
          <w:szCs w:val="18"/>
        </w:rPr>
        <w:t>.</w:t>
      </w:r>
      <w:r w:rsidRPr="003B3C70">
        <w:rPr>
          <w:rFonts w:cs="Times New Roman"/>
          <w:b/>
          <w:sz w:val="18"/>
          <w:szCs w:val="18"/>
        </w:rPr>
        <w:t xml:space="preserve"> </w:t>
      </w:r>
      <w:bookmarkStart w:id="7" w:name="OLE_LINK180"/>
      <w:bookmarkStart w:id="8" w:name="OLE_LINK181"/>
      <w:bookmarkStart w:id="9" w:name="OLE_LINK182"/>
      <w:bookmarkStart w:id="10" w:name="OLE_LINK183"/>
      <w:r w:rsidRPr="00E8336C">
        <w:rPr>
          <w:rFonts w:cs="Times New Roman"/>
          <w:b/>
          <w:sz w:val="18"/>
          <w:szCs w:val="18"/>
        </w:rPr>
        <w:t>Immunostaining assays of ANT-treated kidney samples</w:t>
      </w:r>
      <w:bookmarkStart w:id="11" w:name="OLE_LINK404"/>
      <w:bookmarkStart w:id="12" w:name="OLE_LINK405"/>
      <w:bookmarkStart w:id="13" w:name="OLE_LINK406"/>
      <w:bookmarkEnd w:id="7"/>
      <w:bookmarkEnd w:id="8"/>
    </w:p>
    <w:p w14:paraId="31E987E0" w14:textId="2579C5BB" w:rsidR="00812A9C" w:rsidRPr="002F6DC3" w:rsidRDefault="00812A9C" w:rsidP="002F6DC3">
      <w:pPr>
        <w:widowControl/>
        <w:spacing w:line="360" w:lineRule="auto"/>
        <w:rPr>
          <w:rFonts w:cs="Times New Roman" w:hint="eastAsia"/>
          <w:b/>
          <w:sz w:val="18"/>
          <w:szCs w:val="18"/>
        </w:rPr>
      </w:pPr>
      <w:r w:rsidRPr="001C2CF6">
        <w:rPr>
          <w:color w:val="3E3D40"/>
          <w:sz w:val="18"/>
          <w:szCs w:val="18"/>
        </w:rPr>
        <w:t>Immuno</w:t>
      </w:r>
      <w:r w:rsidRPr="001C2CF6">
        <w:rPr>
          <w:rFonts w:hint="eastAsia"/>
          <w:color w:val="3E3D40"/>
          <w:sz w:val="18"/>
          <w:szCs w:val="18"/>
        </w:rPr>
        <w:t>fluorescence</w:t>
      </w:r>
      <w:r w:rsidRPr="001C2CF6">
        <w:rPr>
          <w:color w:val="3E3D40"/>
          <w:sz w:val="18"/>
          <w:szCs w:val="18"/>
        </w:rPr>
        <w:t xml:space="preserve"> </w:t>
      </w:r>
      <w:bookmarkEnd w:id="11"/>
      <w:bookmarkEnd w:id="12"/>
      <w:bookmarkEnd w:id="13"/>
      <w:r w:rsidRPr="001C2CF6">
        <w:rPr>
          <w:color w:val="3E3D40"/>
          <w:sz w:val="18"/>
          <w:szCs w:val="18"/>
        </w:rPr>
        <w:t xml:space="preserve">revealed </w:t>
      </w:r>
      <w:r w:rsidRPr="001C2CF6">
        <w:rPr>
          <w:rFonts w:hint="eastAsia"/>
          <w:color w:val="3E3D40"/>
          <w:sz w:val="18"/>
          <w:szCs w:val="18"/>
        </w:rPr>
        <w:t xml:space="preserve">the expression of </w:t>
      </w:r>
      <w:r w:rsidRPr="001C2CF6">
        <w:rPr>
          <w:bCs/>
          <w:color w:val="3E3D40"/>
          <w:sz w:val="18"/>
          <w:szCs w:val="18"/>
        </w:rPr>
        <w:t>(A)</w:t>
      </w:r>
      <w:r w:rsidRPr="001C2CF6">
        <w:rPr>
          <w:color w:val="3E3D40"/>
          <w:sz w:val="18"/>
          <w:szCs w:val="18"/>
        </w:rPr>
        <w:t xml:space="preserve"> </w:t>
      </w:r>
      <w:r w:rsidRPr="001C2CF6">
        <w:rPr>
          <w:rFonts w:hint="eastAsia"/>
          <w:color w:val="3E3D40"/>
          <w:sz w:val="18"/>
          <w:szCs w:val="18"/>
        </w:rPr>
        <w:t xml:space="preserve">Fmo5 and </w:t>
      </w:r>
      <w:r w:rsidRPr="001C2CF6">
        <w:rPr>
          <w:bCs/>
          <w:color w:val="3E3D40"/>
          <w:sz w:val="18"/>
          <w:szCs w:val="18"/>
        </w:rPr>
        <w:t>(</w:t>
      </w:r>
      <w:r w:rsidRPr="001C2CF6">
        <w:rPr>
          <w:rFonts w:hint="eastAsia"/>
          <w:bCs/>
          <w:color w:val="3E3D40"/>
          <w:sz w:val="18"/>
          <w:szCs w:val="18"/>
        </w:rPr>
        <w:t>C</w:t>
      </w:r>
      <w:r w:rsidRPr="001C2CF6">
        <w:rPr>
          <w:bCs/>
          <w:color w:val="3E3D40"/>
          <w:sz w:val="18"/>
          <w:szCs w:val="18"/>
        </w:rPr>
        <w:t>)</w:t>
      </w:r>
      <w:r w:rsidRPr="001C2CF6">
        <w:rPr>
          <w:color w:val="3E3D40"/>
          <w:sz w:val="18"/>
          <w:szCs w:val="18"/>
        </w:rPr>
        <w:t xml:space="preserve"> </w:t>
      </w:r>
      <w:r w:rsidRPr="001C2CF6">
        <w:rPr>
          <w:rFonts w:hint="eastAsia"/>
          <w:color w:val="3E3D40"/>
          <w:sz w:val="18"/>
          <w:szCs w:val="18"/>
        </w:rPr>
        <w:t>Ggt1 levels in kidney tissues for CT, DKD, and ANT groups</w:t>
      </w:r>
      <w:r w:rsidRPr="001C2CF6">
        <w:rPr>
          <w:color w:val="3E3D40"/>
          <w:sz w:val="18"/>
          <w:szCs w:val="18"/>
        </w:rPr>
        <w:t xml:space="preserve"> (blue fluorescence for </w:t>
      </w:r>
      <w:r w:rsidRPr="001C2CF6">
        <w:rPr>
          <w:rFonts w:hint="eastAsia"/>
          <w:color w:val="3E3D40"/>
          <w:sz w:val="18"/>
          <w:szCs w:val="18"/>
        </w:rPr>
        <w:t xml:space="preserve">DAPI; </w:t>
      </w:r>
      <w:r w:rsidRPr="001C2CF6">
        <w:rPr>
          <w:color w:val="3E3D40"/>
          <w:sz w:val="18"/>
          <w:szCs w:val="18"/>
        </w:rPr>
        <w:t xml:space="preserve">red immunofluorescence for </w:t>
      </w:r>
      <w:r w:rsidRPr="001C2CF6">
        <w:rPr>
          <w:rFonts w:hint="eastAsia"/>
          <w:color w:val="3E3D40"/>
          <w:sz w:val="18"/>
          <w:szCs w:val="18"/>
        </w:rPr>
        <w:t>Fmo5 or Ggt1;</w:t>
      </w:r>
      <w:r w:rsidRPr="001C2CF6">
        <w:rPr>
          <w:color w:val="3E3D40"/>
          <w:sz w:val="18"/>
          <w:szCs w:val="18"/>
        </w:rPr>
        <w:t xml:space="preserve"> and scale bar </w:t>
      </w:r>
      <w:r w:rsidRPr="001C2CF6">
        <w:rPr>
          <w:rFonts w:hint="eastAsia"/>
          <w:color w:val="3E3D40"/>
          <w:sz w:val="18"/>
          <w:szCs w:val="18"/>
        </w:rPr>
        <w:t>as</w:t>
      </w:r>
      <w:r w:rsidRPr="001C2CF6">
        <w:rPr>
          <w:color w:val="3E3D40"/>
          <w:sz w:val="18"/>
          <w:szCs w:val="18"/>
        </w:rPr>
        <w:t xml:space="preserve"> 20 µm).</w:t>
      </w:r>
      <w:r w:rsidRPr="001C2CF6">
        <w:rPr>
          <w:rFonts w:hint="eastAsia"/>
          <w:color w:val="3E3D40"/>
          <w:sz w:val="18"/>
          <w:szCs w:val="18"/>
        </w:rPr>
        <w:t xml:space="preserve"> </w:t>
      </w:r>
      <w:r w:rsidRPr="001C2CF6">
        <w:rPr>
          <w:color w:val="3E3D40"/>
          <w:sz w:val="18"/>
          <w:szCs w:val="18"/>
        </w:rPr>
        <w:t xml:space="preserve">The </w:t>
      </w:r>
      <w:r w:rsidRPr="001C2CF6">
        <w:rPr>
          <w:rFonts w:hint="eastAsia"/>
          <w:color w:val="3E3D40"/>
          <w:sz w:val="18"/>
          <w:szCs w:val="18"/>
        </w:rPr>
        <w:t>immunostaining</w:t>
      </w:r>
      <w:r w:rsidRPr="001C2CF6">
        <w:rPr>
          <w:color w:val="3E3D40"/>
          <w:sz w:val="18"/>
          <w:szCs w:val="18"/>
        </w:rPr>
        <w:t xml:space="preserve"> average </w:t>
      </w:r>
      <w:r w:rsidRPr="001C2CF6">
        <w:rPr>
          <w:rFonts w:hint="eastAsia"/>
          <w:color w:val="3E3D40"/>
          <w:sz w:val="18"/>
          <w:szCs w:val="18"/>
        </w:rPr>
        <w:t xml:space="preserve">positive area </w:t>
      </w:r>
      <w:r w:rsidRPr="001C2CF6">
        <w:rPr>
          <w:color w:val="3E3D40"/>
          <w:sz w:val="18"/>
          <w:szCs w:val="18"/>
        </w:rPr>
        <w:t xml:space="preserve">ratio </w:t>
      </w:r>
      <w:r w:rsidRPr="001C2CF6">
        <w:rPr>
          <w:rFonts w:hint="eastAsia"/>
          <w:color w:val="3E3D40"/>
          <w:sz w:val="18"/>
          <w:szCs w:val="18"/>
        </w:rPr>
        <w:t xml:space="preserve">of </w:t>
      </w:r>
      <w:r w:rsidRPr="001C2CF6">
        <w:rPr>
          <w:bCs/>
          <w:color w:val="3E3D40"/>
          <w:sz w:val="18"/>
          <w:szCs w:val="18"/>
        </w:rPr>
        <w:t>(</w:t>
      </w:r>
      <w:r w:rsidRPr="001C2CF6">
        <w:rPr>
          <w:rFonts w:hint="eastAsia"/>
          <w:bCs/>
          <w:color w:val="3E3D40"/>
          <w:sz w:val="18"/>
          <w:szCs w:val="18"/>
        </w:rPr>
        <w:t>B</w:t>
      </w:r>
      <w:r w:rsidRPr="001C2CF6">
        <w:rPr>
          <w:bCs/>
          <w:color w:val="3E3D40"/>
          <w:sz w:val="18"/>
          <w:szCs w:val="18"/>
        </w:rPr>
        <w:t>)</w:t>
      </w:r>
      <w:r w:rsidRPr="001C2CF6">
        <w:rPr>
          <w:color w:val="3E3D40"/>
          <w:sz w:val="18"/>
          <w:szCs w:val="18"/>
        </w:rPr>
        <w:t xml:space="preserve"> </w:t>
      </w:r>
      <w:r w:rsidRPr="001C2CF6">
        <w:rPr>
          <w:rFonts w:hint="eastAsia"/>
          <w:color w:val="3E3D40"/>
          <w:sz w:val="18"/>
          <w:szCs w:val="18"/>
        </w:rPr>
        <w:t>Fmo5 and</w:t>
      </w:r>
      <w:r w:rsidRPr="001C2CF6">
        <w:rPr>
          <w:rFonts w:hint="eastAsia"/>
          <w:bCs/>
          <w:color w:val="3E3D40"/>
          <w:sz w:val="18"/>
          <w:szCs w:val="18"/>
        </w:rPr>
        <w:t xml:space="preserve"> </w:t>
      </w:r>
      <w:r w:rsidRPr="001C2CF6">
        <w:rPr>
          <w:bCs/>
          <w:color w:val="3E3D40"/>
          <w:sz w:val="18"/>
          <w:szCs w:val="18"/>
        </w:rPr>
        <w:t>(</w:t>
      </w:r>
      <w:r w:rsidRPr="001C2CF6">
        <w:rPr>
          <w:rFonts w:hint="eastAsia"/>
          <w:bCs/>
          <w:color w:val="3E3D40"/>
          <w:sz w:val="18"/>
          <w:szCs w:val="18"/>
        </w:rPr>
        <w:t>D</w:t>
      </w:r>
      <w:r w:rsidRPr="001C2CF6">
        <w:rPr>
          <w:bCs/>
          <w:color w:val="3E3D40"/>
          <w:sz w:val="18"/>
          <w:szCs w:val="18"/>
        </w:rPr>
        <w:t>)</w:t>
      </w:r>
      <w:r w:rsidRPr="001C2CF6">
        <w:rPr>
          <w:color w:val="3E3D40"/>
          <w:sz w:val="18"/>
          <w:szCs w:val="18"/>
        </w:rPr>
        <w:t xml:space="preserve"> </w:t>
      </w:r>
      <w:r w:rsidRPr="001C2CF6">
        <w:rPr>
          <w:rFonts w:hint="eastAsia"/>
          <w:color w:val="3E3D40"/>
          <w:sz w:val="18"/>
          <w:szCs w:val="18"/>
        </w:rPr>
        <w:t>Ggt1.</w:t>
      </w:r>
      <w:r w:rsidRPr="003B3C70">
        <w:rPr>
          <w:b/>
          <w:color w:val="3E3D40"/>
          <w:sz w:val="18"/>
          <w:szCs w:val="18"/>
        </w:rPr>
        <w:t xml:space="preserve"> </w:t>
      </w:r>
      <w:r w:rsidRPr="003B3C70">
        <w:rPr>
          <w:color w:val="3E3D40"/>
          <w:sz w:val="18"/>
          <w:szCs w:val="18"/>
        </w:rPr>
        <w:t xml:space="preserve">The results of the statistical analysis are presented in bar charts (mean ± </w:t>
      </w:r>
      <w:r w:rsidRPr="003B3C70">
        <w:rPr>
          <w:rFonts w:hint="eastAsia"/>
          <w:i/>
          <w:iCs/>
          <w:color w:val="3E3D40"/>
          <w:sz w:val="18"/>
          <w:szCs w:val="18"/>
        </w:rPr>
        <w:t>SD</w:t>
      </w:r>
      <w:r w:rsidRPr="003B3C70">
        <w:rPr>
          <w:color w:val="3E3D40"/>
          <w:sz w:val="18"/>
          <w:szCs w:val="18"/>
        </w:rPr>
        <w:t>)</w:t>
      </w:r>
      <w:r w:rsidRPr="003B3C70">
        <w:rPr>
          <w:rFonts w:hint="eastAsia"/>
          <w:color w:val="3E3D40"/>
          <w:sz w:val="18"/>
          <w:szCs w:val="18"/>
        </w:rPr>
        <w:t xml:space="preserve">, </w:t>
      </w:r>
      <w:r w:rsidRPr="003B3C70">
        <w:rPr>
          <w:rFonts w:hint="eastAsia"/>
          <w:color w:val="000000" w:themeColor="text1"/>
          <w:sz w:val="18"/>
          <w:szCs w:val="18"/>
        </w:rPr>
        <w:t xml:space="preserve">by </w:t>
      </w:r>
      <w:r w:rsidRPr="003B3C70">
        <w:rPr>
          <w:color w:val="000000" w:themeColor="text1"/>
          <w:sz w:val="18"/>
          <w:szCs w:val="18"/>
        </w:rPr>
        <w:t xml:space="preserve">one-way ANOVA and multiple comparison using Holm-Sidak’s multiple comparisons test. </w:t>
      </w:r>
      <w:r w:rsidRPr="003B3C70">
        <w:rPr>
          <w:color w:val="3E3D40"/>
          <w:sz w:val="18"/>
          <w:szCs w:val="18"/>
        </w:rPr>
        <w:t>***</w:t>
      </w:r>
      <w:r w:rsidRPr="003B3C70">
        <w:rPr>
          <w:rFonts w:hint="eastAsia"/>
          <w:color w:val="3E3D40"/>
          <w:sz w:val="18"/>
          <w:szCs w:val="18"/>
        </w:rPr>
        <w:t>*</w:t>
      </w:r>
      <w:r w:rsidRPr="003B3C70">
        <w:rPr>
          <w:rFonts w:hint="eastAsia"/>
          <w:i/>
          <w:color w:val="3E3D40"/>
          <w:sz w:val="18"/>
          <w:szCs w:val="18"/>
        </w:rPr>
        <w:t xml:space="preserve"> P</w:t>
      </w:r>
      <w:r w:rsidRPr="003B3C70">
        <w:rPr>
          <w:color w:val="3E3D40"/>
          <w:sz w:val="18"/>
          <w:szCs w:val="18"/>
        </w:rPr>
        <w:t xml:space="preserve"> &lt; 0.0001 compared with </w:t>
      </w:r>
      <w:r w:rsidRPr="003B3C70">
        <w:rPr>
          <w:rFonts w:hint="eastAsia"/>
          <w:color w:val="3E3D40"/>
          <w:sz w:val="18"/>
          <w:szCs w:val="18"/>
        </w:rPr>
        <w:t>CT</w:t>
      </w:r>
      <w:r w:rsidRPr="003B3C70">
        <w:rPr>
          <w:color w:val="3E3D40"/>
          <w:sz w:val="18"/>
          <w:szCs w:val="18"/>
        </w:rPr>
        <w:t>; ##</w:t>
      </w:r>
      <w:r w:rsidRPr="003B3C70">
        <w:rPr>
          <w:rFonts w:hint="eastAsia"/>
          <w:color w:val="3E3D40"/>
          <w:sz w:val="18"/>
          <w:szCs w:val="18"/>
        </w:rPr>
        <w:t xml:space="preserve"> </w:t>
      </w:r>
      <w:r w:rsidRPr="003B3C70">
        <w:rPr>
          <w:rFonts w:hint="eastAsia"/>
          <w:i/>
          <w:color w:val="3E3D40"/>
          <w:sz w:val="18"/>
          <w:szCs w:val="18"/>
        </w:rPr>
        <w:t>P</w:t>
      </w:r>
      <w:r w:rsidRPr="003B3C70">
        <w:rPr>
          <w:color w:val="3E3D40"/>
          <w:sz w:val="18"/>
          <w:szCs w:val="18"/>
        </w:rPr>
        <w:t xml:space="preserve"> &lt; 0.005</w:t>
      </w:r>
      <w:r w:rsidRPr="003B3C70">
        <w:rPr>
          <w:rFonts w:hint="eastAsia"/>
          <w:color w:val="3E3D40"/>
          <w:sz w:val="18"/>
          <w:szCs w:val="18"/>
        </w:rPr>
        <w:t xml:space="preserve"> </w:t>
      </w:r>
      <w:bookmarkStart w:id="14" w:name="OLE_LINK184"/>
      <w:bookmarkStart w:id="15" w:name="OLE_LINK185"/>
      <w:r w:rsidRPr="003B3C70">
        <w:rPr>
          <w:color w:val="3E3D40"/>
          <w:sz w:val="18"/>
          <w:szCs w:val="18"/>
        </w:rPr>
        <w:t xml:space="preserve">compared with </w:t>
      </w:r>
      <w:r w:rsidRPr="003B3C70">
        <w:rPr>
          <w:rFonts w:hint="eastAsia"/>
          <w:color w:val="3E3D40"/>
          <w:sz w:val="18"/>
          <w:szCs w:val="18"/>
        </w:rPr>
        <w:t>DKD</w:t>
      </w:r>
      <w:r w:rsidR="00C06864">
        <w:rPr>
          <w:color w:val="3E3D40"/>
          <w:sz w:val="18"/>
          <w:szCs w:val="18"/>
        </w:rPr>
        <w:t>;</w:t>
      </w:r>
      <w:r w:rsidRPr="003B3C70">
        <w:rPr>
          <w:color w:val="3E3D40"/>
          <w:sz w:val="18"/>
          <w:szCs w:val="18"/>
        </w:rPr>
        <w:t xml:space="preserve"> </w:t>
      </w:r>
      <w:r w:rsidR="00F65509">
        <w:rPr>
          <w:rFonts w:hint="eastAsia"/>
          <w:color w:val="3E3D40"/>
          <w:sz w:val="18"/>
          <w:szCs w:val="18"/>
        </w:rPr>
        <w:t xml:space="preserve">ns, </w:t>
      </w:r>
      <w:r w:rsidRPr="003B3C70">
        <w:rPr>
          <w:color w:val="3E3D40"/>
          <w:sz w:val="18"/>
          <w:szCs w:val="18"/>
        </w:rPr>
        <w:t>not significant.</w:t>
      </w:r>
      <w:bookmarkEnd w:id="14"/>
      <w:bookmarkEnd w:id="15"/>
      <w:r w:rsidR="00C06864" w:rsidRPr="002F6DC3">
        <w:rPr>
          <w:rFonts w:cs="Times New Roman" w:hint="eastAsia"/>
          <w:b/>
          <w:sz w:val="18"/>
          <w:szCs w:val="18"/>
        </w:rPr>
        <w:t xml:space="preserve"> </w:t>
      </w:r>
      <w:bookmarkStart w:id="16" w:name="_GoBack"/>
      <w:bookmarkEnd w:id="16"/>
    </w:p>
    <w:bookmarkEnd w:id="5"/>
    <w:bookmarkEnd w:id="6"/>
    <w:bookmarkEnd w:id="9"/>
    <w:bookmarkEnd w:id="10"/>
    <w:p w14:paraId="4BB96EC3" w14:textId="3E218C34" w:rsidR="006B11AA" w:rsidRPr="0095279F" w:rsidRDefault="006B11AA" w:rsidP="00C06864">
      <w:pPr>
        <w:widowControl/>
        <w:jc w:val="left"/>
        <w:rPr>
          <w:rFonts w:cs="Times New Roman" w:hint="eastAsia"/>
          <w:sz w:val="18"/>
          <w:szCs w:val="18"/>
        </w:rPr>
      </w:pPr>
    </w:p>
    <w:sectPr w:rsidR="006B11AA" w:rsidRPr="0095279F" w:rsidSect="005D23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E2D3B" w14:textId="77777777" w:rsidR="007A3188" w:rsidRDefault="007A3188" w:rsidP="005A5CC6">
      <w:r>
        <w:separator/>
      </w:r>
    </w:p>
  </w:endnote>
  <w:endnote w:type="continuationSeparator" w:id="0">
    <w:p w14:paraId="61321DA5" w14:textId="77777777" w:rsidR="007A3188" w:rsidRDefault="007A3188" w:rsidP="005A5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131FC" w14:textId="77777777" w:rsidR="007A3188" w:rsidRDefault="007A3188" w:rsidP="005A5CC6">
      <w:r>
        <w:separator/>
      </w:r>
    </w:p>
  </w:footnote>
  <w:footnote w:type="continuationSeparator" w:id="0">
    <w:p w14:paraId="758CBBCC" w14:textId="77777777" w:rsidR="007A3188" w:rsidRDefault="007A3188" w:rsidP="005A5C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9"/>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Immun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e9x9weqs09ave0epdps5d1ze0ew2avpss0&quot;&gt;花色苷 anthocyanin&lt;record-ids&gt;&lt;item&gt;611&lt;/item&gt;&lt;/record-ids&gt;&lt;/item&gt;&lt;/Libraries&gt;"/>
  </w:docVars>
  <w:rsids>
    <w:rsidRoot w:val="00BC5B6F"/>
    <w:rsid w:val="000657F8"/>
    <w:rsid w:val="001110B9"/>
    <w:rsid w:val="00162174"/>
    <w:rsid w:val="001C2CF6"/>
    <w:rsid w:val="00287BE7"/>
    <w:rsid w:val="002D1B91"/>
    <w:rsid w:val="002F6DC3"/>
    <w:rsid w:val="00360876"/>
    <w:rsid w:val="00367361"/>
    <w:rsid w:val="003B3C70"/>
    <w:rsid w:val="00422E87"/>
    <w:rsid w:val="005A5CC6"/>
    <w:rsid w:val="005D23A1"/>
    <w:rsid w:val="006B11AA"/>
    <w:rsid w:val="007A3188"/>
    <w:rsid w:val="00812A9C"/>
    <w:rsid w:val="00924A38"/>
    <w:rsid w:val="0095279F"/>
    <w:rsid w:val="00A62CA0"/>
    <w:rsid w:val="00B04E62"/>
    <w:rsid w:val="00B4124B"/>
    <w:rsid w:val="00BC5B6F"/>
    <w:rsid w:val="00BF7314"/>
    <w:rsid w:val="00C06864"/>
    <w:rsid w:val="00C14498"/>
    <w:rsid w:val="00C5492B"/>
    <w:rsid w:val="00CC1253"/>
    <w:rsid w:val="00D22776"/>
    <w:rsid w:val="00D80717"/>
    <w:rsid w:val="00DB006A"/>
    <w:rsid w:val="00DD5A1D"/>
    <w:rsid w:val="00E0406B"/>
    <w:rsid w:val="00E71BE3"/>
    <w:rsid w:val="00E75A1C"/>
    <w:rsid w:val="00E8336C"/>
    <w:rsid w:val="00F65509"/>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3C7CA"/>
  <w15:chartTrackingRefBased/>
  <w15:docId w15:val="{117259C9-9968-4B56-B1AE-8740C0DE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5CC6"/>
    <w:pPr>
      <w:pBdr>
        <w:bottom w:val="single" w:sz="6" w:space="1" w:color="auto"/>
      </w:pBdr>
      <w:tabs>
        <w:tab w:val="center" w:pos="4153"/>
        <w:tab w:val="right" w:pos="8306"/>
      </w:tabs>
      <w:snapToGrid w:val="0"/>
      <w:jc w:val="center"/>
    </w:pPr>
    <w:rPr>
      <w:sz w:val="18"/>
      <w:szCs w:val="18"/>
    </w:rPr>
  </w:style>
  <w:style w:type="character" w:customStyle="1" w:styleId="a4">
    <w:name w:val="页眉字符"/>
    <w:basedOn w:val="a0"/>
    <w:link w:val="a3"/>
    <w:uiPriority w:val="99"/>
    <w:rsid w:val="005A5CC6"/>
    <w:rPr>
      <w:sz w:val="18"/>
      <w:szCs w:val="18"/>
    </w:rPr>
  </w:style>
  <w:style w:type="paragraph" w:styleId="a5">
    <w:name w:val="footer"/>
    <w:basedOn w:val="a"/>
    <w:link w:val="a6"/>
    <w:uiPriority w:val="99"/>
    <w:unhideWhenUsed/>
    <w:rsid w:val="005A5CC6"/>
    <w:pPr>
      <w:tabs>
        <w:tab w:val="center" w:pos="4153"/>
        <w:tab w:val="right" w:pos="8306"/>
      </w:tabs>
      <w:snapToGrid w:val="0"/>
      <w:jc w:val="left"/>
    </w:pPr>
    <w:rPr>
      <w:sz w:val="18"/>
      <w:szCs w:val="18"/>
    </w:rPr>
  </w:style>
  <w:style w:type="character" w:customStyle="1" w:styleId="a6">
    <w:name w:val="页脚字符"/>
    <w:basedOn w:val="a0"/>
    <w:link w:val="a5"/>
    <w:uiPriority w:val="99"/>
    <w:rsid w:val="005A5CC6"/>
    <w:rPr>
      <w:sz w:val="18"/>
      <w:szCs w:val="18"/>
    </w:rPr>
  </w:style>
  <w:style w:type="paragraph" w:customStyle="1" w:styleId="EndNoteBibliographyTitle">
    <w:name w:val="EndNote Bibliography Title"/>
    <w:basedOn w:val="a"/>
    <w:rsid w:val="00A62CA0"/>
    <w:pPr>
      <w:jc w:val="center"/>
    </w:pPr>
    <w:rPr>
      <w:rFonts w:ascii="Calibri" w:hAnsi="Calibri"/>
      <w:sz w:val="20"/>
    </w:rPr>
  </w:style>
  <w:style w:type="paragraph" w:customStyle="1" w:styleId="EndNoteBibliography">
    <w:name w:val="EndNote Bibliography"/>
    <w:basedOn w:val="a"/>
    <w:rsid w:val="00A62CA0"/>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390</Words>
  <Characters>2225</Characters>
  <Application>Microsoft Macintosh Word</Application>
  <DocSecurity>0</DocSecurity>
  <Lines>18</Lines>
  <Paragraphs>5</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Yixi Li</cp:lastModifiedBy>
  <cp:revision>3</cp:revision>
  <dcterms:created xsi:type="dcterms:W3CDTF">2022-10-30T03:47:00Z</dcterms:created>
  <dcterms:modified xsi:type="dcterms:W3CDTF">2022-10-30T03:50:00Z</dcterms:modified>
</cp:coreProperties>
</file>