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795CF" w14:textId="488403A6" w:rsidR="004E24B2" w:rsidRDefault="00BC2395" w:rsidP="000423CF">
      <w:pPr>
        <w:rPr>
          <w:rFonts w:asciiTheme="majorBidi" w:hAnsiTheme="majorBidi" w:cstheme="majorBidi"/>
          <w:color w:val="000000"/>
        </w:rPr>
      </w:pPr>
      <w:r w:rsidRPr="008F6BC3">
        <w:rPr>
          <w:rFonts w:asciiTheme="majorBidi" w:hAnsiTheme="majorBidi" w:cstheme="majorBidi"/>
          <w:b/>
          <w:bCs/>
          <w:color w:val="000000"/>
        </w:rPr>
        <w:t>Supplemental t</w:t>
      </w:r>
      <w:r w:rsidR="00785D8E" w:rsidRPr="008F6BC3">
        <w:rPr>
          <w:rFonts w:asciiTheme="majorBidi" w:hAnsiTheme="majorBidi" w:cstheme="majorBidi"/>
          <w:b/>
          <w:bCs/>
          <w:color w:val="000000"/>
        </w:rPr>
        <w:t xml:space="preserve">able </w:t>
      </w:r>
      <w:r w:rsidRPr="008F6BC3">
        <w:rPr>
          <w:rFonts w:asciiTheme="majorBidi" w:hAnsiTheme="majorBidi" w:cstheme="majorBidi"/>
          <w:b/>
          <w:bCs/>
          <w:color w:val="000000"/>
        </w:rPr>
        <w:t>8</w:t>
      </w:r>
      <w:r w:rsidR="00785D8E" w:rsidRPr="008F6BC3">
        <w:rPr>
          <w:rFonts w:asciiTheme="majorBidi" w:hAnsiTheme="majorBidi" w:cstheme="majorBidi"/>
          <w:b/>
          <w:bCs/>
          <w:color w:val="000000"/>
        </w:rPr>
        <w:t xml:space="preserve">: </w:t>
      </w:r>
      <w:r w:rsidR="00785D8E" w:rsidRPr="008F6BC3">
        <w:rPr>
          <w:rFonts w:asciiTheme="majorBidi" w:hAnsiTheme="majorBidi" w:cstheme="majorBidi"/>
          <w:color w:val="000000"/>
        </w:rPr>
        <w:t xml:space="preserve">Description of 27 genes from 49 differentially methylated </w:t>
      </w:r>
      <w:proofErr w:type="spellStart"/>
      <w:r w:rsidR="00785D8E" w:rsidRPr="008F6BC3">
        <w:rPr>
          <w:rFonts w:asciiTheme="majorBidi" w:hAnsiTheme="majorBidi" w:cstheme="majorBidi"/>
          <w:color w:val="000000"/>
        </w:rPr>
        <w:t>CpGs</w:t>
      </w:r>
      <w:proofErr w:type="spellEnd"/>
      <w:r w:rsidR="00785D8E" w:rsidRPr="008F6BC3">
        <w:rPr>
          <w:rFonts w:asciiTheme="majorBidi" w:hAnsiTheme="majorBidi" w:cstheme="majorBidi"/>
          <w:color w:val="000000"/>
        </w:rPr>
        <w:t xml:space="preserve"> between survived and died patients over </w:t>
      </w:r>
      <w:r w:rsidR="00F62D15">
        <w:rPr>
          <w:rFonts w:asciiTheme="majorBidi" w:hAnsiTheme="majorBidi" w:cstheme="majorBidi"/>
          <w:color w:val="000000"/>
        </w:rPr>
        <w:t>four</w:t>
      </w:r>
      <w:r w:rsidR="00785D8E" w:rsidRPr="008F6BC3">
        <w:rPr>
          <w:rFonts w:asciiTheme="majorBidi" w:hAnsiTheme="majorBidi" w:cstheme="majorBidi"/>
          <w:color w:val="000000"/>
        </w:rPr>
        <w:t xml:space="preserve"> time points:</w:t>
      </w:r>
    </w:p>
    <w:p w14:paraId="0B8CCB4E" w14:textId="77777777" w:rsidR="00B14544" w:rsidRPr="008F6BC3" w:rsidRDefault="00B14544" w:rsidP="000423CF"/>
    <w:tbl>
      <w:tblPr>
        <w:tblW w:w="12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1418"/>
        <w:gridCol w:w="1417"/>
        <w:gridCol w:w="2268"/>
        <w:gridCol w:w="2552"/>
        <w:gridCol w:w="2268"/>
        <w:gridCol w:w="2977"/>
      </w:tblGrid>
      <w:tr w:rsidR="001B486C" w:rsidRPr="008F6BC3" w14:paraId="49438442" w14:textId="77777777" w:rsidTr="000423CF">
        <w:trPr>
          <w:trHeight w:val="5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99AFE78" w14:textId="77777777" w:rsidR="001B486C" w:rsidRPr="008F6BC3" w:rsidRDefault="001B486C" w:rsidP="001B41D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>RefGene</w:t>
            </w:r>
            <w:proofErr w:type="spellEnd"/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 xml:space="preserve"> Name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A210B06" w14:textId="77777777" w:rsidR="001B486C" w:rsidRPr="008F6BC3" w:rsidRDefault="001B486C" w:rsidP="001B41D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>CpG position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40B0BF52" w14:textId="77777777" w:rsidR="001B486C" w:rsidRPr="008F6BC3" w:rsidRDefault="001B486C" w:rsidP="001B41D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>RefGene</w:t>
            </w:r>
            <w:proofErr w:type="spellEnd"/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 xml:space="preserve"> functional annotation*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57A873F8" w14:textId="77777777" w:rsidR="001B486C" w:rsidRPr="008F6BC3" w:rsidRDefault="001B486C" w:rsidP="001B41D7">
            <w:pPr>
              <w:ind w:right="-134"/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>RefGene</w:t>
            </w:r>
            <w:proofErr w:type="spellEnd"/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 xml:space="preserve"> molecular process*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92D1F82" w14:textId="77777777" w:rsidR="001B486C" w:rsidRPr="008F6BC3" w:rsidRDefault="001B486C" w:rsidP="001B41D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 xml:space="preserve">Associated conditions with </w:t>
            </w:r>
            <w:proofErr w:type="spellStart"/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>RefGene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031EA243" w14:textId="77777777" w:rsidR="001B486C" w:rsidRPr="008F6BC3" w:rsidRDefault="001B486C" w:rsidP="001B41D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proofErr w:type="spellStart"/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>RefGene</w:t>
            </w:r>
            <w:proofErr w:type="spellEnd"/>
            <w:r w:rsidRPr="008F6BC3">
              <w:rPr>
                <w:rFonts w:asciiTheme="majorBidi" w:hAnsiTheme="majorBidi" w:cstheme="majorBidi"/>
                <w:b/>
                <w:bCs/>
                <w:color w:val="000000"/>
              </w:rPr>
              <w:t xml:space="preserve"> in COVID-19 related findings </w:t>
            </w:r>
          </w:p>
        </w:tc>
      </w:tr>
      <w:tr w:rsidR="001B486C" w:rsidRPr="008F6BC3" w14:paraId="2359B26D" w14:textId="77777777" w:rsidTr="000423CF">
        <w:trPr>
          <w:trHeight w:val="5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2380612D" w14:textId="6195C909" w:rsidR="001B486C" w:rsidRPr="008F6BC3" w:rsidRDefault="001B486C" w:rsidP="0045729C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DEFB115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0F1CADB4" w14:textId="4A4E5016" w:rsidR="001B486C" w:rsidRPr="008F6BC3" w:rsidRDefault="001B486C" w:rsidP="0045729C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cg00237825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408843" w14:textId="39633276" w:rsidR="001B486C" w:rsidRPr="008F6BC3" w:rsidRDefault="001B486C" w:rsidP="0045729C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78B8632E" w14:textId="2D93A3DF" w:rsidR="001B486C" w:rsidRPr="008F6BC3" w:rsidRDefault="001B486C" w:rsidP="0045729C">
            <w:pPr>
              <w:ind w:right="-134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Innate immune response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9894F80" w14:textId="14027509" w:rsidR="001B486C" w:rsidRPr="008F6BC3" w:rsidRDefault="001B486C" w:rsidP="0045729C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Carcinogenesis; Infections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13BBB69F" w14:textId="6432AC82" w:rsidR="001B486C" w:rsidRPr="008F6BC3" w:rsidRDefault="001B486C" w:rsidP="00044B3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6820F109" w14:textId="77777777" w:rsidTr="000423CF">
        <w:trPr>
          <w:trHeight w:val="567"/>
        </w:trPr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E4837F9" w14:textId="3FCACD1A" w:rsidR="001B486C" w:rsidRPr="008F6BC3" w:rsidRDefault="001B486C" w:rsidP="0045729C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DEFB116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3981C14" w14:textId="622B3356" w:rsidR="001B486C" w:rsidRPr="008F6BC3" w:rsidRDefault="001B486C" w:rsidP="0045729C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cg13700506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D7A1631" w14:textId="2E5D62BA" w:rsidR="001B486C" w:rsidRPr="008F6BC3" w:rsidRDefault="001B486C" w:rsidP="0045729C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3FB21112" w14:textId="4FA15668" w:rsidR="001B486C" w:rsidRPr="008F6BC3" w:rsidRDefault="001B486C" w:rsidP="0045729C">
            <w:pPr>
              <w:ind w:right="-134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Innate immune response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50B453F" w14:textId="7B7CAFA4" w:rsidR="001B486C" w:rsidRPr="008F6BC3" w:rsidRDefault="001B486C" w:rsidP="0045729C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Carcinogenesis; Infections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7C6C7712" w14:textId="2B708801" w:rsidR="001B486C" w:rsidRPr="008F6BC3" w:rsidRDefault="001B486C" w:rsidP="00044B37">
            <w:pPr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6A23B5DD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3E35C05B" w14:textId="77777777" w:rsidR="001B486C" w:rsidRPr="008F6BC3" w:rsidRDefault="001B486C" w:rsidP="0045729C">
            <w:pPr>
              <w:ind w:right="-84"/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SH3PXD2B</w:t>
            </w:r>
          </w:p>
        </w:tc>
        <w:tc>
          <w:tcPr>
            <w:tcW w:w="1417" w:type="dxa"/>
            <w:vAlign w:val="center"/>
          </w:tcPr>
          <w:p w14:paraId="2F212E83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cg10547329</w:t>
            </w:r>
          </w:p>
        </w:tc>
        <w:tc>
          <w:tcPr>
            <w:tcW w:w="2268" w:type="dxa"/>
            <w:vAlign w:val="center"/>
          </w:tcPr>
          <w:p w14:paraId="27022E0F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phosphatidyl-inositol binding;</w:t>
            </w:r>
          </w:p>
          <w:p w14:paraId="19ADC07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NADPH superoxidase activity</w:t>
            </w:r>
          </w:p>
        </w:tc>
        <w:tc>
          <w:tcPr>
            <w:tcW w:w="2552" w:type="dxa"/>
            <w:vAlign w:val="center"/>
          </w:tcPr>
          <w:p w14:paraId="39BCF52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Eye, heart, bone, adipose tissue development;</w:t>
            </w:r>
          </w:p>
          <w:p w14:paraId="211609A0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Cell differentiation;</w:t>
            </w:r>
          </w:p>
          <w:p w14:paraId="657C0FE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proofErr w:type="spellStart"/>
            <w:r w:rsidRPr="008F6BC3">
              <w:rPr>
                <w:rFonts w:asciiTheme="majorBidi" w:hAnsiTheme="majorBidi" w:cstheme="majorBidi"/>
                <w:color w:val="000000"/>
              </w:rPr>
              <w:t>Podosome</w:t>
            </w:r>
            <w:proofErr w:type="spellEnd"/>
            <w:r w:rsidRPr="008F6BC3">
              <w:rPr>
                <w:rFonts w:asciiTheme="majorBidi" w:hAnsiTheme="majorBidi" w:cstheme="majorBidi"/>
                <w:color w:val="000000"/>
              </w:rPr>
              <w:t xml:space="preserve"> assembly</w:t>
            </w:r>
          </w:p>
        </w:tc>
        <w:tc>
          <w:tcPr>
            <w:tcW w:w="2268" w:type="dxa"/>
            <w:vAlign w:val="center"/>
          </w:tcPr>
          <w:p w14:paraId="5D9DC7E3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Frank–Ter </w:t>
            </w:r>
            <w:proofErr w:type="spellStart"/>
            <w:r w:rsidRPr="008F6BC3">
              <w:rPr>
                <w:rFonts w:asciiTheme="majorBidi" w:hAnsiTheme="majorBidi" w:cstheme="majorBidi"/>
                <w:color w:val="000000"/>
              </w:rPr>
              <w:t>Haar</w:t>
            </w:r>
            <w:proofErr w:type="spellEnd"/>
            <w:r w:rsidRPr="008F6BC3">
              <w:rPr>
                <w:rFonts w:asciiTheme="majorBidi" w:hAnsiTheme="majorBidi" w:cstheme="majorBidi"/>
                <w:color w:val="000000"/>
              </w:rPr>
              <w:t xml:space="preserve"> syndrome</w:t>
            </w:r>
          </w:p>
        </w:tc>
        <w:tc>
          <w:tcPr>
            <w:tcW w:w="2977" w:type="dxa"/>
            <w:vAlign w:val="center"/>
          </w:tcPr>
          <w:p w14:paraId="090A45C8" w14:textId="02687D66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79B8546A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7704BF9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MYOG</w:t>
            </w:r>
          </w:p>
        </w:tc>
        <w:tc>
          <w:tcPr>
            <w:tcW w:w="1417" w:type="dxa"/>
            <w:vAlign w:val="center"/>
          </w:tcPr>
          <w:p w14:paraId="0C36072E" w14:textId="77777777" w:rsidR="001B486C" w:rsidRPr="008F6BC3" w:rsidRDefault="001B486C" w:rsidP="0045729C">
            <w:pPr>
              <w:ind w:right="-50"/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cg04395153</w:t>
            </w:r>
          </w:p>
        </w:tc>
        <w:tc>
          <w:tcPr>
            <w:tcW w:w="2268" w:type="dxa"/>
            <w:vAlign w:val="center"/>
          </w:tcPr>
          <w:p w14:paraId="0FBE1999" w14:textId="77777777" w:rsidR="001B486C" w:rsidRPr="008F6BC3" w:rsidRDefault="001B486C" w:rsidP="0045729C">
            <w:pPr>
              <w:ind w:right="-96"/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DNA binding</w:t>
            </w:r>
          </w:p>
        </w:tc>
        <w:tc>
          <w:tcPr>
            <w:tcW w:w="2552" w:type="dxa"/>
            <w:vAlign w:val="center"/>
          </w:tcPr>
          <w:p w14:paraId="0AE8CAA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Myoblast proliferation and differentiation</w:t>
            </w:r>
          </w:p>
        </w:tc>
        <w:tc>
          <w:tcPr>
            <w:tcW w:w="2268" w:type="dxa"/>
            <w:vAlign w:val="center"/>
          </w:tcPr>
          <w:p w14:paraId="4AC9519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Rhabdomyosarcoma</w:t>
            </w:r>
          </w:p>
        </w:tc>
        <w:tc>
          <w:tcPr>
            <w:tcW w:w="2977" w:type="dxa"/>
            <w:vAlign w:val="center"/>
          </w:tcPr>
          <w:p w14:paraId="284BA9A8" w14:textId="64CDBDAF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2FA57E93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2F8B642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SOX9-AS1</w:t>
            </w:r>
          </w:p>
        </w:tc>
        <w:tc>
          <w:tcPr>
            <w:tcW w:w="1417" w:type="dxa"/>
            <w:vAlign w:val="center"/>
          </w:tcPr>
          <w:p w14:paraId="118E6A44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cg14668811</w:t>
            </w:r>
          </w:p>
        </w:tc>
        <w:tc>
          <w:tcPr>
            <w:tcW w:w="2268" w:type="dxa"/>
            <w:vAlign w:val="center"/>
          </w:tcPr>
          <w:p w14:paraId="1F8F5F5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DNA binding</w:t>
            </w:r>
          </w:p>
        </w:tc>
        <w:tc>
          <w:tcPr>
            <w:tcW w:w="2552" w:type="dxa"/>
            <w:vAlign w:val="center"/>
          </w:tcPr>
          <w:p w14:paraId="5A4A3026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Osteoblast, myoblast, mesenchymal proliferation;</w:t>
            </w:r>
          </w:p>
          <w:p w14:paraId="6B2618F0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Immune system inhibition</w:t>
            </w:r>
          </w:p>
        </w:tc>
        <w:tc>
          <w:tcPr>
            <w:tcW w:w="2268" w:type="dxa"/>
            <w:vAlign w:val="center"/>
          </w:tcPr>
          <w:p w14:paraId="6816ADBF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</w:t>
            </w:r>
          </w:p>
        </w:tc>
        <w:tc>
          <w:tcPr>
            <w:tcW w:w="2977" w:type="dxa"/>
            <w:vAlign w:val="center"/>
          </w:tcPr>
          <w:p w14:paraId="49146CFA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Linked to COVID-19 severity in male (Y-linked)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&lt;EndNote&gt;&lt;Cite&gt;&lt;Author&gt;Penna&lt;/Author&gt;&lt;Year&gt;2020&lt;/Year&gt;&lt;IDText&gt;Sex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related differences in COVID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19 lethality&lt;/IDText&gt;&lt;DisplayText&gt;[1]&lt;/DisplayText&gt;&lt;record&gt;&lt;isbn&gt;0007-1188&lt;/isbn&gt;&lt;titles&gt;&lt;title&gt;Sex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related differences in COVID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19 lethality&lt;/title&gt;&lt;secondary-title&gt;British journal of pharmacology&lt;/secondary-title&gt;&lt;/titles&gt;&lt;pages&gt;4375-4385&lt;/pages&gt;&lt;number&gt;19&lt;/number&gt;&lt;contributors&gt;&lt;authors&gt;&lt;author&gt;Penna, Claudia&lt;/author&gt;&lt;author&gt;Mercurio, Valentina&lt;/author&gt;&lt;author&gt;Tocchetti, Carlo G&lt;/author&gt;&lt;author&gt;Pagliaro, Pasquale&lt;/author&gt;&lt;/authors&gt;&lt;/contributors&gt;&lt;added-date format="utc"&gt;1645615059&lt;/added-date&gt;&lt;ref-type name="Journal Article"&gt;17&lt;/ref-type&gt;&lt;dates&gt;&lt;year&gt;2020&lt;/year&gt;&lt;/dates&gt;&lt;rec-number&gt;686&lt;/rec-number&gt;&lt;last-updated-date format="utc"&gt;1645615059&lt;/last-updated-date&gt;&lt;volume&gt;177&lt;/volume&gt;&lt;/record&gt;&lt;/Cite&gt;&lt;/EndNote&gt;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[1]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16A6EDE6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0E25F1F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GRIK4</w:t>
            </w:r>
          </w:p>
        </w:tc>
        <w:tc>
          <w:tcPr>
            <w:tcW w:w="1417" w:type="dxa"/>
            <w:vAlign w:val="center"/>
          </w:tcPr>
          <w:p w14:paraId="60C0B6E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cg25886627</w:t>
            </w:r>
          </w:p>
        </w:tc>
        <w:tc>
          <w:tcPr>
            <w:tcW w:w="2268" w:type="dxa"/>
            <w:vAlign w:val="center"/>
          </w:tcPr>
          <w:p w14:paraId="5C3650E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Glutamate receptor signaling pathway</w:t>
            </w:r>
          </w:p>
        </w:tc>
        <w:tc>
          <w:tcPr>
            <w:tcW w:w="2552" w:type="dxa"/>
            <w:vAlign w:val="center"/>
          </w:tcPr>
          <w:p w14:paraId="2ACB821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  <w:tc>
          <w:tcPr>
            <w:tcW w:w="2268" w:type="dxa"/>
            <w:vAlign w:val="center"/>
          </w:tcPr>
          <w:p w14:paraId="35C552E7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Psychiatric disorders</w:t>
            </w:r>
          </w:p>
        </w:tc>
        <w:tc>
          <w:tcPr>
            <w:tcW w:w="2977" w:type="dxa"/>
            <w:vAlign w:val="center"/>
          </w:tcPr>
          <w:p w14:paraId="6E0A27D4" w14:textId="08E34D6F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5FEF43E9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1D014A07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ACTL9</w:t>
            </w:r>
          </w:p>
        </w:tc>
        <w:tc>
          <w:tcPr>
            <w:tcW w:w="1417" w:type="dxa"/>
            <w:vAlign w:val="center"/>
          </w:tcPr>
          <w:p w14:paraId="5581AE3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cg20074214</w:t>
            </w:r>
          </w:p>
        </w:tc>
        <w:tc>
          <w:tcPr>
            <w:tcW w:w="2268" w:type="dxa"/>
            <w:vAlign w:val="center"/>
          </w:tcPr>
          <w:p w14:paraId="6B05F66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</w:t>
            </w:r>
          </w:p>
        </w:tc>
        <w:tc>
          <w:tcPr>
            <w:tcW w:w="2552" w:type="dxa"/>
            <w:vAlign w:val="center"/>
          </w:tcPr>
          <w:p w14:paraId="5ECADFF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Acrosome assembly</w:t>
            </w:r>
          </w:p>
        </w:tc>
        <w:tc>
          <w:tcPr>
            <w:tcW w:w="2268" w:type="dxa"/>
            <w:vAlign w:val="center"/>
          </w:tcPr>
          <w:p w14:paraId="0AE2B8EE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Infertility; Dermatitis</w:t>
            </w:r>
          </w:p>
        </w:tc>
        <w:tc>
          <w:tcPr>
            <w:tcW w:w="2977" w:type="dxa"/>
            <w:vAlign w:val="center"/>
          </w:tcPr>
          <w:p w14:paraId="36DD3962" w14:textId="0AD65643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1C8C00BA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790D1D47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CHST8</w:t>
            </w:r>
          </w:p>
        </w:tc>
        <w:tc>
          <w:tcPr>
            <w:tcW w:w="1417" w:type="dxa"/>
            <w:vAlign w:val="center"/>
          </w:tcPr>
          <w:p w14:paraId="0729329E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cg10579818</w:t>
            </w:r>
          </w:p>
        </w:tc>
        <w:tc>
          <w:tcPr>
            <w:tcW w:w="2268" w:type="dxa"/>
            <w:vAlign w:val="center"/>
          </w:tcPr>
          <w:p w14:paraId="52879AC2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binding;</w:t>
            </w:r>
          </w:p>
          <w:p w14:paraId="3748E9A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Transferase activity</w:t>
            </w:r>
          </w:p>
        </w:tc>
        <w:tc>
          <w:tcPr>
            <w:tcW w:w="2552" w:type="dxa"/>
            <w:vAlign w:val="center"/>
          </w:tcPr>
          <w:p w14:paraId="0337A793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Sulfur, carbohydrate metabolic process;</w:t>
            </w:r>
          </w:p>
          <w:p w14:paraId="09245CF7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Center nervous system development</w:t>
            </w:r>
          </w:p>
        </w:tc>
        <w:tc>
          <w:tcPr>
            <w:tcW w:w="2268" w:type="dxa"/>
            <w:vAlign w:val="center"/>
          </w:tcPr>
          <w:p w14:paraId="07C3858B" w14:textId="77777777" w:rsidR="001B486C" w:rsidRPr="008F6BC3" w:rsidRDefault="001B486C" w:rsidP="0045729C">
            <w:pPr>
              <w:ind w:right="-102"/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Peeling skin syndrome; Brain metastasis; Encephalopathy</w:t>
            </w:r>
          </w:p>
        </w:tc>
        <w:tc>
          <w:tcPr>
            <w:tcW w:w="2977" w:type="dxa"/>
            <w:vAlign w:val="center"/>
          </w:tcPr>
          <w:p w14:paraId="72E6D526" w14:textId="77777777" w:rsidR="001B486C" w:rsidRPr="008F6BC3" w:rsidRDefault="001B486C" w:rsidP="00044B37">
            <w:pPr>
              <w:ind w:right="-102"/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Downregulated in recovered and retested positive COVID-19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&lt;EndNote&gt;&lt;Cite&gt;&lt;Author&gt;Fang&lt;/Author&gt;&lt;Year&gt;2021&lt;/Year&gt;&lt;IDText&gt;Screening the Hub Genes and Analyzing the Mechanisms in Discharged COVID-19 Patients Retesting Positive through Bioinformatics Analysis&lt;/IDText&gt;&lt;DisplayText&gt;[2]&lt;/DisplayText&gt;&lt;record&gt;&lt;titles&gt;&lt;title&gt;Screening the Hub Genes and Analyzing the Mechanisms in Discharged COVID-19 Patients Retesting Positive through Bioinformatics Analysis&lt;/title&gt;&lt;/titles&gt;&lt;contributors&gt;&lt;authors&gt;&lt;author&gt;Fang, Ke-Ying&lt;/author&gt;&lt;author&gt;Liang, Gui-Ning&lt;/author&gt;&lt;author&gt;Zhuang, Zhuo-Qing&lt;/author&gt;&lt;author&gt;Fang, Yong-Xin&lt;/author&gt;&lt;author&gt;Dong, Yu-Qian&lt;/author&gt;&lt;author&gt;Liang, Chuang-Jia&lt;/author&gt;&lt;author&gt;Chen, Xin-Yan&lt;/author&gt;&lt;author&gt;Guo, Xuguang&lt;/author&gt;&lt;/authors&gt;&lt;/contributors&gt;&lt;added-date format="utc"&gt;1645615303&lt;/added-date&gt;&lt;ref-type name="Journal Article"&gt;17&lt;/ref-type&gt;&lt;dates&gt;&lt;year&gt;2021&lt;/year&gt;&lt;/dates&gt;&lt;rec-number&gt;687&lt;/rec-number&gt;&lt;last-updated-date format="utc"&gt;1645615303&lt;/last-updated-date&gt;&lt;/record&gt;&lt;/Cite&gt;&lt;/EndNote&gt;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[2]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3940CE73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4204A507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MAP4K5</w:t>
            </w:r>
          </w:p>
        </w:tc>
        <w:tc>
          <w:tcPr>
            <w:tcW w:w="1417" w:type="dxa"/>
            <w:vAlign w:val="center"/>
          </w:tcPr>
          <w:p w14:paraId="473BE5FE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cg20383780</w:t>
            </w:r>
          </w:p>
        </w:tc>
        <w:tc>
          <w:tcPr>
            <w:tcW w:w="2268" w:type="dxa"/>
            <w:vAlign w:val="center"/>
          </w:tcPr>
          <w:p w14:paraId="5FF3230E" w14:textId="12064CF1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ATP binding; Kinase activity</w:t>
            </w:r>
          </w:p>
        </w:tc>
        <w:tc>
          <w:tcPr>
            <w:tcW w:w="2552" w:type="dxa"/>
            <w:vAlign w:val="center"/>
          </w:tcPr>
          <w:p w14:paraId="0D94AB80" w14:textId="56A1FE83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Intracellular signal transduction</w:t>
            </w:r>
            <w:r w:rsidR="00A410AF">
              <w:rPr>
                <w:rFonts w:asciiTheme="majorBidi" w:hAnsiTheme="majorBidi" w:cstheme="majorBidi"/>
                <w:color w:val="000000"/>
              </w:rPr>
              <w:t>;</w:t>
            </w:r>
          </w:p>
          <w:p w14:paraId="1B84180E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lastRenderedPageBreak/>
              <w:t>Immune cell infiltration in SONFH</w:t>
            </w:r>
            <w:r w:rsidRPr="008F6BC3">
              <w:rPr>
                <w:rFonts w:asciiTheme="majorBidi" w:hAnsiTheme="majorBidi" w:cstheme="majorBidi"/>
                <w:color w:val="000000"/>
              </w:rPr>
              <w:sym w:font="Symbol" w:char="F0B0"/>
            </w:r>
          </w:p>
        </w:tc>
        <w:tc>
          <w:tcPr>
            <w:tcW w:w="2268" w:type="dxa"/>
            <w:vAlign w:val="center"/>
          </w:tcPr>
          <w:p w14:paraId="2E6F497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lastRenderedPageBreak/>
              <w:t>Osteonecrosis; Cancers</w:t>
            </w:r>
          </w:p>
        </w:tc>
        <w:tc>
          <w:tcPr>
            <w:tcW w:w="2977" w:type="dxa"/>
            <w:vAlign w:val="center"/>
          </w:tcPr>
          <w:p w14:paraId="7E630EEE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Targeted by SARS-CoV-2 protease (ex-vivo)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&lt;EndNote&gt;&lt;Cite&gt;&lt;Author&gt;Pablos&lt;/Author&gt;&lt;Year&gt;2021&lt;/Year&gt;&lt;IDText&gt;Mechanistic insights into COVID-19 by global analysis of the SARS-CoV-2 3CLpro substrate degradome&lt;/IDText&gt;&lt;DisplayText&gt;[3]&lt;/DisplayText&gt;&lt;record&gt;&lt;isbn&gt;2211-1247&lt;/isbn&gt;&lt;titles&gt;&lt;title&gt;Mechanistic insights into COVID-19 by global analysis of the SARS-CoV-2 3CLpro substrate degradome&lt;/title&gt;&lt;secondary-title&gt;Cell reports&lt;/secondary-title&gt;&lt;/titles&gt;&lt;pages&gt;109892&lt;/pages&gt;&lt;number&gt;4&lt;/number&gt;&lt;contributors&gt;&lt;authors&gt;&lt;author&gt;Pablos, Isabel&lt;/author&gt;&lt;author&gt;Machado, Yoan&lt;/author&gt;&lt;author&gt;de Jesus, Hugo C Ramos&lt;/author&gt;&lt;author&gt;Mohamud, Yasir&lt;/author&gt;&lt;author&gt;Kappelhoff, Reinhild&lt;/author&gt;&lt;author&gt;Lindskog, Cecilia&lt;/author&gt;&lt;author&gt;Vlok, Marli&lt;/author&gt;&lt;author&gt;Bell, Peter A&lt;/author&gt;&lt;author&gt;Butler, Georgina S&lt;/author&gt;&lt;author&gt;Grin, Peter M&lt;/author&gt;&lt;/authors&gt;&lt;/contributors&gt;&lt;added-date format="utc"&gt;1645616030&lt;/added-date&gt;&lt;ref-type name="Journal Article"&gt;17&lt;/ref-type&gt;&lt;dates&gt;&lt;year&gt;2021&lt;/year&gt;&lt;/dates&gt;&lt;rec-number&gt;688&lt;/rec-number&gt;&lt;last-updated-date format="utc"&gt;1645616030&lt;/last-updated-date&gt;&lt;volume&gt;37&lt;/volume&gt;&lt;/record&gt;&lt;/Cite&gt;&lt;/EndNote&gt;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[3]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77E30E6E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063CF3B6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RPL34</w:t>
            </w:r>
          </w:p>
        </w:tc>
        <w:tc>
          <w:tcPr>
            <w:tcW w:w="1417" w:type="dxa"/>
            <w:vAlign w:val="center"/>
          </w:tcPr>
          <w:p w14:paraId="6B5E501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cg21648245</w:t>
            </w:r>
          </w:p>
        </w:tc>
        <w:tc>
          <w:tcPr>
            <w:tcW w:w="2268" w:type="dxa"/>
            <w:vAlign w:val="center"/>
          </w:tcPr>
          <w:p w14:paraId="1C33DE1F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RNA binding</w:t>
            </w:r>
          </w:p>
        </w:tc>
        <w:tc>
          <w:tcPr>
            <w:tcW w:w="2552" w:type="dxa"/>
            <w:vAlign w:val="center"/>
          </w:tcPr>
          <w:p w14:paraId="0CDD1BA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Cytoplasmic translation</w:t>
            </w:r>
          </w:p>
        </w:tc>
        <w:tc>
          <w:tcPr>
            <w:tcW w:w="2268" w:type="dxa"/>
            <w:vAlign w:val="center"/>
          </w:tcPr>
          <w:p w14:paraId="1D98C21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</w:t>
            </w:r>
          </w:p>
        </w:tc>
        <w:tc>
          <w:tcPr>
            <w:tcW w:w="2977" w:type="dxa"/>
            <w:vAlign w:val="center"/>
          </w:tcPr>
          <w:p w14:paraId="0859CB90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Reported in diabetic gastroenteropathy patients with COVID-19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&lt;EndNote&gt;&lt;Cite&gt;&lt;Author&gt;Deb&lt;/Author&gt;&lt;Year&gt;2022&lt;/Year&gt;&lt;IDText&gt;Duodenal mucosal expression of COVID-19-related genes in health, diabetes gastroenteropathy and functional dyspepsia&lt;/IDText&gt;&lt;DisplayText&gt;[4]&lt;/DisplayText&gt;&lt;record&gt;&lt;titles&gt;&lt;title&gt;Duodenal mucosal expression of COVID-19-related genes in health, diabetes gastroenteropathy and functional dyspepsia&lt;/title&gt;&lt;secondary-title&gt;The Journal of Clinical Endocrinology &amp;amp; Metabolism&lt;/secondary-title&gt;&lt;/titles&gt;&lt;contributors&gt;&lt;authors&gt;&lt;author&gt;Deb, Brototo&lt;/author&gt;&lt;author&gt;O’Brien, Daniel R&lt;/author&gt;&lt;author&gt;Bharucha, Adil E&lt;/author&gt;&lt;/authors&gt;&lt;/contributors&gt;&lt;added-date format="utc"&gt;1645685262&lt;/added-date&gt;&lt;ref-type name="Journal Article"&gt;17&lt;/ref-type&gt;&lt;dates&gt;&lt;year&gt;2022&lt;/year&gt;&lt;/dates&gt;&lt;rec-number&gt;689&lt;/rec-number&gt;&lt;last-updated-date format="utc"&gt;1645685262&lt;/last-updated-date&gt;&lt;/record&gt;&lt;/Cite&gt;&lt;/EndNote&gt;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[4]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  <w:r w:rsidRPr="008F6BC3">
              <w:rPr>
                <w:rFonts w:asciiTheme="majorBidi" w:hAnsiTheme="majorBidi" w:cstheme="majorBidi"/>
                <w:color w:val="000000"/>
              </w:rPr>
              <w:t xml:space="preserve">; Downregulated in COVID-19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&lt;EndNote&gt;&lt;Cite&gt;&lt;Author&gt;Vastrad&lt;/Author&gt;&lt;Year&gt;2020&lt;/Year&gt;&lt;IDText&gt;Bioinformatics analyses of significant genes, related pathways, and candidate diagnostic biomarkers and molecular targets in SARS-CoV-2/COVID-19&lt;/IDText&gt;&lt;DisplayText&gt;[5]&lt;/DisplayText&gt;&lt;record&gt;&lt;isbn&gt;2452-0144&lt;/isbn&gt;&lt;titles&gt;&lt;title&gt;Bioinformatics analyses of significant genes, related pathways, and candidate diagnostic biomarkers and molecular targets in SARS-CoV-2/COVID-19&lt;/title&gt;&lt;secondary-title&gt;Gene Reports&lt;/secondary-title&gt;&lt;/titles&gt;&lt;pages&gt;100956&lt;/pages&gt;&lt;contributors&gt;&lt;authors&gt;&lt;author&gt;Vastrad, Basavaraj&lt;/author&gt;&lt;author&gt;Vastrad, Chanabasayya&lt;/author&gt;&lt;author&gt;Tengli, Anandkumar&lt;/author&gt;&lt;/authors&gt;&lt;/contributors&gt;&lt;added-date format="utc"&gt;1645685851&lt;/added-date&gt;&lt;ref-type name="Journal Article"&gt;17&lt;/ref-type&gt;&lt;dates&gt;&lt;year&gt;2020&lt;/year&gt;&lt;/dates&gt;&lt;rec-number&gt;690&lt;/rec-number&gt;&lt;last-updated-date format="utc"&gt;1645685851&lt;/last-updated-date&gt;&lt;volume&gt;21&lt;/volume&gt;&lt;/record&gt;&lt;/Cite&gt;&lt;/EndNote&gt;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[5]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6C16590B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5CAD77D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COL23A1</w:t>
            </w:r>
          </w:p>
        </w:tc>
        <w:tc>
          <w:tcPr>
            <w:tcW w:w="1417" w:type="dxa"/>
            <w:vAlign w:val="center"/>
          </w:tcPr>
          <w:p w14:paraId="05DC3454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cg14863632</w:t>
            </w:r>
          </w:p>
        </w:tc>
        <w:tc>
          <w:tcPr>
            <w:tcW w:w="2268" w:type="dxa"/>
            <w:vAlign w:val="center"/>
          </w:tcPr>
          <w:p w14:paraId="6BD0223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heparin binding</w:t>
            </w:r>
          </w:p>
        </w:tc>
        <w:tc>
          <w:tcPr>
            <w:tcW w:w="2552" w:type="dxa"/>
            <w:vAlign w:val="center"/>
          </w:tcPr>
          <w:p w14:paraId="2ABDEF40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Extracellular matrix organization</w:t>
            </w:r>
          </w:p>
        </w:tc>
        <w:tc>
          <w:tcPr>
            <w:tcW w:w="2268" w:type="dxa"/>
            <w:vAlign w:val="center"/>
          </w:tcPr>
          <w:p w14:paraId="5FBC419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Cancers; Osteoarthritis</w:t>
            </w:r>
          </w:p>
        </w:tc>
        <w:tc>
          <w:tcPr>
            <w:tcW w:w="2977" w:type="dxa"/>
            <w:vAlign w:val="center"/>
          </w:tcPr>
          <w:p w14:paraId="542D6206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Hypermethylated in COVID-19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&lt;EndNote&gt;&lt;Cite&gt;&lt;Author&gt;Zhou&lt;/Author&gt;&lt;Year&gt;2021&lt;/Year&gt;&lt;IDText&gt;An epigenome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wide DNA methylation study of patients with COVID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19&lt;/IDText&gt;&lt;DisplayText&gt;[6]&lt;/DisplayText&gt;&lt;record&gt;&lt;isbn&gt;0003-4800&lt;/isbn&gt;&lt;titles&gt;&lt;title&gt;An epigenome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wide DNA methylation study of patients with COVID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19&lt;/title&gt;&lt;secondary-title&gt;Annals of human genetics&lt;/secondary-title&gt;&lt;/titles&gt;&lt;pages&gt;221-234&lt;/pages&gt;&lt;number&gt;6&lt;/number&gt;&lt;contributors&gt;&lt;authors&gt;&lt;author&gt;Zhou, Shengyu&lt;/author&gt;&lt;author&gt;Zhang, Jintao&lt;/author&gt;&lt;author&gt;Xu, Jiawei&lt;/author&gt;&lt;author&gt;Zhang, Fayan&lt;/author&gt;&lt;author&gt;Li, Peng&lt;/author&gt;&lt;author&gt;He, Yujie&lt;/author&gt;&lt;author&gt;Wu, Julong&lt;/author&gt;&lt;author&gt;Wang, Chunting&lt;/author&gt;&lt;author&gt;Wang, Ximing&lt;/author&gt;&lt;author&gt;Zhang, Wei&lt;/author&gt;&lt;/authors&gt;&lt;/contributors&gt;&lt;added-date format="utc"&gt;1645688062&lt;/added-date&gt;&lt;ref-type name="Journal Article"&gt;17&lt;/ref-type&gt;&lt;dates&gt;&lt;year&gt;2021&lt;/year&gt;&lt;/dates&gt;&lt;rec-number&gt;692&lt;/rec-number&gt;&lt;last-updated-date format="utc"&gt;1645688062&lt;/last-updated-date&gt;&lt;volume&gt;85&lt;/volume&gt;&lt;/record&gt;&lt;/Cite&gt;&lt;/EndNote&gt;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[6]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  <w:r w:rsidRPr="008F6BC3">
              <w:rPr>
                <w:rFonts w:asciiTheme="majorBidi" w:hAnsiTheme="majorBidi" w:cstheme="majorBidi"/>
                <w:color w:val="000000"/>
              </w:rPr>
              <w:t xml:space="preserve">; Interacts with ACE2, TMPRSS2 and FURIN (in-silico)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&lt;EndNote&gt;&lt;Cite&gt;&lt;Author&gt;Hossain&lt;/Author&gt;&lt;Year&gt;2021&lt;/Year&gt;&lt;IDText&gt;Prediction of the Effects of Variants and Differential Expression of Key Host Genes ACE2, TMPRSS2, and FURIN in SARS-CoV-2 Pathogenesis: An In Silico Approach&lt;/IDText&gt;&lt;DisplayText&gt;[7]&lt;/DisplayText&gt;&lt;record&gt;&lt;isbn&gt;1177-9322&lt;/isbn&gt;&lt;titles&gt;&lt;title&gt;Prediction of the Effects of Variants and Differential Expression of Key Host Genes ACE2, TMPRSS2, and FURIN in SARS-CoV-2 Pathogenesis: An In Silico Approach&lt;/title&gt;&lt;secondary-title&gt;Bioinformatics and biology insights&lt;/secondary-title&gt;&lt;/titles&gt;&lt;pages&gt;11779322211054684&lt;/pages&gt;&lt;contributors&gt;&lt;authors&gt;&lt;author&gt;Hossain, Md Shahadat&lt;/author&gt;&lt;author&gt;Tonmoy, Mahafujul Islam Quadery&lt;/author&gt;&lt;author&gt;Fariha, Atqiya&lt;/author&gt;&lt;author&gt;Islam, Md Sajedul&lt;/author&gt;&lt;author&gt;Roy, Arpita Singha&lt;/author&gt;&lt;author&gt;Islam, Md Nur&lt;/author&gt;&lt;author&gt;Kar, Kumkum&lt;/author&gt;&lt;author&gt;Alam, Mohammad Rahanur&lt;/author&gt;&lt;author&gt;Rahaman, Md Mizanur&lt;/author&gt;&lt;/authors&gt;&lt;/contributors&gt;&lt;added-date format="utc"&gt;1645688037&lt;/added-date&gt;&lt;ref-type name="Journal Article"&gt;17&lt;/ref-type&gt;&lt;dates&gt;&lt;year&gt;2021&lt;/year&gt;&lt;/dates&gt;&lt;rec-number&gt;691&lt;/rec-number&gt;&lt;last-updated-date format="utc"&gt;1645688037&lt;/last-updated-date&gt;&lt;volume&gt;15&lt;/volume&gt;&lt;/record&gt;&lt;/Cite&gt;&lt;/EndNote&gt;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[7]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6927AE59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3062E52C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KRT7</w:t>
            </w:r>
          </w:p>
        </w:tc>
        <w:tc>
          <w:tcPr>
            <w:tcW w:w="1417" w:type="dxa"/>
            <w:vAlign w:val="center"/>
          </w:tcPr>
          <w:p w14:paraId="5CFE8B4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cg22813430</w:t>
            </w:r>
          </w:p>
        </w:tc>
        <w:tc>
          <w:tcPr>
            <w:tcW w:w="2268" w:type="dxa"/>
            <w:vAlign w:val="center"/>
          </w:tcPr>
          <w:p w14:paraId="2C32B2EF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</w:t>
            </w:r>
          </w:p>
        </w:tc>
        <w:tc>
          <w:tcPr>
            <w:tcW w:w="2552" w:type="dxa"/>
            <w:vAlign w:val="center"/>
          </w:tcPr>
          <w:p w14:paraId="300749E0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Composition of ciliated cells in the respiratory mucosa</w:t>
            </w:r>
          </w:p>
        </w:tc>
        <w:tc>
          <w:tcPr>
            <w:tcW w:w="2268" w:type="dxa"/>
            <w:vAlign w:val="center"/>
          </w:tcPr>
          <w:p w14:paraId="6A51F81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Cancers; EMT in ovarian cancer</w:t>
            </w:r>
          </w:p>
        </w:tc>
        <w:tc>
          <w:tcPr>
            <w:tcW w:w="2977" w:type="dxa"/>
            <w:vAlign w:val="center"/>
          </w:tcPr>
          <w:p w14:paraId="65A795B8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Expressed on ciliated cells, and was insignificant between COVID-19 and control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&lt;EndNote&gt;&lt;Cite&gt;&lt;Author&gt;Khan&lt;/Author&gt;&lt;Year&gt;2021&lt;/Year&gt;&lt;IDText&gt;Visualizing in deceased COVID-19 patients how SARS-CoV-2 attacks the respiratory and olfactory mucosae but spares the olfactory bulb&lt;/IDText&gt;&lt;DisplayText&gt;[8]&lt;/DisplayText&gt;&lt;record&gt;&lt;isbn&gt;0092-8674&lt;/isbn&gt;&lt;titles&gt;&lt;title&gt;Visualizing in deceased COVID-19 patients how SARS-CoV-2 attacks the respiratory and olfactory mucosae but spares the olfactory bulb&lt;/title&gt;&lt;secondary-title&gt;Cell&lt;/secondary-title&gt;&lt;/titles&gt;&lt;pages&gt;5932-5949. e15&lt;/pages&gt;&lt;number&gt;24&lt;/number&gt;&lt;contributors&gt;&lt;authors&gt;&lt;author&gt;Khan, Mona&lt;/author&gt;&lt;author&gt;Yoo, Seung-Jun&lt;/author&gt;&lt;author&gt;Clijsters, Marnick&lt;/author&gt;&lt;author&gt;Backaert, Wout&lt;/author&gt;&lt;author&gt;Vanstapel, Arno&lt;/author&gt;&lt;author&gt;Speleman, Kato&lt;/author&gt;&lt;author&gt;Lietaer, Charlotte&lt;/author&gt;&lt;author&gt;Choi, Sumin&lt;/author&gt;&lt;author&gt;Hether, Tyler D&lt;/author&gt;&lt;author&gt;Marcelis, Lukas&lt;/author&gt;&lt;/authors&gt;&lt;/contributors&gt;&lt;added-date format="utc"&gt;1645688418&lt;/added-date&gt;&lt;ref-type name="Journal Article"&gt;17&lt;/ref-type&gt;&lt;dates&gt;&lt;year&gt;2021&lt;/year&gt;&lt;/dates&gt;&lt;rec-number&gt;693&lt;/rec-number&gt;&lt;last-updated-date format="utc"&gt;1645688418&lt;/last-updated-date&gt;&lt;volume&gt;184&lt;/volume&gt;&lt;/record&gt;&lt;/Cite&gt;&lt;/EndNote&gt;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[8]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65ABAA67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32588BDC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MAP2</w:t>
            </w:r>
          </w:p>
        </w:tc>
        <w:tc>
          <w:tcPr>
            <w:tcW w:w="1417" w:type="dxa"/>
            <w:vAlign w:val="center"/>
          </w:tcPr>
          <w:p w14:paraId="09FA569C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cg09475025</w:t>
            </w:r>
          </w:p>
        </w:tc>
        <w:tc>
          <w:tcPr>
            <w:tcW w:w="2268" w:type="dxa"/>
            <w:vAlign w:val="center"/>
          </w:tcPr>
          <w:p w14:paraId="63D9506C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(microtubule; tau) binding</w:t>
            </w:r>
          </w:p>
        </w:tc>
        <w:tc>
          <w:tcPr>
            <w:tcW w:w="2552" w:type="dxa"/>
            <w:vAlign w:val="center"/>
          </w:tcPr>
          <w:p w14:paraId="22EF3074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Center nervous system, dendrite development;</w:t>
            </w:r>
          </w:p>
          <w:p w14:paraId="4D22973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Microtubule bundle formation</w:t>
            </w:r>
          </w:p>
        </w:tc>
        <w:tc>
          <w:tcPr>
            <w:tcW w:w="2268" w:type="dxa"/>
            <w:vAlign w:val="center"/>
          </w:tcPr>
          <w:p w14:paraId="641A503C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Multiple neurological disorders</w:t>
            </w:r>
          </w:p>
        </w:tc>
        <w:tc>
          <w:tcPr>
            <w:tcW w:w="2977" w:type="dxa"/>
            <w:vAlign w:val="center"/>
          </w:tcPr>
          <w:p w14:paraId="6084E756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Elevated in COVID-19 patients with a brain injury complication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&lt;EndNote&gt;&lt;Cite&gt;&lt;Author&gt;Savarraj&lt;/Author&gt;&lt;Year&gt;2021&lt;/Year&gt;&lt;IDText&gt;Brain injury, endothelial injury and inflammatory markers are elevated and express sex-specific alterations after COVID-19&lt;/IDText&gt;&lt;DisplayText&gt;[9]&lt;/DisplayText&gt;&lt;record&gt;&lt;isbn&gt;1742-2094&lt;/isbn&gt;&lt;titles&gt;&lt;title&gt;Brain injury, endothelial injury and inflammatory markers are elevated and express sex-specific alterations after COVID-19&lt;/title&gt;&lt;secondary-title&gt;Journal of neuroinflammation&lt;/secondary-title&gt;&lt;/titles&gt;&lt;pages&gt;1-12&lt;/pages&gt;&lt;number&gt;1&lt;/number&gt;&lt;contributors&gt;&lt;authors&gt;&lt;author&gt;Savarraj, Jude&lt;/author&gt;&lt;author&gt;Park, Eun S&lt;/author&gt;&lt;author&gt;Colpo, Gabriela D&lt;/author&gt;&lt;author&gt;Hinds, Sarah N&lt;/author&gt;&lt;author&gt;Morales, Diego&lt;/author&gt;&lt;author&gt;Ahnstedt, Hilda&lt;/author&gt;&lt;author&gt;Paz, Atzhiry S&lt;/author&gt;&lt;author&gt;Assing, Andres&lt;/author&gt;&lt;author&gt;Liu, Fudong&lt;/author&gt;&lt;author&gt;Juneja, Shivanki&lt;/author&gt;&lt;/authors&gt;&lt;/contributors&gt;&lt;added-date format="utc"&gt;1645689837&lt;/added-date&gt;&lt;ref-type name="Journal Article"&gt;17&lt;/ref-type&gt;&lt;dates&gt;&lt;year&gt;2021&lt;/year&gt;&lt;/dates&gt;&lt;rec-number&gt;694&lt;/rec-number&gt;&lt;last-updated-date format="utc"&gt;1645689837&lt;/last-updated-date&gt;&lt;volume&gt;18&lt;/volume&gt;&lt;/record&gt;&lt;/Cite&gt;&lt;/EndNote&gt;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[9]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0C00A1AC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05B51B4C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SEC22B</w:t>
            </w:r>
          </w:p>
        </w:tc>
        <w:tc>
          <w:tcPr>
            <w:tcW w:w="1417" w:type="dxa"/>
            <w:vAlign w:val="center"/>
          </w:tcPr>
          <w:p w14:paraId="0FE4D8F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cg06767025</w:t>
            </w:r>
          </w:p>
        </w:tc>
        <w:tc>
          <w:tcPr>
            <w:tcW w:w="2268" w:type="dxa"/>
            <w:vAlign w:val="center"/>
          </w:tcPr>
          <w:p w14:paraId="5964A24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Protein binding; </w:t>
            </w:r>
          </w:p>
          <w:p w14:paraId="04B30F4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SNAP receptor activity</w:t>
            </w:r>
          </w:p>
        </w:tc>
        <w:tc>
          <w:tcPr>
            <w:tcW w:w="2552" w:type="dxa"/>
            <w:vAlign w:val="center"/>
          </w:tcPr>
          <w:p w14:paraId="645E168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Vesicle-medicated transport (antigens; cytokines; nitric oxide) Autophagosome; assembly negative regulation</w:t>
            </w:r>
          </w:p>
        </w:tc>
        <w:tc>
          <w:tcPr>
            <w:tcW w:w="2268" w:type="dxa"/>
            <w:vAlign w:val="center"/>
          </w:tcPr>
          <w:p w14:paraId="284962BF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Cancers; Neurodegeneration; Infections</w:t>
            </w:r>
          </w:p>
        </w:tc>
        <w:tc>
          <w:tcPr>
            <w:tcW w:w="2977" w:type="dxa"/>
            <w:vAlign w:val="center"/>
          </w:tcPr>
          <w:p w14:paraId="225E055E" w14:textId="3E525AEE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109F640C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0F46F1A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SPATS2L</w:t>
            </w:r>
          </w:p>
        </w:tc>
        <w:tc>
          <w:tcPr>
            <w:tcW w:w="1417" w:type="dxa"/>
            <w:vAlign w:val="center"/>
          </w:tcPr>
          <w:p w14:paraId="2FB0F63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cg24419828</w:t>
            </w:r>
          </w:p>
        </w:tc>
        <w:tc>
          <w:tcPr>
            <w:tcW w:w="2268" w:type="dxa"/>
            <w:vAlign w:val="center"/>
          </w:tcPr>
          <w:p w14:paraId="32E2B3C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RNA binding</w:t>
            </w:r>
          </w:p>
        </w:tc>
        <w:tc>
          <w:tcPr>
            <w:tcW w:w="2552" w:type="dxa"/>
            <w:vAlign w:val="center"/>
          </w:tcPr>
          <w:p w14:paraId="3E180002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  <w:tc>
          <w:tcPr>
            <w:tcW w:w="2268" w:type="dxa"/>
            <w:vAlign w:val="center"/>
          </w:tcPr>
          <w:p w14:paraId="5C42B063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Cancers; Persistent severe asthma</w:t>
            </w:r>
          </w:p>
        </w:tc>
        <w:tc>
          <w:tcPr>
            <w:tcW w:w="2977" w:type="dxa"/>
            <w:vAlign w:val="center"/>
          </w:tcPr>
          <w:p w14:paraId="0575BB4E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Overexpressed in COVID-19 patients, limiting viral entry and replication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&lt;EndNote&gt;&lt;Cite&gt;&lt;Author&gt;Bui&lt;/Author&gt;&lt;Year&gt;2021&lt;/Year&gt;&lt;IDText&gt;Chronic lung diseases are associated with gene expression programs favoring SARS-CoV-2 entry and severity&lt;/IDText&gt;&lt;DisplayText&gt;[10]&lt;/DisplayText&gt;&lt;record&gt;&lt;isbn&gt;2041-1723&lt;/isbn&gt;&lt;titles&gt;&lt;title&gt;Chronic lung diseases are associated with gene expression programs favoring SARS-CoV-2 entry and severity&lt;/title&gt;&lt;secondary-title&gt;Nature communications&lt;/secondary-title&gt;&lt;/titles&gt;&lt;pages&gt;1-13&lt;/pages&gt;&lt;number&gt;1&lt;/number&gt;&lt;contributors&gt;&lt;authors&gt;&lt;author&gt;Bui, Linh T&lt;/author&gt;&lt;author&gt;Winters, Nichelle I&lt;/author&gt;&lt;author&gt;Chung, Mei-I&lt;/author&gt;&lt;author&gt;Joseph, Chitra&lt;/author&gt;&lt;author&gt;Gutierrez, Austin J&lt;/author&gt;&lt;author&gt;Habermann, Arun C&lt;/author&gt;&lt;author&gt;Adams, Taylor S&lt;/author&gt;&lt;author&gt;Schupp, Jonas C&lt;/author&gt;&lt;author&gt;Poli, Sergio&lt;/author&gt;&lt;author&gt;Peter, Lance M&lt;/author&gt;&lt;/authors&gt;&lt;/contributors&gt;&lt;added-date format="utc"&gt;1645691206&lt;/added-date&gt;&lt;ref-type name="Journal Article"&gt;17&lt;/ref-type&gt;&lt;dates&gt;&lt;year&gt;2021&lt;/year&gt;&lt;/dates&gt;&lt;rec-number&gt;696&lt;/rec-number&gt;&lt;last-updated-date format="utc"&gt;1645691206&lt;/last-updated-date&gt;&lt;volume&gt;12&lt;/volume&gt;&lt;/record&gt;&lt;/Cite&gt;&lt;/EndNote&gt;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[10]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562DC202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4DCDE97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ZDHHC11</w:t>
            </w:r>
          </w:p>
        </w:tc>
        <w:tc>
          <w:tcPr>
            <w:tcW w:w="1417" w:type="dxa"/>
            <w:vAlign w:val="center"/>
          </w:tcPr>
          <w:p w14:paraId="6F83450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cg20584011</w:t>
            </w:r>
          </w:p>
        </w:tc>
        <w:tc>
          <w:tcPr>
            <w:tcW w:w="2268" w:type="dxa"/>
            <w:vAlign w:val="center"/>
          </w:tcPr>
          <w:p w14:paraId="19FC684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binding;</w:t>
            </w:r>
          </w:p>
          <w:p w14:paraId="033A198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Transferase activity</w:t>
            </w:r>
          </w:p>
        </w:tc>
        <w:tc>
          <w:tcPr>
            <w:tcW w:w="2552" w:type="dxa"/>
            <w:vAlign w:val="center"/>
          </w:tcPr>
          <w:p w14:paraId="66F23BC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Peptidyl-L-cysteine S-palmitoylation;</w:t>
            </w:r>
          </w:p>
          <w:p w14:paraId="75EC95D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lastRenderedPageBreak/>
              <w:t>Antiviral innate immune response (to DNA viruses)</w:t>
            </w:r>
          </w:p>
        </w:tc>
        <w:tc>
          <w:tcPr>
            <w:tcW w:w="2268" w:type="dxa"/>
            <w:vAlign w:val="center"/>
          </w:tcPr>
          <w:p w14:paraId="3E97F5D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lastRenderedPageBreak/>
              <w:t>Cancers</w:t>
            </w:r>
          </w:p>
        </w:tc>
        <w:tc>
          <w:tcPr>
            <w:tcW w:w="2977" w:type="dxa"/>
            <w:vAlign w:val="center"/>
          </w:tcPr>
          <w:p w14:paraId="66BF5BB3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Reported as enhancer for SARS-CoV-2 S-mediated virus entry (ex-vivo)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&lt;EndNote&gt;&lt;Cite&gt;&lt;Author&gt;Li&lt;/Author&gt;&lt;Year&gt;2022&lt;/Year&gt;&lt;IDText&gt;Palmitoylation of SARS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CoV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2 S protein is critical for S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mediated syncytia formation and virus entry&lt;/IDText&gt;&lt;DisplayText&gt;[11]&lt;/DisplayText&gt;&lt;record&gt;&lt;isbn&gt;0146-6615&lt;/isbn&gt;&lt;titles&gt;&lt;title&gt;Palmitoylation of SARS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CoV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2 S protein is critical for S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mediated syncytia formation and virus entry&lt;/title&gt;&lt;secondary-title&gt;Journal of Medical Virology&lt;/secondary-title&gt;&lt;/titles&gt;&lt;pages&gt;342-348&lt;/pages&gt;&lt;number&gt;1&lt;/number&gt;&lt;contributors&gt;&lt;authors&gt;&lt;author&gt;Li, Daoqun&lt;/author&gt;&lt;author&gt;Liu, Yihan&lt;/author&gt;&lt;author&gt;Lu, Yue&lt;/author&gt;&lt;author&gt;Gao, Shan&lt;/author&gt;&lt;author&gt;Zhang, Leiliang&lt;/author&gt;&lt;/authors&gt;&lt;/contributors&gt;&lt;added-date format="utc"&gt;1645691321&lt;/added-date&gt;&lt;ref-type name="Journal Article"&gt;17&lt;/ref-type&gt;&lt;dates&gt;&lt;year&gt;2022&lt;/year&gt;&lt;/dates&gt;&lt;rec-number&gt;697&lt;/rec-number&gt;&lt;last-updated-date format="utc"&gt;1645691321&lt;/last-updated-date&gt;&lt;volume&gt;94&lt;/volume&gt;&lt;/record&gt;&lt;/Cite&gt;&lt;/EndNote&gt;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[11]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3BB6C8F3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3478BAB7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RSPO2</w:t>
            </w:r>
          </w:p>
        </w:tc>
        <w:tc>
          <w:tcPr>
            <w:tcW w:w="1417" w:type="dxa"/>
            <w:vAlign w:val="center"/>
          </w:tcPr>
          <w:p w14:paraId="169FDF37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cg12922129</w:t>
            </w:r>
          </w:p>
        </w:tc>
        <w:tc>
          <w:tcPr>
            <w:tcW w:w="2268" w:type="dxa"/>
            <w:vAlign w:val="center"/>
          </w:tcPr>
          <w:p w14:paraId="0E43079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signaling receptor binding</w:t>
            </w:r>
          </w:p>
        </w:tc>
        <w:tc>
          <w:tcPr>
            <w:tcW w:w="2552" w:type="dxa"/>
            <w:vAlign w:val="center"/>
          </w:tcPr>
          <w:p w14:paraId="3C85FD33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Osteoblast, dopaminergic neuron differentiation;</w:t>
            </w:r>
          </w:p>
          <w:p w14:paraId="7B4F57D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Epithelial tube branching</w:t>
            </w:r>
          </w:p>
        </w:tc>
        <w:tc>
          <w:tcPr>
            <w:tcW w:w="2268" w:type="dxa"/>
            <w:vAlign w:val="center"/>
          </w:tcPr>
          <w:p w14:paraId="10AF7C64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Cancers; Tracheomalacia</w:t>
            </w:r>
          </w:p>
        </w:tc>
        <w:tc>
          <w:tcPr>
            <w:tcW w:w="2977" w:type="dxa"/>
            <w:vAlign w:val="center"/>
          </w:tcPr>
          <w:p w14:paraId="3743B656" w14:textId="1250C3CB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3AC64C77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6E47E59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PNMA2</w:t>
            </w:r>
          </w:p>
        </w:tc>
        <w:tc>
          <w:tcPr>
            <w:tcW w:w="1417" w:type="dxa"/>
            <w:vAlign w:val="center"/>
          </w:tcPr>
          <w:p w14:paraId="573FF7D2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cg07138115</w:t>
            </w:r>
          </w:p>
        </w:tc>
        <w:tc>
          <w:tcPr>
            <w:tcW w:w="2268" w:type="dxa"/>
            <w:vAlign w:val="center"/>
          </w:tcPr>
          <w:p w14:paraId="4C131A04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</w:t>
            </w:r>
          </w:p>
        </w:tc>
        <w:tc>
          <w:tcPr>
            <w:tcW w:w="2552" w:type="dxa"/>
            <w:vAlign w:val="center"/>
          </w:tcPr>
          <w:p w14:paraId="13D9E66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Positive regulation of apoptosis</w:t>
            </w:r>
          </w:p>
        </w:tc>
        <w:tc>
          <w:tcPr>
            <w:tcW w:w="2268" w:type="dxa"/>
            <w:vAlign w:val="center"/>
          </w:tcPr>
          <w:p w14:paraId="4A47281F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Cancers; Paraneoplastic neurological disorders</w:t>
            </w:r>
          </w:p>
        </w:tc>
        <w:tc>
          <w:tcPr>
            <w:tcW w:w="2977" w:type="dxa"/>
            <w:vAlign w:val="center"/>
          </w:tcPr>
          <w:p w14:paraId="26DB011C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Negative in CSF and serum of COVID-19 patients with encephalitis (case reports)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&lt;EndNote&gt;&lt;Cite&gt;&lt;Author&gt;Fadakar&lt;/Author&gt;&lt;Year&gt;2020&lt;/Year&gt;&lt;IDText&gt;A first case of acute cerebellitis associated with coronavirus disease (COVID-19): a case report and literature review&lt;/IDText&gt;&lt;DisplayText&gt;[12, 13]&lt;/DisplayText&gt;&lt;record&gt;&lt;isbn&gt;1473-4230&lt;/isbn&gt;&lt;titles&gt;&lt;title&gt;A first case of acute cerebellitis associated with coronavirus disease (COVID-19): a case report and literature review&lt;/title&gt;&lt;secondary-title&gt;The Cerebellum&lt;/secondary-title&gt;&lt;/titles&gt;&lt;pages&gt;911-914&lt;/pages&gt;&lt;number&gt;6&lt;/number&gt;&lt;contributors&gt;&lt;authors&gt;&lt;author&gt;Fadakar, Nima&lt;/author&gt;&lt;author&gt;Ghaemmaghami, Sara&lt;/author&gt;&lt;author&gt;Masoompour, Seyed Masoom&lt;/author&gt;&lt;author&gt;Shirazi Yeganeh, Babak&lt;/author&gt;&lt;author&gt;Akbari, Ali&lt;/author&gt;&lt;author&gt;Hooshmandi, Sedighe&lt;/author&gt;&lt;author&gt;Ostovan, Vahid Reza&lt;/author&gt;&lt;/authors&gt;&lt;/contributors&gt;&lt;added-date format="utc"&gt;1645691565&lt;/added-date&gt;&lt;ref-type name="Journal Article"&gt;17&lt;/ref-type&gt;&lt;dates&gt;&lt;year&gt;2020&lt;/year&gt;&lt;/dates&gt;&lt;rec-number&gt;698&lt;/rec-number&gt;&lt;last-updated-date format="utc"&gt;1645691565&lt;/last-updated-date&gt;&lt;volume&gt;19&lt;/volume&gt;&lt;/record&gt;&lt;/Cite&gt;&lt;Cite&gt;&lt;Author&gt;Salari&lt;/Author&gt;&lt;Year&gt;2021&lt;/Year&gt;&lt;IDText&gt;Can COVID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19 accelerate neurodegeneration?&lt;/IDText&gt;&lt;record&gt;&lt;titles&gt;&lt;title&gt;Can COVID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19 accelerate neurodegeneration?&lt;/title&gt;&lt;secondary-title&gt;Clinical Case Reports&lt;/secondary-title&gt;&lt;/titles&gt;&lt;number&gt;7&lt;/number&gt;&lt;contributors&gt;&lt;authors&gt;&lt;author&gt;Salari, Mehri&lt;/author&gt;&lt;author&gt;Etemadifar, Masoud&lt;/author&gt;&lt;/authors&gt;&lt;/contributors&gt;&lt;added-date format="utc"&gt;1645692464&lt;/added-date&gt;&lt;ref-type name="Journal Article"&gt;17&lt;/ref-type&gt;&lt;dates&gt;&lt;year&gt;2021&lt;/year&gt;&lt;/dates&gt;&lt;rec-number&gt;700&lt;/rec-number&gt;&lt;last-updated-date format="utc"&gt;1645692464&lt;/last-updated-date&gt;&lt;volume&gt;9&lt;/volume&gt;&lt;/record&gt;&lt;/Cite&gt;&lt;/EndNote&gt;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[12, 13]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7BAF9618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64703B0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TRAF7</w:t>
            </w:r>
          </w:p>
        </w:tc>
        <w:tc>
          <w:tcPr>
            <w:tcW w:w="1417" w:type="dxa"/>
            <w:vAlign w:val="center"/>
          </w:tcPr>
          <w:p w14:paraId="40959EE3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cg03517024</w:t>
            </w:r>
          </w:p>
        </w:tc>
        <w:tc>
          <w:tcPr>
            <w:tcW w:w="2268" w:type="dxa"/>
            <w:vAlign w:val="center"/>
          </w:tcPr>
          <w:p w14:paraId="46FD436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ion binding;</w:t>
            </w:r>
          </w:p>
          <w:p w14:paraId="7D0FB78E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Ubiquitin-protein transferase activity</w:t>
            </w:r>
          </w:p>
        </w:tc>
        <w:tc>
          <w:tcPr>
            <w:tcW w:w="2552" w:type="dxa"/>
            <w:vAlign w:val="center"/>
          </w:tcPr>
          <w:p w14:paraId="5F01CD6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MAPK, ERK1 and ERK2 cascade;</w:t>
            </w:r>
          </w:p>
          <w:p w14:paraId="6332BEC3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Positive regulation of apoptosis</w:t>
            </w:r>
          </w:p>
        </w:tc>
        <w:tc>
          <w:tcPr>
            <w:tcW w:w="2268" w:type="dxa"/>
            <w:vAlign w:val="center"/>
          </w:tcPr>
          <w:p w14:paraId="587CC03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Cancers; Congenital anomalies</w:t>
            </w:r>
          </w:p>
        </w:tc>
        <w:tc>
          <w:tcPr>
            <w:tcW w:w="2977" w:type="dxa"/>
            <w:vAlign w:val="center"/>
          </w:tcPr>
          <w:p w14:paraId="44E76236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Downregulated in COVID-19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&lt;EndNote&gt;&lt;Cite&gt;&lt;Author&gt;Vastrad&lt;/Author&gt;&lt;Year&gt;2020&lt;/Year&gt;&lt;IDText&gt;Bioinformatics analyses of significant genes, related pathways, and candidate diagnostic biomarkers and molecular targets in SARS-CoV-2/COVID-19&lt;/IDText&gt;&lt;DisplayText&gt;[5]&lt;/DisplayText&gt;&lt;record&gt;&lt;isbn&gt;2452-0144&lt;/isbn&gt;&lt;titles&gt;&lt;title&gt;Bioinformatics analyses of significant genes, related pathways, and candidate diagnostic biomarkers and molecular targets in SARS-CoV-2/COVID-19&lt;/title&gt;&lt;secondary-title&gt;Gene Reports&lt;/secondary-title&gt;&lt;/titles&gt;&lt;pages&gt;100956&lt;/pages&gt;&lt;contributors&gt;&lt;authors&gt;&lt;author&gt;Vastrad, Basavaraj&lt;/author&gt;&lt;author&gt;Vastrad, Chanabasayya&lt;/author&gt;&lt;author&gt;Tengli, Anandkumar&lt;/author&gt;&lt;/authors&gt;&lt;/contributors&gt;&lt;added-date format="utc"&gt;1645685851&lt;/added-date&gt;&lt;ref-type name="Journal Article"&gt;17&lt;/ref-type&gt;&lt;dates&gt;&lt;year&gt;2020&lt;/year&gt;&lt;/dates&gt;&lt;rec-number&gt;690&lt;/rec-number&gt;&lt;last-updated-date format="utc"&gt;1645685851&lt;/last-updated-date&gt;&lt;volume&gt;21&lt;/volume&gt;&lt;/record&gt;&lt;/Cite&gt;&lt;/EndNote&gt;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[5]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  <w:r w:rsidRPr="008F6BC3">
              <w:rPr>
                <w:rFonts w:asciiTheme="majorBidi" w:hAnsiTheme="majorBidi" w:cstheme="majorBidi"/>
                <w:color w:val="000000"/>
              </w:rPr>
              <w:t xml:space="preserve">; Upregulated in recovered and retested positive COVID-19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&lt;EndNote&gt;&lt;Cite&gt;&lt;Author&gt;Fang&lt;/Author&gt;&lt;Year&gt;2021&lt;/Year&gt;&lt;IDText&gt;Screening the Hub Genes and Analyzing the Mechanisms in Discharged COVID-19 Patients Retesting Positive through Bioinformatics Analysis&lt;/IDText&gt;&lt;DisplayText&gt;[2]&lt;/DisplayText&gt;&lt;record&gt;&lt;titles&gt;&lt;title&gt;Screening the Hub Genes and Analyzing the Mechanisms in Discharged COVID-19 Patients Retesting Positive through Bioinformatics Analysis&lt;/title&gt;&lt;/titles&gt;&lt;contributors&gt;&lt;authors&gt;&lt;author&gt;Fang, Ke-Ying&lt;/author&gt;&lt;author&gt;Liang, Gui-Ning&lt;/author&gt;&lt;author&gt;Zhuang, Zhuo-Qing&lt;/author&gt;&lt;author&gt;Fang, Yong-Xin&lt;/author&gt;&lt;author&gt;Dong, Yu-Qian&lt;/author&gt;&lt;author&gt;Liang, Chuang-Jia&lt;/author&gt;&lt;author&gt;Chen, Xin-Yan&lt;/author&gt;&lt;author&gt;Guo, Xuguang&lt;/author&gt;&lt;/authors&gt;&lt;/contributors&gt;&lt;added-date format="utc"&gt;1645615303&lt;/added-date&gt;&lt;ref-type name="Journal Article"&gt;17&lt;/ref-type&gt;&lt;dates&gt;&lt;year&gt;2021&lt;/year&gt;&lt;/dates&gt;&lt;rec-number&gt;687&lt;/rec-number&gt;&lt;last-updated-date format="utc"&gt;1645615303&lt;/last-updated-date&gt;&lt;/record&gt;&lt;/Cite&gt;&lt;/EndNote&gt;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[2]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6B433BF9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1A1E06D0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PTPRN2</w:t>
            </w:r>
          </w:p>
        </w:tc>
        <w:tc>
          <w:tcPr>
            <w:tcW w:w="1417" w:type="dxa"/>
            <w:vAlign w:val="center"/>
          </w:tcPr>
          <w:p w14:paraId="0CF82937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cg11575295</w:t>
            </w:r>
          </w:p>
        </w:tc>
        <w:tc>
          <w:tcPr>
            <w:tcW w:w="2268" w:type="dxa"/>
            <w:vAlign w:val="center"/>
          </w:tcPr>
          <w:p w14:paraId="2751D9AE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Phosphatase activity;</w:t>
            </w:r>
          </w:p>
          <w:p w14:paraId="0A18B29E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Vesicle-mediated secretion activity</w:t>
            </w:r>
          </w:p>
        </w:tc>
        <w:tc>
          <w:tcPr>
            <w:tcW w:w="2552" w:type="dxa"/>
            <w:vAlign w:val="center"/>
          </w:tcPr>
          <w:p w14:paraId="7089190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Neurotransmitter secretion;</w:t>
            </w:r>
          </w:p>
          <w:p w14:paraId="56924C9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Insulin secretion in cellular response to glucose stimulus</w:t>
            </w:r>
          </w:p>
        </w:tc>
        <w:tc>
          <w:tcPr>
            <w:tcW w:w="2268" w:type="dxa"/>
            <w:vAlign w:val="center"/>
          </w:tcPr>
          <w:p w14:paraId="7F53882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Cancers; Type I diabetes mellitus</w:t>
            </w:r>
          </w:p>
        </w:tc>
        <w:tc>
          <w:tcPr>
            <w:tcW w:w="2977" w:type="dxa"/>
            <w:vAlign w:val="center"/>
          </w:tcPr>
          <w:p w14:paraId="429BBA34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Downregulated in COVID-19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&lt;EndNote&gt;&lt;Cite&gt;&lt;Author&gt;Vastrad&lt;/Author&gt;&lt;Year&gt;2020&lt;/Year&gt;&lt;IDText&gt;Bioinformatics analyses of significant genes, related pathways, and candidate diagnostic biomarkers and molecular targets in SARS-CoV-2/COVID-19&lt;/IDText&gt;&lt;DisplayText&gt;[5]&lt;/DisplayText&gt;&lt;record&gt;&lt;isbn&gt;2452-0144&lt;/isbn&gt;&lt;titles&gt;&lt;title&gt;Bioinformatics analyses of significant genes, related pathways, and candidate diagnostic biomarkers and molecular targets in SARS-CoV-2/COVID-19&lt;/title&gt;&lt;secondary-title&gt;Gene Reports&lt;/secondary-title&gt;&lt;/titles&gt;&lt;pages&gt;100956&lt;/pages&gt;&lt;contributors&gt;&lt;authors&gt;&lt;author&gt;Vastrad, Basavaraj&lt;/author&gt;&lt;author&gt;Vastrad, Chanabasayya&lt;/author&gt;&lt;author&gt;Tengli, Anandkumar&lt;/author&gt;&lt;/authors&gt;&lt;/contributors&gt;&lt;added-date format="utc"&gt;1645685851&lt;/added-date&gt;&lt;ref-type name="Journal Article"&gt;17&lt;/ref-type&gt;&lt;dates&gt;&lt;year&gt;2020&lt;/year&gt;&lt;/dates&gt;&lt;rec-number&gt;690&lt;/rec-number&gt;&lt;last-updated-date format="utc"&gt;1645685851&lt;/last-updated-date&gt;&lt;volume&gt;21&lt;/volume&gt;&lt;/record&gt;&lt;/Cite&gt;&lt;/EndNote&gt;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[5]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  <w:r w:rsidRPr="008F6BC3">
              <w:rPr>
                <w:rFonts w:asciiTheme="majorBidi" w:hAnsiTheme="majorBidi" w:cstheme="majorBidi"/>
                <w:color w:val="000000"/>
              </w:rPr>
              <w:t xml:space="preserve">; Upregulated transcripts in severe COVID-19 patients (in-silico)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&lt;EndNote&gt;&lt;Cite&gt;&lt;Author&gt;Saheb Sharif-Askari&lt;/Author&gt;&lt;Year&gt;2021&lt;/Year&gt;&lt;IDText&gt;Enhanced expression of autoantigens during SARS-CoV-2 viral infection&lt;/IDText&gt;&lt;DisplayText&gt;[14]&lt;/DisplayText&gt;&lt;record&gt;&lt;isbn&gt;1664-3224&lt;/isbn&gt;&lt;titles&gt;&lt;title&gt;Enhanced expression of autoantigens during SARS-CoV-2 viral infection&lt;/title&gt;&lt;secondary-title&gt;Frontiers in Immunology&lt;/secondary-title&gt;&lt;/titles&gt;&lt;pages&gt;2271&lt;/pages&gt;&lt;contributors&gt;&lt;authors&gt;&lt;author&gt;Saheb Sharif-Askari, Narjes&lt;/author&gt;&lt;author&gt;Saheb Sharif-Askari, Fatemeh&lt;/author&gt;&lt;author&gt;Ahmed, Samrein&lt;/author&gt;&lt;author&gt;Hamoudi, Rifat&lt;/author&gt;&lt;author&gt;Hamid, Qutayba&lt;/author&gt;&lt;author&gt;Halwani, Rabih&lt;/author&gt;&lt;/authors&gt;&lt;/contributors&gt;&lt;added-date format="utc"&gt;1645692933&lt;/added-date&gt;&lt;ref-type name="Journal Article"&gt;17&lt;/ref-type&gt;&lt;dates&gt;&lt;year&gt;2021&lt;/year&gt;&lt;/dates&gt;&lt;rec-number&gt;701&lt;/rec-number&gt;&lt;last-updated-date format="utc"&gt;1645692933&lt;/last-updated-date&gt;&lt;volume&gt;12&lt;/volume&gt;&lt;/record&gt;&lt;/Cite&gt;&lt;/EndNote&gt;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[14]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  <w:r w:rsidRPr="008F6BC3">
              <w:rPr>
                <w:rFonts w:asciiTheme="majorBidi" w:hAnsiTheme="majorBidi" w:cstheme="majorBidi"/>
                <w:color w:val="000000"/>
              </w:rPr>
              <w:t xml:space="preserve">; Enriched in neutrophil-related pathways in recovered and retested COVID-19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&lt;EndNote&gt;&lt;Cite&gt;&lt;Author&gt;Fang&lt;/Author&gt;&lt;Year&gt;2021&lt;/Year&gt;&lt;IDText&gt;Screening the Hub Genes and Analyzing the Mechanisms in Discharged COVID-19 Patients Retesting Positive through Bioinformatics Analysis&lt;/IDText&gt;&lt;DisplayText&gt;[2]&lt;/DisplayText&gt;&lt;record&gt;&lt;titles&gt;&lt;title&gt;Screening the Hub Genes and Analyzing the Mechanisms in Discharged COVID-19 Patients Retesting Positive through Bioinformatics Analysis&lt;/title&gt;&lt;/titles&gt;&lt;contributors&gt;&lt;authors&gt;&lt;author&gt;Fang, Ke-Ying&lt;/author&gt;&lt;author&gt;Liang, Gui-Ning&lt;/author&gt;&lt;author&gt;Zhuang, Zhuo-Qing&lt;/author&gt;&lt;author&gt;Fang, Yong-Xin&lt;/author&gt;&lt;author&gt;Dong, Yu-Qian&lt;/author&gt;&lt;author&gt;Liang, Chuang-Jia&lt;/author&gt;&lt;author&gt;Chen, Xin-Yan&lt;/author&gt;&lt;author&gt;Guo, Xuguang&lt;/author&gt;&lt;/authors&gt;&lt;/contributors&gt;&lt;added-date format="utc"&gt;1645615303&lt;/added-date&gt;&lt;ref-type name="Journal Article"&gt;17&lt;/ref-type&gt;&lt;dates&gt;&lt;year&gt;2021&lt;/year&gt;&lt;/dates&gt;&lt;rec-number&gt;687&lt;/rec-number&gt;&lt;last-updated-date format="utc"&gt;1645615303&lt;/last-updated-date&gt;&lt;/record&gt;&lt;/Cite&gt;&lt;/EndNote&gt;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[2]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6EE7D957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0D60AC8E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SYCE1</w:t>
            </w:r>
          </w:p>
        </w:tc>
        <w:tc>
          <w:tcPr>
            <w:tcW w:w="1417" w:type="dxa"/>
            <w:vAlign w:val="center"/>
          </w:tcPr>
          <w:p w14:paraId="50C8890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cg20169779</w:t>
            </w:r>
          </w:p>
        </w:tc>
        <w:tc>
          <w:tcPr>
            <w:tcW w:w="2268" w:type="dxa"/>
            <w:vAlign w:val="center"/>
          </w:tcPr>
          <w:p w14:paraId="383E5372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</w:t>
            </w:r>
          </w:p>
        </w:tc>
        <w:tc>
          <w:tcPr>
            <w:tcW w:w="2552" w:type="dxa"/>
            <w:vAlign w:val="center"/>
          </w:tcPr>
          <w:p w14:paraId="4A141E32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Meiotic cell cycle: synaptonemal complex assembly</w:t>
            </w:r>
          </w:p>
        </w:tc>
        <w:tc>
          <w:tcPr>
            <w:tcW w:w="2268" w:type="dxa"/>
            <w:vAlign w:val="center"/>
          </w:tcPr>
          <w:p w14:paraId="5CAEDB5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Male infertility; Premature ovarian failure; Cancers</w:t>
            </w:r>
          </w:p>
        </w:tc>
        <w:tc>
          <w:tcPr>
            <w:tcW w:w="2977" w:type="dxa"/>
            <w:vAlign w:val="center"/>
          </w:tcPr>
          <w:p w14:paraId="3B20A85D" w14:textId="1A4A01FA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4FC9CF61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4F89CB7A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MFSD11</w:t>
            </w:r>
          </w:p>
        </w:tc>
        <w:tc>
          <w:tcPr>
            <w:tcW w:w="1417" w:type="dxa"/>
            <w:vAlign w:val="center"/>
          </w:tcPr>
          <w:p w14:paraId="744FDE4F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cg07555753</w:t>
            </w:r>
          </w:p>
        </w:tc>
        <w:tc>
          <w:tcPr>
            <w:tcW w:w="2268" w:type="dxa"/>
            <w:vAlign w:val="center"/>
          </w:tcPr>
          <w:p w14:paraId="3710787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</w:t>
            </w:r>
          </w:p>
        </w:tc>
        <w:tc>
          <w:tcPr>
            <w:tcW w:w="2552" w:type="dxa"/>
            <w:vAlign w:val="center"/>
          </w:tcPr>
          <w:p w14:paraId="0DEAE33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Ion metabolism and transport</w:t>
            </w:r>
          </w:p>
        </w:tc>
        <w:tc>
          <w:tcPr>
            <w:tcW w:w="2268" w:type="dxa"/>
            <w:vAlign w:val="center"/>
          </w:tcPr>
          <w:p w14:paraId="4EE2A826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Infections; Cancers Neurological disorders</w:t>
            </w:r>
          </w:p>
        </w:tc>
        <w:tc>
          <w:tcPr>
            <w:tcW w:w="2977" w:type="dxa"/>
            <w:vAlign w:val="center"/>
          </w:tcPr>
          <w:p w14:paraId="68599584" w14:textId="73A4A8F1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19854A22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0C25A1B2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lastRenderedPageBreak/>
              <w:t>ZNF541</w:t>
            </w:r>
          </w:p>
        </w:tc>
        <w:tc>
          <w:tcPr>
            <w:tcW w:w="1417" w:type="dxa"/>
            <w:vAlign w:val="center"/>
          </w:tcPr>
          <w:p w14:paraId="1AB8DAE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cg22341310</w:t>
            </w:r>
          </w:p>
        </w:tc>
        <w:tc>
          <w:tcPr>
            <w:tcW w:w="2268" w:type="dxa"/>
            <w:vAlign w:val="center"/>
          </w:tcPr>
          <w:p w14:paraId="40B243A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ion binding; transcription corepressor activity</w:t>
            </w:r>
          </w:p>
        </w:tc>
        <w:tc>
          <w:tcPr>
            <w:tcW w:w="2552" w:type="dxa"/>
            <w:vAlign w:val="center"/>
          </w:tcPr>
          <w:p w14:paraId="11D9596C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Cell differentiation; Negative regulation of transcription; </w:t>
            </w:r>
          </w:p>
          <w:p w14:paraId="5A48473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Histone deacetylation;</w:t>
            </w:r>
          </w:p>
          <w:p w14:paraId="21E1180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Spermatogenesis </w:t>
            </w:r>
          </w:p>
        </w:tc>
        <w:tc>
          <w:tcPr>
            <w:tcW w:w="2268" w:type="dxa"/>
            <w:vAlign w:val="center"/>
          </w:tcPr>
          <w:p w14:paraId="22D35C2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Cancers</w:t>
            </w:r>
          </w:p>
        </w:tc>
        <w:tc>
          <w:tcPr>
            <w:tcW w:w="2977" w:type="dxa"/>
            <w:vAlign w:val="center"/>
          </w:tcPr>
          <w:p w14:paraId="218229AB" w14:textId="7BB042A5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NA</w:t>
            </w:r>
          </w:p>
        </w:tc>
      </w:tr>
      <w:tr w:rsidR="001B486C" w:rsidRPr="008F6BC3" w14:paraId="17CAF7E7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2979B8FE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MTNR1B</w:t>
            </w:r>
          </w:p>
        </w:tc>
        <w:tc>
          <w:tcPr>
            <w:tcW w:w="1417" w:type="dxa"/>
            <w:vAlign w:val="center"/>
          </w:tcPr>
          <w:p w14:paraId="3DBABC6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cg00528572</w:t>
            </w:r>
          </w:p>
        </w:tc>
        <w:tc>
          <w:tcPr>
            <w:tcW w:w="2268" w:type="dxa"/>
            <w:vAlign w:val="center"/>
          </w:tcPr>
          <w:p w14:paraId="3FDB2E09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binding;</w:t>
            </w:r>
          </w:p>
          <w:p w14:paraId="5681EEF4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Melatonin receptor activity</w:t>
            </w:r>
          </w:p>
        </w:tc>
        <w:tc>
          <w:tcPr>
            <w:tcW w:w="2552" w:type="dxa"/>
            <w:vAlign w:val="center"/>
          </w:tcPr>
          <w:p w14:paraId="51B8DEC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Positive regulation of circadian rhythm; Negative regulation of neuron apoptosis; Insulin secretion;</w:t>
            </w:r>
          </w:p>
          <w:p w14:paraId="3C46835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Vasoconstriction; Cytosolic calcium ion concentration</w:t>
            </w:r>
          </w:p>
        </w:tc>
        <w:tc>
          <w:tcPr>
            <w:tcW w:w="2268" w:type="dxa"/>
            <w:vAlign w:val="center"/>
          </w:tcPr>
          <w:p w14:paraId="5BAF8156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Type II diabetes mellitus; Cancers</w:t>
            </w:r>
          </w:p>
        </w:tc>
        <w:tc>
          <w:tcPr>
            <w:tcW w:w="2977" w:type="dxa"/>
            <w:vAlign w:val="center"/>
          </w:tcPr>
          <w:p w14:paraId="7701B6B3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Reported to be essential for melatonin’s effect in SARS-CoV-2 entry (in-silico)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&lt;EndNote&gt;&lt;Cite&gt;&lt;Author&gt;Reynolds&lt;/Author&gt;&lt;Year&gt;2021&lt;/Year&gt;&lt;IDText&gt;Melatonin multifaceted pharmacological actions on melatonin receptors converging to abrogate COVID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19&lt;/IDText&gt;&lt;DisplayText&gt;[15]&lt;/DisplayText&gt;&lt;record&gt;&lt;isbn&gt;0742-3098&lt;/isbn&gt;&lt;titles&gt;&lt;title&gt;Melatonin multifaceted pharmacological actions on melatonin receptors converging to abrogate COVID</w:instrText>
            </w:r>
            <w:r w:rsidRPr="008F6BC3">
              <w:rPr>
                <w:rFonts w:ascii="Cambria Math" w:hAnsi="Cambria Math" w:cs="Cambria Math"/>
                <w:color w:val="000000"/>
              </w:rPr>
              <w:instrText>‐</w:instrText>
            </w:r>
            <w:r w:rsidRPr="008F6BC3">
              <w:rPr>
                <w:rFonts w:asciiTheme="majorBidi" w:hAnsiTheme="majorBidi" w:cstheme="majorBidi"/>
                <w:color w:val="000000"/>
              </w:rPr>
              <w:instrText>19&lt;/title&gt;&lt;secondary-title&gt;Journal of Pineal Research&lt;/secondary-title&gt;&lt;/titles&gt;&lt;pages&gt;e12732&lt;/pages&gt;&lt;number&gt;1&lt;/number&gt;&lt;contributors&gt;&lt;authors&gt;&lt;author&gt;Reynolds, Jessica L&lt;/author&gt;&lt;author&gt;Dubocovich, Margarita L&lt;/author&gt;&lt;/authors&gt;&lt;/contributors&gt;&lt;added-date format="utc"&gt;1645693618&lt;/added-date&gt;&lt;ref-type name="Journal Article"&gt;17&lt;/ref-type&gt;&lt;dates&gt;&lt;year&gt;2021&lt;/year&gt;&lt;/dates&gt;&lt;rec-number&gt;702&lt;/rec-number&gt;&lt;last-updated-date format="utc"&gt;1645693618&lt;/last-updated-date&gt;&lt;volume&gt;71&lt;/volume&gt;&lt;/record&gt;&lt;/Cite&gt;&lt;/EndNote&gt;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[15]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2FA43CCC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60950A9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PLLP</w:t>
            </w:r>
          </w:p>
        </w:tc>
        <w:tc>
          <w:tcPr>
            <w:tcW w:w="1417" w:type="dxa"/>
            <w:vAlign w:val="center"/>
          </w:tcPr>
          <w:p w14:paraId="50C45377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cg24597989</w:t>
            </w:r>
          </w:p>
        </w:tc>
        <w:tc>
          <w:tcPr>
            <w:tcW w:w="2268" w:type="dxa"/>
            <w:vAlign w:val="center"/>
          </w:tcPr>
          <w:p w14:paraId="16C2EBC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binding</w:t>
            </w:r>
          </w:p>
        </w:tc>
        <w:tc>
          <w:tcPr>
            <w:tcW w:w="2552" w:type="dxa"/>
            <w:vAlign w:val="center"/>
          </w:tcPr>
          <w:p w14:paraId="4EDCDCB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Myelination;</w:t>
            </w:r>
          </w:p>
          <w:p w14:paraId="0A0BDF4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Response to wounding</w:t>
            </w:r>
          </w:p>
        </w:tc>
        <w:tc>
          <w:tcPr>
            <w:tcW w:w="2268" w:type="dxa"/>
            <w:vAlign w:val="center"/>
          </w:tcPr>
          <w:p w14:paraId="16FA4A68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Keratoconus; Neurological disorders; Type II diabetes mellitus; Sarcoidosis</w:t>
            </w:r>
          </w:p>
        </w:tc>
        <w:tc>
          <w:tcPr>
            <w:tcW w:w="2977" w:type="dxa"/>
            <w:vAlign w:val="center"/>
          </w:tcPr>
          <w:p w14:paraId="1B05268A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Downregulated in recovered and retested positive COVID-19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&lt;EndNote&gt;&lt;Cite&gt;&lt;Author&gt;Fang&lt;/Author&gt;&lt;Year&gt;2021&lt;/Year&gt;&lt;IDText&gt;Screening the Hub Genes and Analyzing the Mechanisms in Discharged COVID-19 Patients Retesting Positive through Bioinformatics Analysis&lt;/IDText&gt;&lt;DisplayText&gt;[2]&lt;/DisplayText&gt;&lt;record&gt;&lt;titles&gt;&lt;title&gt;Screening the Hub Genes and Analyzing the Mechanisms in Discharged COVID-19 Patients Retesting Positive through Bioinformatics Analysis&lt;/title&gt;&lt;/titles&gt;&lt;contributors&gt;&lt;authors&gt;&lt;author&gt;Fang, Ke-Ying&lt;/author&gt;&lt;author&gt;Liang, Gui-Ning&lt;/author&gt;&lt;author&gt;Zhuang, Zhuo-Qing&lt;/author&gt;&lt;author&gt;Fang, Yong-Xin&lt;/author&gt;&lt;author&gt;Dong, Yu-Qian&lt;/author&gt;&lt;author&gt;Liang, Chuang-Jia&lt;/author&gt;&lt;author&gt;Chen, Xin-Yan&lt;/author&gt;&lt;author&gt;Guo, Xuguang&lt;/author&gt;&lt;/authors&gt;&lt;/contributors&gt;&lt;added-date format="utc"&gt;1645615303&lt;/added-date&gt;&lt;ref-type name="Journal Article"&gt;17&lt;/ref-type&gt;&lt;dates&gt;&lt;year&gt;2021&lt;/year&gt;&lt;/dates&gt;&lt;rec-number&gt;687&lt;/rec-number&gt;&lt;last-updated-date format="utc"&gt;1645615303&lt;/last-updated-date&gt;&lt;/record&gt;&lt;/Cite&gt;&lt;/EndNote&gt;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[2]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  <w:r w:rsidRPr="008F6BC3">
              <w:rPr>
                <w:rFonts w:asciiTheme="majorBidi" w:hAnsiTheme="majorBidi" w:cstheme="majorBidi"/>
                <w:color w:val="000000"/>
              </w:rPr>
              <w:t xml:space="preserve">; Suggested to indirectly enhance viral entry (theoretically)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&lt;EndNote&gt;&lt;Cite&gt;&lt;Author&gt;Shulgin&lt;/Author&gt;&lt;Year&gt;2021&lt;/Year&gt;&lt;IDText&gt;Plasmolipin and Its Role in Cell Processes&lt;/IDText&gt;&lt;DisplayText&gt;[16]&lt;/DisplayText&gt;&lt;record&gt;&lt;isbn&gt;1608-3245&lt;/isbn&gt;&lt;titles&gt;&lt;title&gt;Plasmolipin and Its Role in Cell Processes&lt;/title&gt;&lt;secondary-title&gt;Molecular Biology&lt;/secondary-title&gt;&lt;/titles&gt;&lt;pages&gt;773-785&lt;/pages&gt;&lt;number&gt;6&lt;/number&gt;&lt;contributors&gt;&lt;authors&gt;&lt;author&gt;Shulgin, AA&lt;/author&gt;&lt;author&gt;Lebedev, TD&lt;/author&gt;&lt;author&gt;Prassolov, VS&lt;/author&gt;&lt;author&gt;Spirin, PV&lt;/author&gt;&lt;/authors&gt;&lt;/contributors&gt;&lt;added-date format="utc"&gt;1645695809&lt;/added-date&gt;&lt;ref-type name="Journal Article"&gt;17&lt;/ref-type&gt;&lt;dates&gt;&lt;year&gt;2021&lt;/year&gt;&lt;/dates&gt;&lt;rec-number&gt;703&lt;/rec-number&gt;&lt;last-updated-date format="utc"&gt;1645695809&lt;/last-updated-date&gt;&lt;volume&gt;55&lt;/volume&gt;&lt;/record&gt;&lt;/Cite&gt;&lt;/EndNote&gt;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[16]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  <w:tr w:rsidR="001B486C" w:rsidRPr="008F6BC3" w14:paraId="115EC786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4ABD2E9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DLGAP3</w:t>
            </w:r>
          </w:p>
        </w:tc>
        <w:tc>
          <w:tcPr>
            <w:tcW w:w="1417" w:type="dxa"/>
            <w:vAlign w:val="center"/>
          </w:tcPr>
          <w:p w14:paraId="56B0E71D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cg12679275</w:t>
            </w:r>
          </w:p>
        </w:tc>
        <w:tc>
          <w:tcPr>
            <w:tcW w:w="2268" w:type="dxa"/>
            <w:vAlign w:val="center"/>
          </w:tcPr>
          <w:p w14:paraId="5B9F2D5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Protein or amyloid-beta binding; </w:t>
            </w:r>
          </w:p>
          <w:p w14:paraId="049B020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Molecular adaptor activity</w:t>
            </w:r>
          </w:p>
        </w:tc>
        <w:tc>
          <w:tcPr>
            <w:tcW w:w="2552" w:type="dxa"/>
            <w:vAlign w:val="center"/>
          </w:tcPr>
          <w:p w14:paraId="49A897F6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Regulation of post-synaptic neurotransmitter receptor activity; Modification of synaptic structure</w:t>
            </w:r>
          </w:p>
        </w:tc>
        <w:tc>
          <w:tcPr>
            <w:tcW w:w="2268" w:type="dxa"/>
            <w:vAlign w:val="center"/>
          </w:tcPr>
          <w:p w14:paraId="51E01BAB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Neurological disorders</w:t>
            </w:r>
          </w:p>
        </w:tc>
        <w:tc>
          <w:tcPr>
            <w:tcW w:w="2977" w:type="dxa"/>
            <w:vAlign w:val="center"/>
          </w:tcPr>
          <w:p w14:paraId="1D9251F4" w14:textId="3F009081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NA </w:t>
            </w:r>
          </w:p>
        </w:tc>
      </w:tr>
      <w:tr w:rsidR="001B486C" w:rsidRPr="008F6BC3" w14:paraId="65095257" w14:textId="77777777" w:rsidTr="000423CF">
        <w:trPr>
          <w:trHeight w:val="340"/>
        </w:trPr>
        <w:tc>
          <w:tcPr>
            <w:tcW w:w="1418" w:type="dxa"/>
            <w:vAlign w:val="center"/>
          </w:tcPr>
          <w:p w14:paraId="7C1916E6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CRHBP</w:t>
            </w:r>
          </w:p>
        </w:tc>
        <w:tc>
          <w:tcPr>
            <w:tcW w:w="1417" w:type="dxa"/>
            <w:vAlign w:val="center"/>
          </w:tcPr>
          <w:p w14:paraId="699070BC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cg03286609</w:t>
            </w:r>
          </w:p>
        </w:tc>
        <w:tc>
          <w:tcPr>
            <w:tcW w:w="2268" w:type="dxa"/>
            <w:vAlign w:val="center"/>
          </w:tcPr>
          <w:p w14:paraId="6541CDD0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Protein or corticotropin-releasing hormone binding</w:t>
            </w:r>
          </w:p>
        </w:tc>
        <w:tc>
          <w:tcPr>
            <w:tcW w:w="2552" w:type="dxa"/>
            <w:vAlign w:val="center"/>
          </w:tcPr>
          <w:p w14:paraId="28818585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Cellular response to stimulus (estrogen; xenobiotic; stress; tumor necrosis factor; gonadotropin-releasing hormone; potassium);</w:t>
            </w:r>
          </w:p>
          <w:p w14:paraId="0BEC1ACF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Synaptic transmission</w:t>
            </w:r>
          </w:p>
        </w:tc>
        <w:tc>
          <w:tcPr>
            <w:tcW w:w="2268" w:type="dxa"/>
            <w:vAlign w:val="center"/>
          </w:tcPr>
          <w:p w14:paraId="07ABEEE1" w14:textId="77777777" w:rsidR="001B486C" w:rsidRPr="008F6BC3" w:rsidRDefault="001B486C" w:rsidP="0045729C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>Neurological and psychological disorders</w:t>
            </w:r>
          </w:p>
        </w:tc>
        <w:tc>
          <w:tcPr>
            <w:tcW w:w="2977" w:type="dxa"/>
            <w:vAlign w:val="center"/>
          </w:tcPr>
          <w:p w14:paraId="69F7DDEA" w14:textId="77777777" w:rsidR="001B486C" w:rsidRPr="008F6BC3" w:rsidRDefault="001B486C" w:rsidP="00044B37">
            <w:pPr>
              <w:rPr>
                <w:rFonts w:asciiTheme="majorBidi" w:hAnsiTheme="majorBidi" w:cstheme="majorBidi"/>
                <w:color w:val="000000"/>
              </w:rPr>
            </w:pPr>
            <w:r w:rsidRPr="008F6BC3">
              <w:rPr>
                <w:rFonts w:asciiTheme="majorBidi" w:hAnsiTheme="majorBidi" w:cstheme="majorBidi"/>
                <w:color w:val="000000"/>
              </w:rPr>
              <w:t xml:space="preserve">Expressed on hematopoietic stem cells which were apoptotic and dysregulated (differentiation) in severe COVID-19 patients 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begin"/>
            </w:r>
            <w:r w:rsidRPr="008F6BC3">
              <w:rPr>
                <w:rFonts w:asciiTheme="majorBidi" w:hAnsiTheme="majorBidi" w:cstheme="majorBidi"/>
                <w:color w:val="000000"/>
              </w:rPr>
              <w:instrText xml:space="preserve"> ADDIN EN.CITE &lt;EndNote&gt;&lt;Cite&gt;&lt;Author&gt;Wang&lt;/Author&gt;&lt;Year&gt;2021&lt;/Year&gt;&lt;IDText&gt;Dysregulated hematopoiesis in bone marrow marks severe COVID-19&lt;/IDText&gt;&lt;DisplayText&gt;[17]&lt;/DisplayText&gt;&lt;record&gt;&lt;isbn&gt;2056-5968&lt;/isbn&gt;&lt;titles&gt;&lt;title&gt;Dysregulated hematopoiesis in bone marrow marks severe COVID-19&lt;/title&gt;&lt;secondary-title&gt;Cell discovery&lt;/secondary-title&gt;&lt;/titles&gt;&lt;pages&gt;1-18&lt;/pages&gt;&lt;number&gt;1&lt;/number&gt;&lt;contributors&gt;&lt;authors&gt;&lt;author&gt;Wang, Xin&lt;/author&gt;&lt;author&gt;Wen, Yanling&lt;/author&gt;&lt;author&gt;Xie, Xiaowei&lt;/author&gt;&lt;author&gt;Liu, Yang&lt;/author&gt;&lt;author&gt;Tan, Xiaohua&lt;/author&gt;&lt;author&gt;Cai, Qingxian&lt;/author&gt;&lt;author&gt;Zhang, Yawen&lt;/author&gt;&lt;author&gt;Cheng, Lin&lt;/author&gt;&lt;author&gt;Xu, Gang&lt;/author&gt;&lt;author&gt;Zhang, Shengyuan&lt;/author&gt;&lt;/authors&gt;&lt;/contributors&gt;&lt;added-date format="utc"&gt;1645696015&lt;/added-date&gt;&lt;ref-type name="Journal Article"&gt;17&lt;/ref-type&gt;&lt;dates&gt;&lt;year&gt;2021&lt;/year&gt;&lt;/dates&gt;&lt;rec-number&gt;704&lt;/rec-number&gt;&lt;last-updated-date format="utc"&gt;1645696015&lt;/last-updated-date&gt;&lt;volume&gt;7&lt;/volume&gt;&lt;/record&gt;&lt;/Cite&gt;&lt;/EndNote&gt;</w:instrTex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separate"/>
            </w:r>
            <w:r w:rsidRPr="008F6BC3">
              <w:rPr>
                <w:rFonts w:asciiTheme="majorBidi" w:hAnsiTheme="majorBidi" w:cstheme="majorBidi"/>
                <w:noProof/>
                <w:color w:val="000000"/>
              </w:rPr>
              <w:t>[17]</w:t>
            </w:r>
            <w:r w:rsidRPr="008F6BC3">
              <w:rPr>
                <w:rFonts w:asciiTheme="majorBidi" w:hAnsiTheme="majorBidi" w:cstheme="majorBidi"/>
                <w:color w:val="000000"/>
              </w:rPr>
              <w:fldChar w:fldCharType="end"/>
            </w:r>
          </w:p>
        </w:tc>
      </w:tr>
    </w:tbl>
    <w:p w14:paraId="6AEA9346" w14:textId="77777777" w:rsidR="00785D8E" w:rsidRPr="008F6BC3" w:rsidRDefault="00785D8E" w:rsidP="00785D8E">
      <w:pPr>
        <w:rPr>
          <w:rFonts w:asciiTheme="majorBidi" w:hAnsiTheme="majorBidi" w:cstheme="majorBidi"/>
          <w:b/>
          <w:bCs/>
          <w:color w:val="000000"/>
        </w:rPr>
      </w:pPr>
      <w:r w:rsidRPr="008F6BC3">
        <w:rPr>
          <w:rFonts w:asciiTheme="majorBidi" w:hAnsiTheme="majorBidi" w:cstheme="majorBidi"/>
          <w:b/>
          <w:bCs/>
          <w:color w:val="000000"/>
        </w:rPr>
        <w:t xml:space="preserve">* </w:t>
      </w:r>
      <w:r w:rsidRPr="008F6BC3">
        <w:rPr>
          <w:rFonts w:asciiTheme="majorBidi" w:hAnsiTheme="majorBidi" w:cstheme="majorBidi"/>
          <w:color w:val="000000"/>
        </w:rPr>
        <w:t>based on GO</w:t>
      </w:r>
    </w:p>
    <w:p w14:paraId="4420CB15" w14:textId="3B537050" w:rsidR="00785D8E" w:rsidRDefault="00785D8E" w:rsidP="00785D8E">
      <w:pPr>
        <w:rPr>
          <w:rFonts w:asciiTheme="majorBidi" w:hAnsiTheme="majorBidi" w:cstheme="majorBidi"/>
          <w:color w:val="000000"/>
        </w:rPr>
      </w:pPr>
      <w:r w:rsidRPr="008F6BC3">
        <w:rPr>
          <w:rFonts w:asciiTheme="majorBidi" w:hAnsiTheme="majorBidi" w:cstheme="majorBidi"/>
          <w:color w:val="000000"/>
        </w:rPr>
        <w:lastRenderedPageBreak/>
        <w:sym w:font="Symbol" w:char="F0B0"/>
      </w:r>
      <w:r w:rsidRPr="008F6BC3">
        <w:t xml:space="preserve"> </w:t>
      </w:r>
      <w:r w:rsidRPr="008F6BC3">
        <w:rPr>
          <w:rFonts w:asciiTheme="majorBidi" w:hAnsiTheme="majorBidi" w:cstheme="majorBidi"/>
          <w:color w:val="000000"/>
        </w:rPr>
        <w:t>steroid-induced osteonecrosis of the femoral head</w:t>
      </w:r>
    </w:p>
    <w:p w14:paraId="0B087BAA" w14:textId="5F7CF0FD" w:rsidR="00F62D15" w:rsidRDefault="00F62D15" w:rsidP="00785D8E">
      <w:pPr>
        <w:rPr>
          <w:rFonts w:asciiTheme="majorBidi" w:hAnsiTheme="majorBidi" w:cstheme="majorBidi"/>
          <w:color w:val="000000"/>
        </w:rPr>
      </w:pPr>
    </w:p>
    <w:p w14:paraId="778C5D17" w14:textId="77777777" w:rsidR="00857B8B" w:rsidRPr="008F6BC3" w:rsidRDefault="00857B8B" w:rsidP="00785D8E">
      <w:pPr>
        <w:rPr>
          <w:rFonts w:asciiTheme="majorBidi" w:hAnsiTheme="majorBidi" w:cstheme="majorBidi"/>
          <w:color w:val="000000"/>
        </w:rPr>
      </w:pPr>
    </w:p>
    <w:p w14:paraId="5EDC4167" w14:textId="77777777" w:rsidR="00857B8B" w:rsidRPr="008F6BC3" w:rsidRDefault="00857B8B" w:rsidP="00785D8E">
      <w:pPr>
        <w:rPr>
          <w:rFonts w:asciiTheme="majorBidi" w:hAnsiTheme="majorBidi" w:cstheme="majorBidi"/>
          <w:b/>
          <w:bCs/>
          <w:color w:val="000000"/>
        </w:rPr>
      </w:pPr>
      <w:r w:rsidRPr="008F6BC3">
        <w:rPr>
          <w:rFonts w:asciiTheme="majorBidi" w:hAnsiTheme="majorBidi" w:cstheme="majorBidi"/>
          <w:b/>
          <w:bCs/>
          <w:color w:val="000000"/>
        </w:rPr>
        <w:t>REFERENCES:</w:t>
      </w:r>
    </w:p>
    <w:p w14:paraId="42C5E49C" w14:textId="77777777" w:rsidR="00A048B5" w:rsidRPr="008F6BC3" w:rsidRDefault="00A048B5" w:rsidP="00785D8E"/>
    <w:p w14:paraId="3CE0067E" w14:textId="77777777" w:rsidR="00A048B5" w:rsidRPr="008F6BC3" w:rsidRDefault="00A048B5" w:rsidP="00785D8E"/>
    <w:p w14:paraId="7965F719" w14:textId="77777777" w:rsidR="00857B8B" w:rsidRPr="008F6BC3" w:rsidRDefault="00A048B5" w:rsidP="00857B8B">
      <w:pPr>
        <w:pStyle w:val="EndNoteBibliography"/>
        <w:ind w:left="720" w:hanging="720"/>
        <w:rPr>
          <w:noProof/>
        </w:rPr>
      </w:pPr>
      <w:r w:rsidRPr="008F6BC3">
        <w:fldChar w:fldCharType="begin"/>
      </w:r>
      <w:r w:rsidRPr="008F6BC3">
        <w:instrText xml:space="preserve"> ADDIN EN.REFLIST </w:instrText>
      </w:r>
      <w:r w:rsidRPr="008F6BC3">
        <w:fldChar w:fldCharType="separate"/>
      </w:r>
      <w:r w:rsidR="00857B8B" w:rsidRPr="008F6BC3">
        <w:rPr>
          <w:noProof/>
        </w:rPr>
        <w:t>1.</w:t>
      </w:r>
      <w:r w:rsidR="00857B8B" w:rsidRPr="008F6BC3">
        <w:rPr>
          <w:noProof/>
        </w:rPr>
        <w:tab/>
        <w:t xml:space="preserve">Penna, C., et al., </w:t>
      </w:r>
      <w:r w:rsidR="00857B8B" w:rsidRPr="008F6BC3">
        <w:rPr>
          <w:i/>
          <w:noProof/>
        </w:rPr>
        <w:t>Sex</w:t>
      </w:r>
      <w:r w:rsidR="00857B8B" w:rsidRPr="008F6BC3">
        <w:rPr>
          <w:rFonts w:ascii="Cambria Math" w:hAnsi="Cambria Math" w:cs="Cambria Math"/>
          <w:i/>
          <w:noProof/>
        </w:rPr>
        <w:t>‐</w:t>
      </w:r>
      <w:r w:rsidR="00857B8B" w:rsidRPr="008F6BC3">
        <w:rPr>
          <w:i/>
          <w:noProof/>
        </w:rPr>
        <w:t>related differences in COVID</w:t>
      </w:r>
      <w:r w:rsidR="00857B8B" w:rsidRPr="008F6BC3">
        <w:rPr>
          <w:rFonts w:ascii="Cambria Math" w:hAnsi="Cambria Math" w:cs="Cambria Math"/>
          <w:i/>
          <w:noProof/>
        </w:rPr>
        <w:t>‐</w:t>
      </w:r>
      <w:r w:rsidR="00857B8B" w:rsidRPr="008F6BC3">
        <w:rPr>
          <w:i/>
          <w:noProof/>
        </w:rPr>
        <w:t>19 lethality.</w:t>
      </w:r>
      <w:r w:rsidR="00857B8B" w:rsidRPr="008F6BC3">
        <w:rPr>
          <w:noProof/>
        </w:rPr>
        <w:t xml:space="preserve"> British journal of pharmacology, 2020. </w:t>
      </w:r>
      <w:r w:rsidR="00857B8B" w:rsidRPr="008F6BC3">
        <w:rPr>
          <w:b/>
          <w:noProof/>
        </w:rPr>
        <w:t>177</w:t>
      </w:r>
      <w:r w:rsidR="00857B8B" w:rsidRPr="008F6BC3">
        <w:rPr>
          <w:noProof/>
        </w:rPr>
        <w:t>(19): p. 4375-4385.</w:t>
      </w:r>
    </w:p>
    <w:p w14:paraId="57C5666D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2.</w:t>
      </w:r>
      <w:r w:rsidRPr="008F6BC3">
        <w:rPr>
          <w:noProof/>
        </w:rPr>
        <w:tab/>
        <w:t xml:space="preserve">Fang, K.-Y., et al., </w:t>
      </w:r>
      <w:r w:rsidRPr="008F6BC3">
        <w:rPr>
          <w:i/>
          <w:noProof/>
        </w:rPr>
        <w:t>Screening the Hub Genes and Analyzing the Mechanisms in Discharged COVID-19 Patients Retesting Positive through Bioinformatics Analysis.</w:t>
      </w:r>
      <w:r w:rsidRPr="008F6BC3">
        <w:rPr>
          <w:noProof/>
        </w:rPr>
        <w:t xml:space="preserve"> 2021.</w:t>
      </w:r>
    </w:p>
    <w:p w14:paraId="4AF7569D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3.</w:t>
      </w:r>
      <w:r w:rsidRPr="008F6BC3">
        <w:rPr>
          <w:noProof/>
        </w:rPr>
        <w:tab/>
        <w:t xml:space="preserve">Pablos, I., et al., </w:t>
      </w:r>
      <w:r w:rsidRPr="008F6BC3">
        <w:rPr>
          <w:i/>
          <w:noProof/>
        </w:rPr>
        <w:t>Mechanistic insights into COVID-19 by global analysis of the SARS-CoV-2 3CLpro substrate degradome.</w:t>
      </w:r>
      <w:r w:rsidRPr="008F6BC3">
        <w:rPr>
          <w:noProof/>
        </w:rPr>
        <w:t xml:space="preserve"> Cell reports, 2021. </w:t>
      </w:r>
      <w:r w:rsidRPr="008F6BC3">
        <w:rPr>
          <w:b/>
          <w:noProof/>
        </w:rPr>
        <w:t>37</w:t>
      </w:r>
      <w:r w:rsidRPr="008F6BC3">
        <w:rPr>
          <w:noProof/>
        </w:rPr>
        <w:t>(4): p. 109892.</w:t>
      </w:r>
    </w:p>
    <w:p w14:paraId="0DC297E9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4.</w:t>
      </w:r>
      <w:r w:rsidRPr="008F6BC3">
        <w:rPr>
          <w:noProof/>
        </w:rPr>
        <w:tab/>
        <w:t xml:space="preserve">Deb, B., D.R. O’Brien, and A.E. Bharucha, </w:t>
      </w:r>
      <w:r w:rsidRPr="008F6BC3">
        <w:rPr>
          <w:i/>
          <w:noProof/>
        </w:rPr>
        <w:t>Duodenal mucosal expression of COVID-19-related genes in health, diabetes gastroenteropathy and functional dyspepsia.</w:t>
      </w:r>
      <w:r w:rsidRPr="008F6BC3">
        <w:rPr>
          <w:noProof/>
        </w:rPr>
        <w:t xml:space="preserve"> The Journal of Clinical Endocrinology &amp; Metabolism, 2022.</w:t>
      </w:r>
    </w:p>
    <w:p w14:paraId="7D4A7512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5.</w:t>
      </w:r>
      <w:r w:rsidRPr="008F6BC3">
        <w:rPr>
          <w:noProof/>
        </w:rPr>
        <w:tab/>
        <w:t xml:space="preserve">Vastrad, B., C. Vastrad, and A. Tengli, </w:t>
      </w:r>
      <w:r w:rsidRPr="008F6BC3">
        <w:rPr>
          <w:i/>
          <w:noProof/>
        </w:rPr>
        <w:t>Bioinformatics analyses of significant genes, related pathways, and candidate diagnostic biomarkers and molecular targets in SARS-CoV-2/COVID-19.</w:t>
      </w:r>
      <w:r w:rsidRPr="008F6BC3">
        <w:rPr>
          <w:noProof/>
        </w:rPr>
        <w:t xml:space="preserve"> Gene Reports, 2020. </w:t>
      </w:r>
      <w:r w:rsidRPr="008F6BC3">
        <w:rPr>
          <w:b/>
          <w:noProof/>
        </w:rPr>
        <w:t>21</w:t>
      </w:r>
      <w:r w:rsidRPr="008F6BC3">
        <w:rPr>
          <w:noProof/>
        </w:rPr>
        <w:t>: p. 100956.</w:t>
      </w:r>
    </w:p>
    <w:p w14:paraId="2C7A32EB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6.</w:t>
      </w:r>
      <w:r w:rsidRPr="008F6BC3">
        <w:rPr>
          <w:noProof/>
        </w:rPr>
        <w:tab/>
        <w:t xml:space="preserve">Zhou, S., et al., </w:t>
      </w:r>
      <w:r w:rsidRPr="008F6BC3">
        <w:rPr>
          <w:i/>
          <w:noProof/>
        </w:rPr>
        <w:t>An epigenome</w:t>
      </w:r>
      <w:r w:rsidRPr="008F6BC3">
        <w:rPr>
          <w:rFonts w:ascii="Cambria Math" w:hAnsi="Cambria Math" w:cs="Cambria Math"/>
          <w:i/>
          <w:noProof/>
        </w:rPr>
        <w:t>‐</w:t>
      </w:r>
      <w:r w:rsidRPr="008F6BC3">
        <w:rPr>
          <w:i/>
          <w:noProof/>
        </w:rPr>
        <w:t>wide DNA methylation study of patients with COVID</w:t>
      </w:r>
      <w:r w:rsidRPr="008F6BC3">
        <w:rPr>
          <w:rFonts w:ascii="Cambria Math" w:hAnsi="Cambria Math" w:cs="Cambria Math"/>
          <w:i/>
          <w:noProof/>
        </w:rPr>
        <w:t>‐</w:t>
      </w:r>
      <w:r w:rsidRPr="008F6BC3">
        <w:rPr>
          <w:i/>
          <w:noProof/>
        </w:rPr>
        <w:t>19.</w:t>
      </w:r>
      <w:r w:rsidRPr="008F6BC3">
        <w:rPr>
          <w:noProof/>
        </w:rPr>
        <w:t xml:space="preserve"> Annals of human genetics, 2021. </w:t>
      </w:r>
      <w:r w:rsidRPr="008F6BC3">
        <w:rPr>
          <w:b/>
          <w:noProof/>
        </w:rPr>
        <w:t>85</w:t>
      </w:r>
      <w:r w:rsidRPr="008F6BC3">
        <w:rPr>
          <w:noProof/>
        </w:rPr>
        <w:t>(6): p. 221-234.</w:t>
      </w:r>
    </w:p>
    <w:p w14:paraId="6700331E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7.</w:t>
      </w:r>
      <w:r w:rsidRPr="008F6BC3">
        <w:rPr>
          <w:noProof/>
        </w:rPr>
        <w:tab/>
        <w:t xml:space="preserve">Hossain, M.S., et al., </w:t>
      </w:r>
      <w:r w:rsidRPr="008F6BC3">
        <w:rPr>
          <w:i/>
          <w:noProof/>
        </w:rPr>
        <w:t>Prediction of the Effects of Variants and Differential Expression of Key Host Genes ACE2, TMPRSS2, and FURIN in SARS-CoV-2 Pathogenesis: An In Silico Approach.</w:t>
      </w:r>
      <w:r w:rsidRPr="008F6BC3">
        <w:rPr>
          <w:noProof/>
        </w:rPr>
        <w:t xml:space="preserve"> Bioinformatics and biology insights, 2021. </w:t>
      </w:r>
      <w:r w:rsidRPr="008F6BC3">
        <w:rPr>
          <w:b/>
          <w:noProof/>
        </w:rPr>
        <w:t>15</w:t>
      </w:r>
      <w:r w:rsidRPr="008F6BC3">
        <w:rPr>
          <w:noProof/>
        </w:rPr>
        <w:t>: p. 11779322211054684.</w:t>
      </w:r>
    </w:p>
    <w:p w14:paraId="0DB5E642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8.</w:t>
      </w:r>
      <w:r w:rsidRPr="008F6BC3">
        <w:rPr>
          <w:noProof/>
        </w:rPr>
        <w:tab/>
        <w:t xml:space="preserve">Khan, M., et al., </w:t>
      </w:r>
      <w:r w:rsidRPr="008F6BC3">
        <w:rPr>
          <w:i/>
          <w:noProof/>
        </w:rPr>
        <w:t>Visualizing in deceased COVID-19 patients how SARS-CoV-2 attacks the respiratory and olfactory mucosae but spares the olfactory bulb.</w:t>
      </w:r>
      <w:r w:rsidRPr="008F6BC3">
        <w:rPr>
          <w:noProof/>
        </w:rPr>
        <w:t xml:space="preserve"> Cell, 2021. </w:t>
      </w:r>
      <w:r w:rsidRPr="008F6BC3">
        <w:rPr>
          <w:b/>
          <w:noProof/>
        </w:rPr>
        <w:t>184</w:t>
      </w:r>
      <w:r w:rsidRPr="008F6BC3">
        <w:rPr>
          <w:noProof/>
        </w:rPr>
        <w:t>(24): p. 5932-5949. e15.</w:t>
      </w:r>
    </w:p>
    <w:p w14:paraId="164F3C15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9.</w:t>
      </w:r>
      <w:r w:rsidRPr="008F6BC3">
        <w:rPr>
          <w:noProof/>
        </w:rPr>
        <w:tab/>
        <w:t xml:space="preserve">Savarraj, J., et al., </w:t>
      </w:r>
      <w:r w:rsidRPr="008F6BC3">
        <w:rPr>
          <w:i/>
          <w:noProof/>
        </w:rPr>
        <w:t>Brain injury, endothelial injury and inflammatory markers are elevated and express sex-specific alterations after COVID-19.</w:t>
      </w:r>
      <w:r w:rsidRPr="008F6BC3">
        <w:rPr>
          <w:noProof/>
        </w:rPr>
        <w:t xml:space="preserve"> Journal of neuroinflammation, 2021. </w:t>
      </w:r>
      <w:r w:rsidRPr="008F6BC3">
        <w:rPr>
          <w:b/>
          <w:noProof/>
        </w:rPr>
        <w:t>18</w:t>
      </w:r>
      <w:r w:rsidRPr="008F6BC3">
        <w:rPr>
          <w:noProof/>
        </w:rPr>
        <w:t>(1): p. 1-12.</w:t>
      </w:r>
    </w:p>
    <w:p w14:paraId="78C0BDC1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10.</w:t>
      </w:r>
      <w:r w:rsidRPr="008F6BC3">
        <w:rPr>
          <w:noProof/>
        </w:rPr>
        <w:tab/>
        <w:t xml:space="preserve">Bui, L.T., et al., </w:t>
      </w:r>
      <w:r w:rsidRPr="008F6BC3">
        <w:rPr>
          <w:i/>
          <w:noProof/>
        </w:rPr>
        <w:t>Chronic lung diseases are associated with gene expression programs favoring SARS-CoV-2 entry and severity.</w:t>
      </w:r>
      <w:r w:rsidRPr="008F6BC3">
        <w:rPr>
          <w:noProof/>
        </w:rPr>
        <w:t xml:space="preserve"> Nature communications, 2021. </w:t>
      </w:r>
      <w:r w:rsidRPr="008F6BC3">
        <w:rPr>
          <w:b/>
          <w:noProof/>
        </w:rPr>
        <w:t>12</w:t>
      </w:r>
      <w:r w:rsidRPr="008F6BC3">
        <w:rPr>
          <w:noProof/>
        </w:rPr>
        <w:t>(1): p. 1-13.</w:t>
      </w:r>
    </w:p>
    <w:p w14:paraId="153C83EF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11.</w:t>
      </w:r>
      <w:r w:rsidRPr="008F6BC3">
        <w:rPr>
          <w:noProof/>
        </w:rPr>
        <w:tab/>
        <w:t xml:space="preserve">Li, D., et al., </w:t>
      </w:r>
      <w:r w:rsidRPr="008F6BC3">
        <w:rPr>
          <w:i/>
          <w:noProof/>
        </w:rPr>
        <w:t>Palmitoylation of SARS</w:t>
      </w:r>
      <w:r w:rsidRPr="008F6BC3">
        <w:rPr>
          <w:rFonts w:ascii="Cambria Math" w:hAnsi="Cambria Math" w:cs="Cambria Math"/>
          <w:i/>
          <w:noProof/>
        </w:rPr>
        <w:t>‐</w:t>
      </w:r>
      <w:r w:rsidRPr="008F6BC3">
        <w:rPr>
          <w:i/>
          <w:noProof/>
        </w:rPr>
        <w:t>CoV</w:t>
      </w:r>
      <w:r w:rsidRPr="008F6BC3">
        <w:rPr>
          <w:rFonts w:ascii="Cambria Math" w:hAnsi="Cambria Math" w:cs="Cambria Math"/>
          <w:i/>
          <w:noProof/>
        </w:rPr>
        <w:t>‐</w:t>
      </w:r>
      <w:r w:rsidRPr="008F6BC3">
        <w:rPr>
          <w:i/>
          <w:noProof/>
        </w:rPr>
        <w:t>2 S protein is critical for S</w:t>
      </w:r>
      <w:r w:rsidRPr="008F6BC3">
        <w:rPr>
          <w:rFonts w:ascii="Cambria Math" w:hAnsi="Cambria Math" w:cs="Cambria Math"/>
          <w:i/>
          <w:noProof/>
        </w:rPr>
        <w:t>‐</w:t>
      </w:r>
      <w:r w:rsidRPr="008F6BC3">
        <w:rPr>
          <w:i/>
          <w:noProof/>
        </w:rPr>
        <w:t>mediated syncytia formation and virus entry.</w:t>
      </w:r>
      <w:r w:rsidRPr="008F6BC3">
        <w:rPr>
          <w:noProof/>
        </w:rPr>
        <w:t xml:space="preserve"> Journal of Medical Virology, 2022. </w:t>
      </w:r>
      <w:r w:rsidRPr="008F6BC3">
        <w:rPr>
          <w:b/>
          <w:noProof/>
        </w:rPr>
        <w:t>94</w:t>
      </w:r>
      <w:r w:rsidRPr="008F6BC3">
        <w:rPr>
          <w:noProof/>
        </w:rPr>
        <w:t>(1): p. 342-348.</w:t>
      </w:r>
    </w:p>
    <w:p w14:paraId="4D9E342D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12.</w:t>
      </w:r>
      <w:r w:rsidRPr="008F6BC3">
        <w:rPr>
          <w:noProof/>
        </w:rPr>
        <w:tab/>
        <w:t xml:space="preserve">Fadakar, N., et al., </w:t>
      </w:r>
      <w:r w:rsidRPr="008F6BC3">
        <w:rPr>
          <w:i/>
          <w:noProof/>
        </w:rPr>
        <w:t>A first case of acute cerebellitis associated with coronavirus disease (COVID-19): a case report and literature review.</w:t>
      </w:r>
      <w:r w:rsidRPr="008F6BC3">
        <w:rPr>
          <w:noProof/>
        </w:rPr>
        <w:t xml:space="preserve"> The Cerebellum, 2020. </w:t>
      </w:r>
      <w:r w:rsidRPr="008F6BC3">
        <w:rPr>
          <w:b/>
          <w:noProof/>
        </w:rPr>
        <w:t>19</w:t>
      </w:r>
      <w:r w:rsidRPr="008F6BC3">
        <w:rPr>
          <w:noProof/>
        </w:rPr>
        <w:t>(6): p. 911-914.</w:t>
      </w:r>
    </w:p>
    <w:p w14:paraId="49447FB5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13.</w:t>
      </w:r>
      <w:r w:rsidRPr="008F6BC3">
        <w:rPr>
          <w:noProof/>
        </w:rPr>
        <w:tab/>
        <w:t xml:space="preserve">Salari, M. and M. Etemadifar, </w:t>
      </w:r>
      <w:r w:rsidRPr="008F6BC3">
        <w:rPr>
          <w:i/>
          <w:noProof/>
        </w:rPr>
        <w:t>Can COVID</w:t>
      </w:r>
      <w:r w:rsidRPr="008F6BC3">
        <w:rPr>
          <w:rFonts w:ascii="Cambria Math" w:hAnsi="Cambria Math" w:cs="Cambria Math"/>
          <w:i/>
          <w:noProof/>
        </w:rPr>
        <w:t>‐</w:t>
      </w:r>
      <w:r w:rsidRPr="008F6BC3">
        <w:rPr>
          <w:i/>
          <w:noProof/>
        </w:rPr>
        <w:t>19 accelerate neurodegeneration?</w:t>
      </w:r>
      <w:r w:rsidRPr="008F6BC3">
        <w:rPr>
          <w:noProof/>
        </w:rPr>
        <w:t xml:space="preserve"> Clinical Case Reports, 2021. </w:t>
      </w:r>
      <w:r w:rsidRPr="008F6BC3">
        <w:rPr>
          <w:b/>
          <w:noProof/>
        </w:rPr>
        <w:t>9</w:t>
      </w:r>
      <w:r w:rsidRPr="008F6BC3">
        <w:rPr>
          <w:noProof/>
        </w:rPr>
        <w:t>(7).</w:t>
      </w:r>
    </w:p>
    <w:p w14:paraId="63E42907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14.</w:t>
      </w:r>
      <w:r w:rsidRPr="008F6BC3">
        <w:rPr>
          <w:noProof/>
        </w:rPr>
        <w:tab/>
        <w:t xml:space="preserve">Saheb Sharif-Askari, N., et al., </w:t>
      </w:r>
      <w:r w:rsidRPr="008F6BC3">
        <w:rPr>
          <w:i/>
          <w:noProof/>
        </w:rPr>
        <w:t>Enhanced expression of autoantigens during SARS-CoV-2 viral infection.</w:t>
      </w:r>
      <w:r w:rsidRPr="008F6BC3">
        <w:rPr>
          <w:noProof/>
        </w:rPr>
        <w:t xml:space="preserve"> Frontiers in Immunology, 2021. </w:t>
      </w:r>
      <w:r w:rsidRPr="008F6BC3">
        <w:rPr>
          <w:b/>
          <w:noProof/>
        </w:rPr>
        <w:t>12</w:t>
      </w:r>
      <w:r w:rsidRPr="008F6BC3">
        <w:rPr>
          <w:noProof/>
        </w:rPr>
        <w:t>: p. 2271.</w:t>
      </w:r>
    </w:p>
    <w:p w14:paraId="4306EF6C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lastRenderedPageBreak/>
        <w:t>15.</w:t>
      </w:r>
      <w:r w:rsidRPr="008F6BC3">
        <w:rPr>
          <w:noProof/>
        </w:rPr>
        <w:tab/>
        <w:t xml:space="preserve">Reynolds, J.L. and M.L. Dubocovich, </w:t>
      </w:r>
      <w:r w:rsidRPr="008F6BC3">
        <w:rPr>
          <w:i/>
          <w:noProof/>
        </w:rPr>
        <w:t>Melatonin multifaceted pharmacological actions on melatonin receptors converging to abrogate COVID</w:t>
      </w:r>
      <w:r w:rsidRPr="008F6BC3">
        <w:rPr>
          <w:rFonts w:ascii="Cambria Math" w:hAnsi="Cambria Math" w:cs="Cambria Math"/>
          <w:i/>
          <w:noProof/>
        </w:rPr>
        <w:t>‐</w:t>
      </w:r>
      <w:r w:rsidRPr="008F6BC3">
        <w:rPr>
          <w:i/>
          <w:noProof/>
        </w:rPr>
        <w:t>19.</w:t>
      </w:r>
      <w:r w:rsidRPr="008F6BC3">
        <w:rPr>
          <w:noProof/>
        </w:rPr>
        <w:t xml:space="preserve"> Journal of Pineal Research, 2021. </w:t>
      </w:r>
      <w:r w:rsidRPr="008F6BC3">
        <w:rPr>
          <w:b/>
          <w:noProof/>
        </w:rPr>
        <w:t>71</w:t>
      </w:r>
      <w:r w:rsidRPr="008F6BC3">
        <w:rPr>
          <w:noProof/>
        </w:rPr>
        <w:t>(1): p. e12732.</w:t>
      </w:r>
    </w:p>
    <w:p w14:paraId="7C1BE210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16.</w:t>
      </w:r>
      <w:r w:rsidRPr="008F6BC3">
        <w:rPr>
          <w:noProof/>
        </w:rPr>
        <w:tab/>
        <w:t xml:space="preserve">Shulgin, A., et al., </w:t>
      </w:r>
      <w:r w:rsidRPr="008F6BC3">
        <w:rPr>
          <w:i/>
          <w:noProof/>
        </w:rPr>
        <w:t>Plasmolipin and Its Role in Cell Processes.</w:t>
      </w:r>
      <w:r w:rsidRPr="008F6BC3">
        <w:rPr>
          <w:noProof/>
        </w:rPr>
        <w:t xml:space="preserve"> Molecular Biology, 2021. </w:t>
      </w:r>
      <w:r w:rsidRPr="008F6BC3">
        <w:rPr>
          <w:b/>
          <w:noProof/>
        </w:rPr>
        <w:t>55</w:t>
      </w:r>
      <w:r w:rsidRPr="008F6BC3">
        <w:rPr>
          <w:noProof/>
        </w:rPr>
        <w:t>(6): p. 773-785.</w:t>
      </w:r>
    </w:p>
    <w:p w14:paraId="54BC8C3A" w14:textId="77777777" w:rsidR="00857B8B" w:rsidRPr="008F6BC3" w:rsidRDefault="00857B8B" w:rsidP="00857B8B">
      <w:pPr>
        <w:pStyle w:val="EndNoteBibliography"/>
        <w:ind w:left="720" w:hanging="720"/>
        <w:rPr>
          <w:noProof/>
        </w:rPr>
      </w:pPr>
      <w:r w:rsidRPr="008F6BC3">
        <w:rPr>
          <w:noProof/>
        </w:rPr>
        <w:t>17.</w:t>
      </w:r>
      <w:r w:rsidRPr="008F6BC3">
        <w:rPr>
          <w:noProof/>
        </w:rPr>
        <w:tab/>
        <w:t xml:space="preserve">Wang, X., et al., </w:t>
      </w:r>
      <w:r w:rsidRPr="008F6BC3">
        <w:rPr>
          <w:i/>
          <w:noProof/>
        </w:rPr>
        <w:t>Dysregulated hematopoiesis in bone marrow marks severe COVID-19.</w:t>
      </w:r>
      <w:r w:rsidRPr="008F6BC3">
        <w:rPr>
          <w:noProof/>
        </w:rPr>
        <w:t xml:space="preserve"> Cell discovery, 2021. </w:t>
      </w:r>
      <w:r w:rsidRPr="008F6BC3">
        <w:rPr>
          <w:b/>
          <w:noProof/>
        </w:rPr>
        <w:t>7</w:t>
      </w:r>
      <w:r w:rsidRPr="008F6BC3">
        <w:rPr>
          <w:noProof/>
        </w:rPr>
        <w:t>(1): p. 1-18.</w:t>
      </w:r>
    </w:p>
    <w:p w14:paraId="605C7631" w14:textId="2DD97DD6" w:rsidR="00785D8E" w:rsidRPr="008F6BC3" w:rsidRDefault="00A048B5" w:rsidP="00857B8B">
      <w:r w:rsidRPr="008F6BC3">
        <w:fldChar w:fldCharType="end"/>
      </w:r>
    </w:p>
    <w:sectPr w:rsidR="00785D8E" w:rsidRPr="008F6BC3" w:rsidSect="00785D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785D8E"/>
    <w:rsid w:val="000423CF"/>
    <w:rsid w:val="00044B37"/>
    <w:rsid w:val="000453A9"/>
    <w:rsid w:val="00073A58"/>
    <w:rsid w:val="00073EC8"/>
    <w:rsid w:val="00084B55"/>
    <w:rsid w:val="000A7551"/>
    <w:rsid w:val="000B0CE4"/>
    <w:rsid w:val="000D17BE"/>
    <w:rsid w:val="000D39AD"/>
    <w:rsid w:val="000D4AEE"/>
    <w:rsid w:val="000E2DC3"/>
    <w:rsid w:val="000E7CB4"/>
    <w:rsid w:val="0010263E"/>
    <w:rsid w:val="00105E9B"/>
    <w:rsid w:val="00132737"/>
    <w:rsid w:val="001A0AD8"/>
    <w:rsid w:val="001B486C"/>
    <w:rsid w:val="001C23E2"/>
    <w:rsid w:val="001E0E8B"/>
    <w:rsid w:val="001E5BC9"/>
    <w:rsid w:val="002159F1"/>
    <w:rsid w:val="00225096"/>
    <w:rsid w:val="00262186"/>
    <w:rsid w:val="002643C4"/>
    <w:rsid w:val="00275D67"/>
    <w:rsid w:val="0028007B"/>
    <w:rsid w:val="00296139"/>
    <w:rsid w:val="002A2798"/>
    <w:rsid w:val="002C2F93"/>
    <w:rsid w:val="002C6822"/>
    <w:rsid w:val="002D164E"/>
    <w:rsid w:val="003023BE"/>
    <w:rsid w:val="00321E78"/>
    <w:rsid w:val="0033684F"/>
    <w:rsid w:val="00362C42"/>
    <w:rsid w:val="00373744"/>
    <w:rsid w:val="00387220"/>
    <w:rsid w:val="003D2CC7"/>
    <w:rsid w:val="003D3183"/>
    <w:rsid w:val="003D6FE8"/>
    <w:rsid w:val="00425CBB"/>
    <w:rsid w:val="0043290C"/>
    <w:rsid w:val="00437BB1"/>
    <w:rsid w:val="004419A7"/>
    <w:rsid w:val="0045729C"/>
    <w:rsid w:val="0046506D"/>
    <w:rsid w:val="0047760C"/>
    <w:rsid w:val="00486DF0"/>
    <w:rsid w:val="004945C7"/>
    <w:rsid w:val="004B566E"/>
    <w:rsid w:val="004E24B2"/>
    <w:rsid w:val="0050117B"/>
    <w:rsid w:val="00516E61"/>
    <w:rsid w:val="00516E7A"/>
    <w:rsid w:val="00545695"/>
    <w:rsid w:val="00547B56"/>
    <w:rsid w:val="005551B1"/>
    <w:rsid w:val="00563D17"/>
    <w:rsid w:val="0057057E"/>
    <w:rsid w:val="00572023"/>
    <w:rsid w:val="005723F9"/>
    <w:rsid w:val="005771A5"/>
    <w:rsid w:val="005A173F"/>
    <w:rsid w:val="005C7FBE"/>
    <w:rsid w:val="005D3BFC"/>
    <w:rsid w:val="00617489"/>
    <w:rsid w:val="00630AC0"/>
    <w:rsid w:val="00633F9B"/>
    <w:rsid w:val="00650000"/>
    <w:rsid w:val="00694ACB"/>
    <w:rsid w:val="006A2F3D"/>
    <w:rsid w:val="006B0C1C"/>
    <w:rsid w:val="006B30EE"/>
    <w:rsid w:val="006B54B2"/>
    <w:rsid w:val="006C1E3B"/>
    <w:rsid w:val="006C37F1"/>
    <w:rsid w:val="006D027C"/>
    <w:rsid w:val="006D419C"/>
    <w:rsid w:val="006E44D0"/>
    <w:rsid w:val="00722FEC"/>
    <w:rsid w:val="00761647"/>
    <w:rsid w:val="00773068"/>
    <w:rsid w:val="00785D8E"/>
    <w:rsid w:val="007864CF"/>
    <w:rsid w:val="007902C9"/>
    <w:rsid w:val="007B18B5"/>
    <w:rsid w:val="00820D1C"/>
    <w:rsid w:val="00857B8B"/>
    <w:rsid w:val="008666AE"/>
    <w:rsid w:val="008749B7"/>
    <w:rsid w:val="00883784"/>
    <w:rsid w:val="00891EA9"/>
    <w:rsid w:val="00893E3D"/>
    <w:rsid w:val="00893F7A"/>
    <w:rsid w:val="008A554A"/>
    <w:rsid w:val="008A5D2C"/>
    <w:rsid w:val="008C77D0"/>
    <w:rsid w:val="008F6BC3"/>
    <w:rsid w:val="00902A10"/>
    <w:rsid w:val="00943617"/>
    <w:rsid w:val="00975D4D"/>
    <w:rsid w:val="00980E68"/>
    <w:rsid w:val="009C5987"/>
    <w:rsid w:val="00A048B5"/>
    <w:rsid w:val="00A32F26"/>
    <w:rsid w:val="00A410AF"/>
    <w:rsid w:val="00A56C10"/>
    <w:rsid w:val="00A57EEE"/>
    <w:rsid w:val="00A73FB9"/>
    <w:rsid w:val="00A90CA6"/>
    <w:rsid w:val="00AD3999"/>
    <w:rsid w:val="00AE0A1B"/>
    <w:rsid w:val="00AE2E95"/>
    <w:rsid w:val="00B14544"/>
    <w:rsid w:val="00B55632"/>
    <w:rsid w:val="00B67105"/>
    <w:rsid w:val="00B82D76"/>
    <w:rsid w:val="00B91668"/>
    <w:rsid w:val="00BC2395"/>
    <w:rsid w:val="00BC7F04"/>
    <w:rsid w:val="00C0787F"/>
    <w:rsid w:val="00C20178"/>
    <w:rsid w:val="00C54656"/>
    <w:rsid w:val="00CC31FF"/>
    <w:rsid w:val="00CD03F0"/>
    <w:rsid w:val="00D14B08"/>
    <w:rsid w:val="00D236BB"/>
    <w:rsid w:val="00D24190"/>
    <w:rsid w:val="00D2436B"/>
    <w:rsid w:val="00D5537E"/>
    <w:rsid w:val="00D771D0"/>
    <w:rsid w:val="00D83932"/>
    <w:rsid w:val="00D84751"/>
    <w:rsid w:val="00E215BF"/>
    <w:rsid w:val="00E26F62"/>
    <w:rsid w:val="00E305FD"/>
    <w:rsid w:val="00E646E9"/>
    <w:rsid w:val="00E7777D"/>
    <w:rsid w:val="00E8388F"/>
    <w:rsid w:val="00E936C3"/>
    <w:rsid w:val="00E96652"/>
    <w:rsid w:val="00E96691"/>
    <w:rsid w:val="00EA24EE"/>
    <w:rsid w:val="00EA3BC1"/>
    <w:rsid w:val="00EA7D2B"/>
    <w:rsid w:val="00EC16E8"/>
    <w:rsid w:val="00EC392D"/>
    <w:rsid w:val="00EC4575"/>
    <w:rsid w:val="00ED080D"/>
    <w:rsid w:val="00ED78FB"/>
    <w:rsid w:val="00EE1064"/>
    <w:rsid w:val="00F11D34"/>
    <w:rsid w:val="00F22FE2"/>
    <w:rsid w:val="00F44D0C"/>
    <w:rsid w:val="00F54054"/>
    <w:rsid w:val="00F55A96"/>
    <w:rsid w:val="00F579F3"/>
    <w:rsid w:val="00F62D15"/>
    <w:rsid w:val="00F7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EC082"/>
  <w14:defaultImageDpi w14:val="32767"/>
  <w15:chartTrackingRefBased/>
  <w15:docId w15:val="{6E815921-6DDD-6245-91FE-21A8D0C01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85D8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A048B5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048B5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A048B5"/>
  </w:style>
  <w:style w:type="character" w:customStyle="1" w:styleId="EndNoteBibliographyChar">
    <w:name w:val="EndNote Bibliography Char"/>
    <w:basedOn w:val="DefaultParagraphFont"/>
    <w:link w:val="EndNoteBibliography"/>
    <w:rsid w:val="00A048B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4487</Words>
  <Characters>25576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Taleb</dc:creator>
  <cp:keywords/>
  <dc:description/>
  <cp:lastModifiedBy>Charbel Abi Khalil</cp:lastModifiedBy>
  <cp:revision>2</cp:revision>
  <dcterms:created xsi:type="dcterms:W3CDTF">2022-03-20T09:33:00Z</dcterms:created>
  <dcterms:modified xsi:type="dcterms:W3CDTF">2022-03-20T09:33:00Z</dcterms:modified>
</cp:coreProperties>
</file>