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5AEDD" w14:textId="77777777" w:rsidR="009F7BEF" w:rsidRPr="009F7BEF" w:rsidRDefault="009F7BEF" w:rsidP="009F7BEF">
      <w:pPr>
        <w:snapToGrid w:val="0"/>
        <w:spacing w:line="360" w:lineRule="auto"/>
        <w:contextualSpacing/>
        <w:rPr>
          <w:rFonts w:ascii="Arial" w:hAnsi="Arial" w:cs="Arial"/>
          <w:b/>
          <w:sz w:val="24"/>
          <w:szCs w:val="24"/>
        </w:rPr>
      </w:pPr>
      <w:r w:rsidRPr="009F7BEF">
        <w:rPr>
          <w:rFonts w:ascii="Arial" w:hAnsi="Arial" w:cs="Arial"/>
          <w:b/>
          <w:sz w:val="24"/>
          <w:szCs w:val="24"/>
        </w:rPr>
        <w:t>Supplementary materials:</w:t>
      </w:r>
    </w:p>
    <w:p w14:paraId="281DC214" w14:textId="6CD948FA" w:rsidR="00453FD0" w:rsidRPr="00453FD0" w:rsidRDefault="00453FD0" w:rsidP="00453FD0">
      <w:pPr>
        <w:snapToGrid w:val="0"/>
        <w:spacing w:line="360" w:lineRule="auto"/>
        <w:contextualSpacing/>
        <w:rPr>
          <w:rFonts w:ascii="Arial" w:hAnsi="Arial" w:cs="Arial"/>
          <w:b/>
          <w:sz w:val="24"/>
          <w:szCs w:val="24"/>
        </w:rPr>
      </w:pPr>
      <w:r w:rsidRPr="00453FD0">
        <w:rPr>
          <w:rFonts w:ascii="Arial" w:hAnsi="Arial" w:cs="Arial" w:hint="eastAsia"/>
          <w:b/>
          <w:sz w:val="24"/>
          <w:szCs w:val="24"/>
        </w:rPr>
        <w:t>F</w:t>
      </w:r>
      <w:r w:rsidRPr="00453FD0">
        <w:rPr>
          <w:rFonts w:ascii="Arial" w:hAnsi="Arial" w:cs="Arial"/>
          <w:b/>
          <w:sz w:val="24"/>
          <w:szCs w:val="24"/>
        </w:rPr>
        <w:t xml:space="preserve">igure S1: Single-cell RNA-seq revealed the distribution of </w:t>
      </w:r>
      <w:proofErr w:type="spellStart"/>
      <w:r w:rsidRPr="00453FD0">
        <w:rPr>
          <w:rFonts w:ascii="Arial" w:hAnsi="Arial" w:cs="Arial"/>
          <w:b/>
          <w:sz w:val="24"/>
          <w:szCs w:val="24"/>
        </w:rPr>
        <w:t>Spectrin</w:t>
      </w:r>
      <w:proofErr w:type="spellEnd"/>
      <w:r w:rsidRPr="00453FD0">
        <w:rPr>
          <w:rFonts w:ascii="Arial" w:hAnsi="Arial" w:cs="Arial"/>
          <w:b/>
          <w:sz w:val="24"/>
          <w:szCs w:val="24"/>
        </w:rPr>
        <w:t>-family genes.</w:t>
      </w:r>
    </w:p>
    <w:p w14:paraId="18AB32F7" w14:textId="77777777" w:rsidR="00453FD0" w:rsidRPr="00A5545A" w:rsidRDefault="00453FD0" w:rsidP="00453FD0">
      <w:pPr>
        <w:snapToGrid w:val="0"/>
        <w:spacing w:line="360" w:lineRule="auto"/>
        <w:contextualSpacing/>
        <w:rPr>
          <w:rFonts w:ascii="Arial" w:hAnsi="Arial" w:cs="Arial"/>
          <w:bCs/>
          <w:sz w:val="24"/>
          <w:szCs w:val="24"/>
        </w:rPr>
      </w:pPr>
      <w:r w:rsidRPr="00A5545A">
        <w:rPr>
          <w:rFonts w:ascii="Arial" w:hAnsi="Arial" w:cs="Arial"/>
          <w:bCs/>
          <w:sz w:val="24"/>
          <w:szCs w:val="24"/>
        </w:rPr>
        <w:t xml:space="preserve">(A). Quality control of single-cell RNA-seq samples (Nine </w:t>
      </w:r>
      <w:proofErr w:type="spellStart"/>
      <w:r w:rsidRPr="00A5545A">
        <w:rPr>
          <w:rFonts w:ascii="Arial" w:hAnsi="Arial" w:cs="Arial"/>
          <w:bCs/>
          <w:sz w:val="24"/>
          <w:szCs w:val="24"/>
        </w:rPr>
        <w:t>ccRCC</w:t>
      </w:r>
      <w:proofErr w:type="spellEnd"/>
      <w:r w:rsidRPr="00A5545A">
        <w:rPr>
          <w:rFonts w:ascii="Arial" w:hAnsi="Arial" w:cs="Arial"/>
          <w:bCs/>
          <w:sz w:val="24"/>
          <w:szCs w:val="24"/>
        </w:rPr>
        <w:t xml:space="preserve"> sample). The number of gene expressions in each cell, the sum of gene expressions, and the percentage of mitochondrial genes were illustrated. (B). The correlation of number of genes in the cells with the sum of gene expression and the percentage of mitochondrial genes. (C). 3000 hypervariable genes from all the genes shown in red and the top 10 hypervariable genes. (D). Distribution of different clusters in </w:t>
      </w:r>
      <w:proofErr w:type="spellStart"/>
      <w:r w:rsidRPr="00A5545A">
        <w:rPr>
          <w:rFonts w:ascii="Arial" w:hAnsi="Arial" w:cs="Arial"/>
          <w:bCs/>
          <w:sz w:val="24"/>
          <w:szCs w:val="24"/>
        </w:rPr>
        <w:t>ccRCC</w:t>
      </w:r>
      <w:proofErr w:type="spellEnd"/>
      <w:r w:rsidRPr="00A5545A">
        <w:rPr>
          <w:rFonts w:ascii="Arial" w:hAnsi="Arial" w:cs="Arial"/>
          <w:bCs/>
          <w:sz w:val="24"/>
          <w:szCs w:val="24"/>
        </w:rPr>
        <w:t xml:space="preserve"> tissues obtained by UMAP algorithm.</w:t>
      </w:r>
      <w:r w:rsidRPr="00A5545A">
        <w:rPr>
          <w:rFonts w:ascii="Arial" w:hAnsi="Arial" w:cs="Arial" w:hint="eastAsia"/>
          <w:bCs/>
          <w:sz w:val="24"/>
          <w:szCs w:val="24"/>
        </w:rPr>
        <w:t xml:space="preserve"> </w:t>
      </w:r>
      <w:r w:rsidRPr="00A5545A">
        <w:rPr>
          <w:rFonts w:ascii="Arial" w:hAnsi="Arial" w:cs="Arial"/>
          <w:bCs/>
          <w:sz w:val="24"/>
          <w:szCs w:val="24"/>
        </w:rPr>
        <w:t>(E). Heatmap showed the results of the cell cluster obtained by cell marker gene annotation were consistent with those obtained by “</w:t>
      </w:r>
      <w:proofErr w:type="spellStart"/>
      <w:r w:rsidRPr="00A5545A">
        <w:rPr>
          <w:rFonts w:ascii="Arial" w:hAnsi="Arial" w:cs="Arial"/>
          <w:bCs/>
          <w:sz w:val="24"/>
          <w:szCs w:val="24"/>
        </w:rPr>
        <w:t>singleR</w:t>
      </w:r>
      <w:proofErr w:type="spellEnd"/>
      <w:r w:rsidRPr="00A5545A">
        <w:rPr>
          <w:rFonts w:ascii="Arial" w:hAnsi="Arial" w:cs="Arial"/>
          <w:bCs/>
          <w:sz w:val="24"/>
          <w:szCs w:val="24"/>
        </w:rPr>
        <w:t xml:space="preserve">” package annotation. </w:t>
      </w:r>
    </w:p>
    <w:p w14:paraId="09DAC0A9" w14:textId="2F77BF36" w:rsidR="00453FD0" w:rsidRDefault="00453FD0" w:rsidP="009F7BEF">
      <w:pPr>
        <w:snapToGrid w:val="0"/>
        <w:spacing w:line="360" w:lineRule="auto"/>
        <w:contextualSpacing/>
        <w:rPr>
          <w:rFonts w:ascii="Arial" w:hAnsi="Arial" w:cs="Arial"/>
          <w:bCs/>
          <w:sz w:val="24"/>
          <w:szCs w:val="24"/>
        </w:rPr>
      </w:pPr>
      <w:r>
        <w:rPr>
          <w:rFonts w:ascii="Arial" w:hAnsi="Arial" w:cs="Arial"/>
          <w:bCs/>
          <w:noProof/>
          <w:sz w:val="24"/>
          <w:szCs w:val="24"/>
        </w:rPr>
        <w:lastRenderedPageBreak/>
        <w:drawing>
          <wp:inline distT="0" distB="0" distL="0" distR="0" wp14:anchorId="75A86E35" wp14:editId="1A6F00A0">
            <wp:extent cx="5267325" cy="70770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7325" cy="7077075"/>
                    </a:xfrm>
                    <a:prstGeom prst="rect">
                      <a:avLst/>
                    </a:prstGeom>
                    <a:noFill/>
                    <a:ln>
                      <a:noFill/>
                    </a:ln>
                  </pic:spPr>
                </pic:pic>
              </a:graphicData>
            </a:graphic>
          </wp:inline>
        </w:drawing>
      </w:r>
    </w:p>
    <w:p w14:paraId="0CC6E618" w14:textId="77777777" w:rsidR="00453FD0" w:rsidRPr="00453FD0" w:rsidRDefault="00453FD0" w:rsidP="009F7BEF">
      <w:pPr>
        <w:snapToGrid w:val="0"/>
        <w:spacing w:line="360" w:lineRule="auto"/>
        <w:contextualSpacing/>
        <w:rPr>
          <w:rFonts w:ascii="Arial" w:hAnsi="Arial" w:cs="Arial"/>
          <w:bCs/>
          <w:sz w:val="24"/>
          <w:szCs w:val="24"/>
        </w:rPr>
      </w:pPr>
    </w:p>
    <w:p w14:paraId="73342B3A" w14:textId="387FC118" w:rsidR="00BE6752" w:rsidRPr="00453FD0" w:rsidRDefault="00BE6752" w:rsidP="009F7BEF">
      <w:pPr>
        <w:snapToGrid w:val="0"/>
        <w:spacing w:line="360" w:lineRule="auto"/>
        <w:contextualSpacing/>
        <w:rPr>
          <w:rFonts w:ascii="Arial" w:hAnsi="Arial" w:cs="Arial"/>
          <w:b/>
          <w:sz w:val="24"/>
          <w:szCs w:val="24"/>
        </w:rPr>
      </w:pPr>
      <w:r w:rsidRPr="00453FD0">
        <w:rPr>
          <w:rFonts w:ascii="Arial" w:hAnsi="Arial" w:cs="Arial" w:hint="eastAsia"/>
          <w:b/>
          <w:sz w:val="24"/>
          <w:szCs w:val="24"/>
        </w:rPr>
        <w:t>Figure</w:t>
      </w:r>
      <w:r w:rsidRPr="00453FD0">
        <w:rPr>
          <w:rFonts w:ascii="Arial" w:hAnsi="Arial" w:cs="Arial"/>
          <w:b/>
          <w:sz w:val="24"/>
          <w:szCs w:val="24"/>
        </w:rPr>
        <w:t xml:space="preserve"> S</w:t>
      </w:r>
      <w:r w:rsidR="00453FD0" w:rsidRPr="00453FD0">
        <w:rPr>
          <w:rFonts w:ascii="Arial" w:hAnsi="Arial" w:cs="Arial"/>
          <w:b/>
          <w:sz w:val="24"/>
          <w:szCs w:val="24"/>
        </w:rPr>
        <w:t>2</w:t>
      </w:r>
      <w:r w:rsidRPr="00453FD0">
        <w:rPr>
          <w:rFonts w:ascii="Arial" w:hAnsi="Arial" w:cs="Arial"/>
          <w:b/>
          <w:sz w:val="24"/>
          <w:szCs w:val="24"/>
        </w:rPr>
        <w:t xml:space="preserve">: Univariate and multivariate cox regression to assess the prognosis value of </w:t>
      </w:r>
      <w:proofErr w:type="spellStart"/>
      <w:r w:rsidRPr="00453FD0">
        <w:rPr>
          <w:rFonts w:ascii="Arial" w:hAnsi="Arial" w:cs="Arial"/>
          <w:b/>
          <w:sz w:val="24"/>
          <w:szCs w:val="24"/>
        </w:rPr>
        <w:t>Spectrin</w:t>
      </w:r>
      <w:proofErr w:type="spellEnd"/>
      <w:r w:rsidRPr="00453FD0">
        <w:rPr>
          <w:rFonts w:ascii="Arial" w:hAnsi="Arial" w:cs="Arial"/>
          <w:b/>
          <w:sz w:val="24"/>
          <w:szCs w:val="24"/>
        </w:rPr>
        <w:t>-family genes.</w:t>
      </w:r>
    </w:p>
    <w:p w14:paraId="5A9265D4" w14:textId="5A5473BF" w:rsidR="00BE6752" w:rsidRDefault="00BE6752" w:rsidP="009F7BEF">
      <w:pPr>
        <w:snapToGrid w:val="0"/>
        <w:spacing w:line="360" w:lineRule="auto"/>
        <w:contextualSpacing/>
        <w:rPr>
          <w:rFonts w:ascii="Arial" w:hAnsi="Arial" w:cs="Arial"/>
          <w:bCs/>
          <w:sz w:val="24"/>
          <w:szCs w:val="24"/>
        </w:rPr>
      </w:pPr>
      <w:r>
        <w:rPr>
          <w:rFonts w:ascii="Arial" w:hAnsi="Arial" w:cs="Arial" w:hint="eastAsia"/>
          <w:bCs/>
          <w:sz w:val="24"/>
          <w:szCs w:val="24"/>
        </w:rPr>
        <w:t>(</w:t>
      </w:r>
      <w:r>
        <w:rPr>
          <w:rFonts w:ascii="Arial" w:hAnsi="Arial" w:cs="Arial"/>
          <w:bCs/>
          <w:sz w:val="24"/>
          <w:szCs w:val="24"/>
        </w:rPr>
        <w:t>A). U</w:t>
      </w:r>
      <w:r w:rsidRPr="00551B07">
        <w:rPr>
          <w:rFonts w:ascii="Arial" w:hAnsi="Arial" w:cs="Arial"/>
          <w:bCs/>
          <w:sz w:val="24"/>
          <w:szCs w:val="24"/>
        </w:rPr>
        <w:t>nivariate and multivariate cox regression</w:t>
      </w:r>
      <w:r>
        <w:rPr>
          <w:rFonts w:ascii="Arial" w:hAnsi="Arial" w:cs="Arial"/>
          <w:bCs/>
          <w:sz w:val="24"/>
          <w:szCs w:val="24"/>
        </w:rPr>
        <w:t xml:space="preserve"> between</w:t>
      </w:r>
      <w:r w:rsidRPr="00551B07">
        <w:rPr>
          <w:rFonts w:ascii="Arial" w:hAnsi="Arial" w:cs="Arial"/>
          <w:bCs/>
          <w:sz w:val="24"/>
          <w:szCs w:val="24"/>
        </w:rPr>
        <w:t xml:space="preserve"> </w:t>
      </w:r>
      <w:proofErr w:type="spellStart"/>
      <w:r w:rsidRPr="00551B07">
        <w:rPr>
          <w:rFonts w:ascii="Arial" w:hAnsi="Arial" w:cs="Arial"/>
          <w:bCs/>
          <w:sz w:val="24"/>
          <w:szCs w:val="24"/>
        </w:rPr>
        <w:t>Spectrin</w:t>
      </w:r>
      <w:proofErr w:type="spellEnd"/>
      <w:r w:rsidRPr="00551B07">
        <w:rPr>
          <w:rFonts w:ascii="Arial" w:hAnsi="Arial" w:cs="Arial"/>
          <w:bCs/>
          <w:sz w:val="24"/>
          <w:szCs w:val="24"/>
        </w:rPr>
        <w:t>-family genes</w:t>
      </w:r>
      <w:r>
        <w:rPr>
          <w:rFonts w:ascii="Arial" w:hAnsi="Arial" w:cs="Arial"/>
          <w:bCs/>
          <w:sz w:val="24"/>
          <w:szCs w:val="24"/>
        </w:rPr>
        <w:t xml:space="preserve"> and overall survival </w:t>
      </w:r>
      <w:r w:rsidRPr="00551B07">
        <w:rPr>
          <w:rFonts w:ascii="Arial" w:hAnsi="Arial" w:cs="Arial"/>
          <w:bCs/>
          <w:sz w:val="24"/>
          <w:szCs w:val="24"/>
        </w:rPr>
        <w:t>(OS)</w:t>
      </w:r>
      <w:r>
        <w:rPr>
          <w:rFonts w:ascii="Arial" w:hAnsi="Arial" w:cs="Arial"/>
          <w:bCs/>
          <w:sz w:val="24"/>
          <w:szCs w:val="24"/>
        </w:rPr>
        <w:t>. (B</w:t>
      </w:r>
      <w:r>
        <w:rPr>
          <w:rFonts w:ascii="Arial" w:hAnsi="Arial" w:cs="Arial" w:hint="eastAsia"/>
          <w:bCs/>
          <w:sz w:val="24"/>
          <w:szCs w:val="24"/>
        </w:rPr>
        <w:t>).</w:t>
      </w:r>
      <w:r>
        <w:rPr>
          <w:rFonts w:ascii="Arial" w:hAnsi="Arial" w:cs="Arial"/>
          <w:bCs/>
          <w:sz w:val="24"/>
          <w:szCs w:val="24"/>
        </w:rPr>
        <w:t xml:space="preserve"> U</w:t>
      </w:r>
      <w:r w:rsidRPr="00551B07">
        <w:rPr>
          <w:rFonts w:ascii="Arial" w:hAnsi="Arial" w:cs="Arial"/>
          <w:bCs/>
          <w:sz w:val="24"/>
          <w:szCs w:val="24"/>
        </w:rPr>
        <w:t>nivariate and multivariate cox regression</w:t>
      </w:r>
      <w:r>
        <w:rPr>
          <w:rFonts w:ascii="Arial" w:hAnsi="Arial" w:cs="Arial"/>
          <w:bCs/>
          <w:sz w:val="24"/>
          <w:szCs w:val="24"/>
        </w:rPr>
        <w:t xml:space="preserve"> between</w:t>
      </w:r>
      <w:r w:rsidRPr="00551B07">
        <w:rPr>
          <w:rFonts w:ascii="Arial" w:hAnsi="Arial" w:cs="Arial"/>
          <w:bCs/>
          <w:sz w:val="24"/>
          <w:szCs w:val="24"/>
        </w:rPr>
        <w:t xml:space="preserve"> </w:t>
      </w:r>
      <w:proofErr w:type="spellStart"/>
      <w:r w:rsidRPr="00551B07">
        <w:rPr>
          <w:rFonts w:ascii="Arial" w:hAnsi="Arial" w:cs="Arial"/>
          <w:bCs/>
          <w:sz w:val="24"/>
          <w:szCs w:val="24"/>
        </w:rPr>
        <w:t>Spectrin</w:t>
      </w:r>
      <w:proofErr w:type="spellEnd"/>
      <w:r w:rsidRPr="00551B07">
        <w:rPr>
          <w:rFonts w:ascii="Arial" w:hAnsi="Arial" w:cs="Arial"/>
          <w:bCs/>
          <w:sz w:val="24"/>
          <w:szCs w:val="24"/>
        </w:rPr>
        <w:t>-family genes</w:t>
      </w:r>
      <w:r>
        <w:rPr>
          <w:rFonts w:ascii="Arial" w:hAnsi="Arial" w:cs="Arial"/>
          <w:bCs/>
          <w:sz w:val="24"/>
          <w:szCs w:val="24"/>
        </w:rPr>
        <w:t xml:space="preserve"> and </w:t>
      </w:r>
      <w:r w:rsidRPr="00551B07">
        <w:rPr>
          <w:rFonts w:ascii="Arial" w:hAnsi="Arial" w:cs="Arial"/>
          <w:bCs/>
          <w:sz w:val="24"/>
          <w:szCs w:val="24"/>
        </w:rPr>
        <w:t>disease-specific survival (DSS)</w:t>
      </w:r>
      <w:r>
        <w:rPr>
          <w:rFonts w:ascii="Arial" w:hAnsi="Arial" w:cs="Arial"/>
          <w:bCs/>
          <w:sz w:val="24"/>
          <w:szCs w:val="24"/>
        </w:rPr>
        <w:t>. (C</w:t>
      </w:r>
      <w:r>
        <w:rPr>
          <w:rFonts w:ascii="Arial" w:hAnsi="Arial" w:cs="Arial" w:hint="eastAsia"/>
          <w:bCs/>
          <w:sz w:val="24"/>
          <w:szCs w:val="24"/>
        </w:rPr>
        <w:t>).</w:t>
      </w:r>
      <w:r>
        <w:rPr>
          <w:rFonts w:ascii="Arial" w:hAnsi="Arial" w:cs="Arial"/>
          <w:bCs/>
          <w:sz w:val="24"/>
          <w:szCs w:val="24"/>
        </w:rPr>
        <w:t xml:space="preserve"> </w:t>
      </w:r>
      <w:r>
        <w:rPr>
          <w:rFonts w:ascii="Arial" w:hAnsi="Arial" w:cs="Arial"/>
          <w:bCs/>
          <w:sz w:val="24"/>
          <w:szCs w:val="24"/>
        </w:rPr>
        <w:lastRenderedPageBreak/>
        <w:t>U</w:t>
      </w:r>
      <w:r w:rsidRPr="00551B07">
        <w:rPr>
          <w:rFonts w:ascii="Arial" w:hAnsi="Arial" w:cs="Arial"/>
          <w:bCs/>
          <w:sz w:val="24"/>
          <w:szCs w:val="24"/>
        </w:rPr>
        <w:t>nivariate and multivariate cox regression</w:t>
      </w:r>
      <w:r>
        <w:rPr>
          <w:rFonts w:ascii="Arial" w:hAnsi="Arial" w:cs="Arial"/>
          <w:bCs/>
          <w:sz w:val="24"/>
          <w:szCs w:val="24"/>
        </w:rPr>
        <w:t xml:space="preserve"> between</w:t>
      </w:r>
      <w:r w:rsidRPr="00551B07">
        <w:rPr>
          <w:rFonts w:ascii="Arial" w:hAnsi="Arial" w:cs="Arial"/>
          <w:bCs/>
          <w:sz w:val="24"/>
          <w:szCs w:val="24"/>
        </w:rPr>
        <w:t xml:space="preserve"> </w:t>
      </w:r>
      <w:proofErr w:type="spellStart"/>
      <w:r w:rsidRPr="00551B07">
        <w:rPr>
          <w:rFonts w:ascii="Arial" w:hAnsi="Arial" w:cs="Arial"/>
          <w:bCs/>
          <w:sz w:val="24"/>
          <w:szCs w:val="24"/>
        </w:rPr>
        <w:t>Spectrin</w:t>
      </w:r>
      <w:proofErr w:type="spellEnd"/>
      <w:r w:rsidRPr="00551B07">
        <w:rPr>
          <w:rFonts w:ascii="Arial" w:hAnsi="Arial" w:cs="Arial"/>
          <w:bCs/>
          <w:sz w:val="24"/>
          <w:szCs w:val="24"/>
        </w:rPr>
        <w:t>-family genes</w:t>
      </w:r>
      <w:r>
        <w:rPr>
          <w:rFonts w:ascii="Arial" w:hAnsi="Arial" w:cs="Arial"/>
          <w:bCs/>
          <w:sz w:val="24"/>
          <w:szCs w:val="24"/>
        </w:rPr>
        <w:t xml:space="preserve"> and </w:t>
      </w:r>
      <w:r w:rsidRPr="00551B07">
        <w:rPr>
          <w:rFonts w:ascii="Arial" w:hAnsi="Arial" w:cs="Arial"/>
          <w:bCs/>
          <w:sz w:val="24"/>
          <w:szCs w:val="24"/>
        </w:rPr>
        <w:t>progression survival interval (PFI)</w:t>
      </w:r>
      <w:r>
        <w:rPr>
          <w:rFonts w:ascii="Arial" w:hAnsi="Arial" w:cs="Arial"/>
          <w:bCs/>
          <w:sz w:val="24"/>
          <w:szCs w:val="24"/>
        </w:rPr>
        <w:t>.</w:t>
      </w:r>
    </w:p>
    <w:p w14:paraId="37C535A9" w14:textId="541116C0" w:rsidR="00BE6752" w:rsidRDefault="00453FD0" w:rsidP="009F7BEF">
      <w:pPr>
        <w:snapToGrid w:val="0"/>
        <w:spacing w:line="360" w:lineRule="auto"/>
        <w:contextualSpacing/>
        <w:rPr>
          <w:rFonts w:ascii="Arial" w:hAnsi="Arial" w:cs="Arial"/>
          <w:bCs/>
          <w:sz w:val="24"/>
          <w:szCs w:val="24"/>
        </w:rPr>
      </w:pPr>
      <w:r>
        <w:rPr>
          <w:rFonts w:ascii="Arial" w:hAnsi="Arial" w:cs="Arial"/>
          <w:bCs/>
          <w:noProof/>
          <w:sz w:val="24"/>
          <w:szCs w:val="24"/>
        </w:rPr>
        <w:lastRenderedPageBreak/>
        <w:drawing>
          <wp:inline distT="0" distB="0" distL="0" distR="0" wp14:anchorId="2099D4D8" wp14:editId="31383334">
            <wp:extent cx="4429125" cy="885825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29125" cy="8858250"/>
                    </a:xfrm>
                    <a:prstGeom prst="rect">
                      <a:avLst/>
                    </a:prstGeom>
                    <a:noFill/>
                    <a:ln>
                      <a:noFill/>
                    </a:ln>
                  </pic:spPr>
                </pic:pic>
              </a:graphicData>
            </a:graphic>
          </wp:inline>
        </w:drawing>
      </w:r>
    </w:p>
    <w:p w14:paraId="0DC7B324" w14:textId="77777777" w:rsidR="00453FD0" w:rsidRPr="00BE6752" w:rsidRDefault="00453FD0" w:rsidP="009F7BEF">
      <w:pPr>
        <w:snapToGrid w:val="0"/>
        <w:spacing w:line="360" w:lineRule="auto"/>
        <w:contextualSpacing/>
        <w:rPr>
          <w:rFonts w:ascii="Arial" w:hAnsi="Arial" w:cs="Arial"/>
          <w:bCs/>
          <w:sz w:val="24"/>
          <w:szCs w:val="24"/>
        </w:rPr>
      </w:pPr>
    </w:p>
    <w:p w14:paraId="1856757B" w14:textId="56237E99" w:rsidR="00453FD0" w:rsidRPr="00453FD0" w:rsidRDefault="00453FD0" w:rsidP="00453FD0">
      <w:pPr>
        <w:snapToGrid w:val="0"/>
        <w:spacing w:line="360" w:lineRule="auto"/>
        <w:contextualSpacing/>
        <w:rPr>
          <w:rFonts w:ascii="Arial" w:hAnsi="Arial" w:cs="Arial"/>
          <w:b/>
          <w:sz w:val="24"/>
          <w:szCs w:val="24"/>
        </w:rPr>
      </w:pPr>
      <w:r w:rsidRPr="00453FD0">
        <w:rPr>
          <w:rFonts w:ascii="Arial" w:hAnsi="Arial" w:cs="Arial" w:hint="eastAsia"/>
          <w:b/>
          <w:sz w:val="24"/>
          <w:szCs w:val="24"/>
        </w:rPr>
        <w:t>F</w:t>
      </w:r>
      <w:r w:rsidRPr="00453FD0">
        <w:rPr>
          <w:rFonts w:ascii="Arial" w:hAnsi="Arial" w:cs="Arial"/>
          <w:b/>
          <w:sz w:val="24"/>
          <w:szCs w:val="24"/>
        </w:rPr>
        <w:t xml:space="preserve">igure S3: Correlation and function enrichment of </w:t>
      </w:r>
      <w:proofErr w:type="spellStart"/>
      <w:r w:rsidRPr="00453FD0">
        <w:rPr>
          <w:rFonts w:ascii="Arial" w:hAnsi="Arial" w:cs="Arial"/>
          <w:b/>
          <w:sz w:val="24"/>
          <w:szCs w:val="24"/>
        </w:rPr>
        <w:t>Spectrin</w:t>
      </w:r>
      <w:proofErr w:type="spellEnd"/>
      <w:r w:rsidRPr="00453FD0">
        <w:rPr>
          <w:rFonts w:ascii="Arial" w:hAnsi="Arial" w:cs="Arial"/>
          <w:b/>
          <w:sz w:val="24"/>
          <w:szCs w:val="24"/>
        </w:rPr>
        <w:t>-family genes.</w:t>
      </w:r>
    </w:p>
    <w:p w14:paraId="47E5B00C" w14:textId="77777777" w:rsidR="00453FD0" w:rsidRDefault="00453FD0" w:rsidP="00453FD0">
      <w:pPr>
        <w:snapToGrid w:val="0"/>
        <w:spacing w:line="360" w:lineRule="auto"/>
        <w:contextualSpacing/>
        <w:rPr>
          <w:rFonts w:ascii="Arial" w:hAnsi="Arial" w:cs="Arial"/>
          <w:bCs/>
          <w:sz w:val="24"/>
          <w:szCs w:val="24"/>
        </w:rPr>
      </w:pPr>
      <w:r>
        <w:rPr>
          <w:rFonts w:ascii="Arial" w:hAnsi="Arial" w:cs="Arial" w:hint="eastAsia"/>
          <w:bCs/>
          <w:sz w:val="24"/>
          <w:szCs w:val="24"/>
        </w:rPr>
        <w:t>(</w:t>
      </w:r>
      <w:r>
        <w:rPr>
          <w:rFonts w:ascii="Arial" w:hAnsi="Arial" w:cs="Arial"/>
          <w:bCs/>
          <w:sz w:val="24"/>
          <w:szCs w:val="24"/>
        </w:rPr>
        <w:t>A). T</w:t>
      </w:r>
      <w:r w:rsidRPr="00551B07">
        <w:rPr>
          <w:rFonts w:ascii="Arial" w:hAnsi="Arial" w:cs="Arial"/>
          <w:bCs/>
          <w:sz w:val="24"/>
          <w:szCs w:val="24"/>
        </w:rPr>
        <w:t xml:space="preserve">he </w:t>
      </w:r>
      <w:r>
        <w:rPr>
          <w:rFonts w:ascii="Arial" w:hAnsi="Arial" w:cs="Arial"/>
          <w:bCs/>
          <w:sz w:val="24"/>
          <w:szCs w:val="24"/>
        </w:rPr>
        <w:t xml:space="preserve">expression </w:t>
      </w:r>
      <w:r w:rsidRPr="00551B07">
        <w:rPr>
          <w:rFonts w:ascii="Arial" w:hAnsi="Arial" w:cs="Arial"/>
          <w:bCs/>
          <w:sz w:val="24"/>
          <w:szCs w:val="24"/>
        </w:rPr>
        <w:t>correlation</w:t>
      </w:r>
      <w:r>
        <w:rPr>
          <w:rFonts w:ascii="Arial" w:hAnsi="Arial" w:cs="Arial"/>
          <w:bCs/>
          <w:sz w:val="24"/>
          <w:szCs w:val="24"/>
        </w:rPr>
        <w:t xml:space="preserve"> analysis</w:t>
      </w:r>
      <w:r w:rsidRPr="00551B07">
        <w:rPr>
          <w:rFonts w:ascii="Arial" w:hAnsi="Arial" w:cs="Arial"/>
          <w:bCs/>
          <w:sz w:val="24"/>
          <w:szCs w:val="24"/>
        </w:rPr>
        <w:t xml:space="preserve"> of </w:t>
      </w:r>
      <w:proofErr w:type="spellStart"/>
      <w:r w:rsidRPr="00551B07">
        <w:rPr>
          <w:rFonts w:ascii="Arial" w:hAnsi="Arial" w:cs="Arial"/>
          <w:bCs/>
          <w:sz w:val="24"/>
          <w:szCs w:val="24"/>
        </w:rPr>
        <w:t>Spectrin</w:t>
      </w:r>
      <w:proofErr w:type="spellEnd"/>
      <w:r w:rsidRPr="00551B07">
        <w:rPr>
          <w:rFonts w:ascii="Arial" w:hAnsi="Arial" w:cs="Arial"/>
          <w:bCs/>
          <w:sz w:val="24"/>
          <w:szCs w:val="24"/>
        </w:rPr>
        <w:t>-family genes</w:t>
      </w:r>
      <w:r>
        <w:rPr>
          <w:rFonts w:ascii="Arial" w:hAnsi="Arial" w:cs="Arial"/>
          <w:bCs/>
          <w:sz w:val="24"/>
          <w:szCs w:val="24"/>
        </w:rPr>
        <w:t xml:space="preserve">. (B). </w:t>
      </w:r>
      <w:r w:rsidRPr="00C2229F">
        <w:rPr>
          <w:rFonts w:ascii="Arial" w:hAnsi="Arial" w:cs="Arial"/>
          <w:bCs/>
          <w:sz w:val="24"/>
          <w:szCs w:val="24"/>
        </w:rPr>
        <w:t xml:space="preserve">Functional enrichment demonstrated that </w:t>
      </w:r>
      <w:proofErr w:type="spellStart"/>
      <w:r w:rsidRPr="00C2229F">
        <w:rPr>
          <w:rFonts w:ascii="Arial" w:hAnsi="Arial" w:cs="Arial"/>
          <w:bCs/>
          <w:sz w:val="24"/>
          <w:szCs w:val="24"/>
        </w:rPr>
        <w:t>Spectrin</w:t>
      </w:r>
      <w:proofErr w:type="spellEnd"/>
      <w:r w:rsidRPr="00C2229F">
        <w:rPr>
          <w:rFonts w:ascii="Arial" w:hAnsi="Arial" w:cs="Arial"/>
          <w:bCs/>
          <w:sz w:val="24"/>
          <w:szCs w:val="24"/>
        </w:rPr>
        <w:t>-family genes were mainly involved in the interaction between L1 and Ankyrins</w:t>
      </w:r>
      <w:r>
        <w:rPr>
          <w:rFonts w:ascii="Arial" w:hAnsi="Arial" w:cs="Arial"/>
          <w:bCs/>
          <w:sz w:val="24"/>
          <w:szCs w:val="24"/>
        </w:rPr>
        <w:t xml:space="preserve">. (*: </w:t>
      </w:r>
      <w:r w:rsidRPr="00210B9E">
        <w:rPr>
          <w:rFonts w:ascii="Arial" w:hAnsi="Arial" w:cs="Arial"/>
          <w:bCs/>
          <w:i/>
          <w:iCs/>
          <w:sz w:val="24"/>
          <w:szCs w:val="24"/>
        </w:rPr>
        <w:t>P</w:t>
      </w:r>
      <w:r>
        <w:rPr>
          <w:rFonts w:ascii="Arial" w:hAnsi="Arial" w:cs="Arial"/>
          <w:bCs/>
          <w:sz w:val="24"/>
          <w:szCs w:val="24"/>
        </w:rPr>
        <w:t xml:space="preserve">&lt;0.05; **: </w:t>
      </w:r>
      <w:r w:rsidRPr="00210B9E">
        <w:rPr>
          <w:rFonts w:ascii="Arial" w:hAnsi="Arial" w:cs="Arial"/>
          <w:bCs/>
          <w:i/>
          <w:iCs/>
          <w:sz w:val="24"/>
          <w:szCs w:val="24"/>
        </w:rPr>
        <w:t>P</w:t>
      </w:r>
      <w:r>
        <w:rPr>
          <w:rFonts w:ascii="Arial" w:hAnsi="Arial" w:cs="Arial"/>
          <w:bCs/>
          <w:sz w:val="24"/>
          <w:szCs w:val="24"/>
        </w:rPr>
        <w:t>&lt;0.01)</w:t>
      </w:r>
    </w:p>
    <w:p w14:paraId="727D1242" w14:textId="491B0755" w:rsidR="00453FD0" w:rsidRDefault="00453FD0" w:rsidP="009F7BEF">
      <w:pPr>
        <w:snapToGrid w:val="0"/>
        <w:spacing w:line="360" w:lineRule="auto"/>
        <w:contextualSpacing/>
        <w:rPr>
          <w:rFonts w:ascii="Arial" w:hAnsi="Arial" w:cs="Arial"/>
          <w:bCs/>
          <w:sz w:val="24"/>
          <w:szCs w:val="24"/>
        </w:rPr>
      </w:pPr>
      <w:r>
        <w:rPr>
          <w:rFonts w:ascii="Arial" w:hAnsi="Arial" w:cs="Arial"/>
          <w:bCs/>
          <w:noProof/>
          <w:sz w:val="24"/>
          <w:szCs w:val="24"/>
        </w:rPr>
        <w:lastRenderedPageBreak/>
        <w:drawing>
          <wp:inline distT="0" distB="0" distL="0" distR="0" wp14:anchorId="52593237" wp14:editId="35AD0163">
            <wp:extent cx="5191125" cy="88582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91125" cy="8858250"/>
                    </a:xfrm>
                    <a:prstGeom prst="rect">
                      <a:avLst/>
                    </a:prstGeom>
                    <a:noFill/>
                    <a:ln>
                      <a:noFill/>
                    </a:ln>
                  </pic:spPr>
                </pic:pic>
              </a:graphicData>
            </a:graphic>
          </wp:inline>
        </w:drawing>
      </w:r>
    </w:p>
    <w:p w14:paraId="10C5828F" w14:textId="1E733AF1" w:rsidR="009F7BEF" w:rsidRPr="00453FD0" w:rsidRDefault="009F7BEF" w:rsidP="009F7BEF">
      <w:pPr>
        <w:snapToGrid w:val="0"/>
        <w:spacing w:line="360" w:lineRule="auto"/>
        <w:contextualSpacing/>
        <w:rPr>
          <w:rFonts w:ascii="Arial" w:hAnsi="Arial" w:cs="Arial"/>
          <w:b/>
          <w:sz w:val="24"/>
          <w:szCs w:val="24"/>
        </w:rPr>
      </w:pPr>
      <w:r w:rsidRPr="00453FD0">
        <w:rPr>
          <w:rFonts w:ascii="Arial" w:hAnsi="Arial" w:cs="Arial"/>
          <w:b/>
          <w:sz w:val="24"/>
          <w:szCs w:val="24"/>
        </w:rPr>
        <w:lastRenderedPageBreak/>
        <w:t>Figure S</w:t>
      </w:r>
      <w:r w:rsidR="00453FD0">
        <w:rPr>
          <w:rFonts w:ascii="Arial" w:hAnsi="Arial" w:cs="Arial"/>
          <w:b/>
          <w:sz w:val="24"/>
          <w:szCs w:val="24"/>
        </w:rPr>
        <w:t>4</w:t>
      </w:r>
      <w:r w:rsidRPr="00453FD0">
        <w:rPr>
          <w:rFonts w:ascii="Arial" w:hAnsi="Arial" w:cs="Arial"/>
          <w:b/>
          <w:sz w:val="24"/>
          <w:szCs w:val="24"/>
        </w:rPr>
        <w:t>: Identification of SPTBN1 expression level in the TCGA and CCLE pan-cancer dataset.</w:t>
      </w:r>
    </w:p>
    <w:p w14:paraId="32564CAF" w14:textId="0ACA453B" w:rsidR="005459C4" w:rsidRPr="009F7BEF" w:rsidRDefault="005459C4" w:rsidP="005459C4">
      <w:pPr>
        <w:snapToGrid w:val="0"/>
        <w:spacing w:line="360" w:lineRule="auto"/>
        <w:contextualSpacing/>
        <w:rPr>
          <w:rFonts w:ascii="Arial" w:hAnsi="Arial" w:cs="Arial"/>
          <w:bCs/>
          <w:sz w:val="24"/>
          <w:szCs w:val="24"/>
        </w:rPr>
      </w:pPr>
      <w:r w:rsidRPr="009F7BEF">
        <w:rPr>
          <w:rFonts w:ascii="Arial" w:hAnsi="Arial" w:cs="Arial"/>
          <w:bCs/>
          <w:sz w:val="24"/>
          <w:szCs w:val="24"/>
        </w:rPr>
        <w:t xml:space="preserve">(A-B). Pan-cancer expression level of </w:t>
      </w:r>
      <w:r w:rsidRPr="009F7BEF">
        <w:rPr>
          <w:rFonts w:ascii="Arial" w:hAnsi="Arial" w:cs="Arial" w:hint="eastAsia"/>
          <w:bCs/>
          <w:sz w:val="24"/>
          <w:szCs w:val="24"/>
        </w:rPr>
        <w:t>S</w:t>
      </w:r>
      <w:r w:rsidRPr="009F7BEF">
        <w:rPr>
          <w:rFonts w:ascii="Arial" w:hAnsi="Arial" w:cs="Arial"/>
          <w:bCs/>
          <w:sz w:val="24"/>
          <w:szCs w:val="24"/>
        </w:rPr>
        <w:t>PTBN1 form TCGA database (A) and CCLE database</w:t>
      </w:r>
      <w:r w:rsidR="009F7BEF" w:rsidRPr="009F7BEF">
        <w:rPr>
          <w:rFonts w:ascii="Arial" w:hAnsi="Arial" w:cs="Arial"/>
          <w:bCs/>
          <w:sz w:val="24"/>
          <w:szCs w:val="24"/>
        </w:rPr>
        <w:t xml:space="preserve"> (B).</w:t>
      </w:r>
      <w:r w:rsidR="00210B9E">
        <w:rPr>
          <w:rFonts w:ascii="Arial" w:hAnsi="Arial" w:cs="Arial"/>
          <w:bCs/>
          <w:sz w:val="24"/>
          <w:szCs w:val="24"/>
        </w:rPr>
        <w:t xml:space="preserve"> (</w:t>
      </w:r>
      <w:proofErr w:type="gramStart"/>
      <w:r w:rsidR="00210B9E">
        <w:rPr>
          <w:rFonts w:ascii="Arial" w:hAnsi="Arial" w:cs="Arial"/>
          <w:bCs/>
          <w:sz w:val="24"/>
          <w:szCs w:val="24"/>
        </w:rPr>
        <w:t>ns</w:t>
      </w:r>
      <w:proofErr w:type="gramEnd"/>
      <w:r w:rsidR="00210B9E">
        <w:rPr>
          <w:rFonts w:ascii="Arial" w:hAnsi="Arial" w:cs="Arial"/>
          <w:bCs/>
          <w:sz w:val="24"/>
          <w:szCs w:val="24"/>
        </w:rPr>
        <w:t xml:space="preserve">: no significant; *: </w:t>
      </w:r>
      <w:r w:rsidR="00210B9E" w:rsidRPr="00210B9E">
        <w:rPr>
          <w:rFonts w:ascii="Arial" w:hAnsi="Arial" w:cs="Arial"/>
          <w:bCs/>
          <w:i/>
          <w:iCs/>
          <w:sz w:val="24"/>
          <w:szCs w:val="24"/>
        </w:rPr>
        <w:t>P</w:t>
      </w:r>
      <w:r w:rsidR="00210B9E">
        <w:rPr>
          <w:rFonts w:ascii="Arial" w:hAnsi="Arial" w:cs="Arial"/>
          <w:bCs/>
          <w:sz w:val="24"/>
          <w:szCs w:val="24"/>
        </w:rPr>
        <w:t xml:space="preserve">&lt;0.05; **: </w:t>
      </w:r>
      <w:r w:rsidR="00210B9E" w:rsidRPr="00210B9E">
        <w:rPr>
          <w:rFonts w:ascii="Arial" w:hAnsi="Arial" w:cs="Arial"/>
          <w:bCs/>
          <w:i/>
          <w:iCs/>
          <w:sz w:val="24"/>
          <w:szCs w:val="24"/>
        </w:rPr>
        <w:t>P</w:t>
      </w:r>
      <w:r w:rsidR="00210B9E">
        <w:rPr>
          <w:rFonts w:ascii="Arial" w:hAnsi="Arial" w:cs="Arial"/>
          <w:bCs/>
          <w:sz w:val="24"/>
          <w:szCs w:val="24"/>
        </w:rPr>
        <w:t>&lt;0.01; ***:</w:t>
      </w:r>
      <w:r w:rsidR="00210B9E" w:rsidRPr="00210B9E">
        <w:rPr>
          <w:rFonts w:ascii="Arial" w:hAnsi="Arial" w:cs="Arial"/>
          <w:bCs/>
          <w:i/>
          <w:iCs/>
          <w:sz w:val="24"/>
          <w:szCs w:val="24"/>
        </w:rPr>
        <w:t>P</w:t>
      </w:r>
      <w:r w:rsidR="00210B9E">
        <w:rPr>
          <w:rFonts w:ascii="Arial" w:hAnsi="Arial" w:cs="Arial"/>
          <w:bCs/>
          <w:sz w:val="24"/>
          <w:szCs w:val="24"/>
        </w:rPr>
        <w:t>&lt;0.001)</w:t>
      </w:r>
    </w:p>
    <w:p w14:paraId="653D63E3" w14:textId="37AC1A9C" w:rsidR="009F7BEF" w:rsidRPr="009F7BEF" w:rsidRDefault="00453FD0" w:rsidP="005459C4">
      <w:pPr>
        <w:snapToGrid w:val="0"/>
        <w:spacing w:line="360" w:lineRule="auto"/>
        <w:contextualSpacing/>
        <w:rPr>
          <w:rFonts w:ascii="Arial" w:hAnsi="Arial" w:cs="Arial"/>
          <w:bCs/>
          <w:sz w:val="24"/>
          <w:szCs w:val="24"/>
        </w:rPr>
      </w:pPr>
      <w:r>
        <w:rPr>
          <w:rFonts w:ascii="Arial" w:hAnsi="Arial" w:cs="Arial"/>
          <w:bCs/>
          <w:noProof/>
          <w:sz w:val="24"/>
          <w:szCs w:val="24"/>
        </w:rPr>
        <w:drawing>
          <wp:inline distT="0" distB="0" distL="0" distR="0" wp14:anchorId="6085B5A7" wp14:editId="0DE72AE6">
            <wp:extent cx="5267325" cy="4905375"/>
            <wp:effectExtent l="0" t="0" r="9525" b="9525"/>
            <wp:docPr id="6" name="图片 6" descr="图片包含 游戏机, 铅笔&#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包含 游戏机, 铅笔&#10;&#10;描述已自动生成"/>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7325" cy="4905375"/>
                    </a:xfrm>
                    <a:prstGeom prst="rect">
                      <a:avLst/>
                    </a:prstGeom>
                    <a:noFill/>
                    <a:ln>
                      <a:noFill/>
                    </a:ln>
                  </pic:spPr>
                </pic:pic>
              </a:graphicData>
            </a:graphic>
          </wp:inline>
        </w:drawing>
      </w:r>
    </w:p>
    <w:p w14:paraId="325B275B" w14:textId="6E018B0C" w:rsidR="00C2229F" w:rsidRDefault="00C2229F" w:rsidP="00A5545A">
      <w:pPr>
        <w:snapToGrid w:val="0"/>
        <w:spacing w:line="360" w:lineRule="auto"/>
        <w:contextualSpacing/>
        <w:rPr>
          <w:rFonts w:ascii="Arial" w:hAnsi="Arial" w:cs="Arial"/>
          <w:bCs/>
          <w:sz w:val="24"/>
          <w:szCs w:val="24"/>
        </w:rPr>
      </w:pPr>
    </w:p>
    <w:p w14:paraId="4C404604" w14:textId="3D04C40C" w:rsidR="00C2229F" w:rsidRPr="00453FD0" w:rsidRDefault="00C2229F" w:rsidP="00A5545A">
      <w:pPr>
        <w:snapToGrid w:val="0"/>
        <w:spacing w:line="360" w:lineRule="auto"/>
        <w:contextualSpacing/>
        <w:rPr>
          <w:rFonts w:ascii="Arial" w:hAnsi="Arial" w:cs="Arial"/>
          <w:b/>
          <w:sz w:val="24"/>
          <w:szCs w:val="24"/>
        </w:rPr>
      </w:pPr>
      <w:r w:rsidRPr="00453FD0">
        <w:rPr>
          <w:rFonts w:ascii="Arial" w:hAnsi="Arial" w:cs="Arial" w:hint="eastAsia"/>
          <w:b/>
          <w:sz w:val="24"/>
          <w:szCs w:val="24"/>
        </w:rPr>
        <w:t>F</w:t>
      </w:r>
      <w:r w:rsidRPr="00453FD0">
        <w:rPr>
          <w:rFonts w:ascii="Arial" w:hAnsi="Arial" w:cs="Arial"/>
          <w:b/>
          <w:sz w:val="24"/>
          <w:szCs w:val="24"/>
        </w:rPr>
        <w:t>igure S</w:t>
      </w:r>
      <w:r w:rsidR="00BE6752" w:rsidRPr="00453FD0">
        <w:rPr>
          <w:rFonts w:ascii="Arial" w:hAnsi="Arial" w:cs="Arial"/>
          <w:b/>
          <w:sz w:val="24"/>
          <w:szCs w:val="24"/>
        </w:rPr>
        <w:t>5</w:t>
      </w:r>
      <w:r w:rsidRPr="00453FD0">
        <w:rPr>
          <w:rFonts w:ascii="Arial" w:hAnsi="Arial" w:cs="Arial"/>
          <w:b/>
          <w:sz w:val="24"/>
          <w:szCs w:val="24"/>
        </w:rPr>
        <w:t>: The expression level of SPTBN1 in GEO datasets and IHC staining.</w:t>
      </w:r>
    </w:p>
    <w:p w14:paraId="25A51A6F" w14:textId="059842BB" w:rsidR="00196C24" w:rsidRDefault="00C2229F" w:rsidP="00A5545A">
      <w:pPr>
        <w:snapToGrid w:val="0"/>
        <w:spacing w:line="360" w:lineRule="auto"/>
        <w:contextualSpacing/>
        <w:rPr>
          <w:rFonts w:ascii="Arial" w:hAnsi="Arial" w:cs="Arial"/>
          <w:bCs/>
          <w:sz w:val="24"/>
          <w:szCs w:val="24"/>
        </w:rPr>
      </w:pPr>
      <w:r>
        <w:rPr>
          <w:rFonts w:ascii="Arial" w:hAnsi="Arial" w:cs="Arial" w:hint="eastAsia"/>
          <w:bCs/>
          <w:sz w:val="24"/>
          <w:szCs w:val="24"/>
        </w:rPr>
        <w:t>(</w:t>
      </w:r>
      <w:r>
        <w:rPr>
          <w:rFonts w:ascii="Arial" w:hAnsi="Arial" w:cs="Arial"/>
          <w:bCs/>
          <w:sz w:val="24"/>
          <w:szCs w:val="24"/>
        </w:rPr>
        <w:t>A-F). The expression level of SPTBN1 in GSE40435 cohort (A), GSE53757 cohort (</w:t>
      </w:r>
      <w:r w:rsidR="00196C24">
        <w:rPr>
          <w:rFonts w:ascii="Arial" w:hAnsi="Arial" w:cs="Arial"/>
          <w:bCs/>
          <w:sz w:val="24"/>
          <w:szCs w:val="24"/>
        </w:rPr>
        <w:t>B</w:t>
      </w:r>
      <w:r>
        <w:rPr>
          <w:rFonts w:ascii="Arial" w:hAnsi="Arial" w:cs="Arial"/>
          <w:bCs/>
          <w:sz w:val="24"/>
          <w:szCs w:val="24"/>
        </w:rPr>
        <w:t>),</w:t>
      </w:r>
      <w:r w:rsidR="00196C24">
        <w:rPr>
          <w:rFonts w:ascii="Arial" w:hAnsi="Arial" w:cs="Arial"/>
          <w:bCs/>
          <w:sz w:val="24"/>
          <w:szCs w:val="24"/>
        </w:rPr>
        <w:t xml:space="preserve"> GSE6344 cohort (C), GSE46699 cohort (D), GSE105261 cohort (E) and GSE66270 cohort (F).</w:t>
      </w:r>
      <w:r w:rsidR="00196C24">
        <w:rPr>
          <w:rFonts w:ascii="Arial" w:hAnsi="Arial" w:cs="Arial" w:hint="eastAsia"/>
          <w:bCs/>
          <w:sz w:val="24"/>
          <w:szCs w:val="24"/>
        </w:rPr>
        <w:t xml:space="preserve"> </w:t>
      </w:r>
      <w:r w:rsidR="00196C24">
        <w:rPr>
          <w:rFonts w:ascii="Arial" w:hAnsi="Arial" w:cs="Arial"/>
          <w:bCs/>
          <w:sz w:val="24"/>
          <w:szCs w:val="24"/>
        </w:rPr>
        <w:t xml:space="preserve">(G). IHC staining revealed SPTBN1 was down-regulated in </w:t>
      </w:r>
      <w:proofErr w:type="spellStart"/>
      <w:r w:rsidR="00196C24">
        <w:rPr>
          <w:rFonts w:ascii="Arial" w:hAnsi="Arial" w:cs="Arial"/>
          <w:bCs/>
          <w:sz w:val="24"/>
          <w:szCs w:val="24"/>
        </w:rPr>
        <w:t>ccRCC</w:t>
      </w:r>
      <w:proofErr w:type="spellEnd"/>
      <w:r w:rsidR="00196C24">
        <w:rPr>
          <w:rFonts w:ascii="Arial" w:hAnsi="Arial" w:cs="Arial"/>
          <w:bCs/>
          <w:sz w:val="24"/>
          <w:szCs w:val="24"/>
        </w:rPr>
        <w:t xml:space="preserve"> tissue compared with adjacent normal renal tissue.</w:t>
      </w:r>
    </w:p>
    <w:p w14:paraId="3D44A3D4" w14:textId="1A9D3BB3" w:rsidR="00196C24" w:rsidRDefault="00453FD0" w:rsidP="00A5545A">
      <w:pPr>
        <w:snapToGrid w:val="0"/>
        <w:spacing w:line="360" w:lineRule="auto"/>
        <w:contextualSpacing/>
        <w:rPr>
          <w:rFonts w:ascii="Arial" w:hAnsi="Arial" w:cs="Arial"/>
          <w:bCs/>
          <w:sz w:val="24"/>
          <w:szCs w:val="24"/>
        </w:rPr>
      </w:pPr>
      <w:r>
        <w:rPr>
          <w:rFonts w:ascii="Arial" w:hAnsi="Arial" w:cs="Arial"/>
          <w:bCs/>
          <w:noProof/>
          <w:sz w:val="24"/>
          <w:szCs w:val="24"/>
        </w:rPr>
        <w:lastRenderedPageBreak/>
        <w:drawing>
          <wp:inline distT="0" distB="0" distL="0" distR="0" wp14:anchorId="3B71CAA4" wp14:editId="1E1EB1F1">
            <wp:extent cx="5267325" cy="7772400"/>
            <wp:effectExtent l="0" t="0" r="952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7325" cy="7772400"/>
                    </a:xfrm>
                    <a:prstGeom prst="rect">
                      <a:avLst/>
                    </a:prstGeom>
                    <a:noFill/>
                    <a:ln>
                      <a:noFill/>
                    </a:ln>
                  </pic:spPr>
                </pic:pic>
              </a:graphicData>
            </a:graphic>
          </wp:inline>
        </w:drawing>
      </w:r>
    </w:p>
    <w:p w14:paraId="6892C0DE" w14:textId="77777777" w:rsidR="00453FD0" w:rsidRDefault="00453FD0" w:rsidP="00A5545A">
      <w:pPr>
        <w:snapToGrid w:val="0"/>
        <w:spacing w:line="360" w:lineRule="auto"/>
        <w:contextualSpacing/>
        <w:rPr>
          <w:rFonts w:ascii="Arial" w:hAnsi="Arial" w:cs="Arial"/>
          <w:bCs/>
          <w:sz w:val="24"/>
          <w:szCs w:val="24"/>
        </w:rPr>
      </w:pPr>
    </w:p>
    <w:p w14:paraId="7A824348" w14:textId="4759D2BB" w:rsidR="00196C24" w:rsidRPr="00453FD0" w:rsidRDefault="00196C24" w:rsidP="00A5545A">
      <w:pPr>
        <w:snapToGrid w:val="0"/>
        <w:spacing w:line="360" w:lineRule="auto"/>
        <w:contextualSpacing/>
        <w:rPr>
          <w:rFonts w:ascii="Arial" w:hAnsi="Arial" w:cs="Arial"/>
          <w:b/>
          <w:sz w:val="24"/>
          <w:szCs w:val="24"/>
        </w:rPr>
      </w:pPr>
      <w:r w:rsidRPr="00453FD0">
        <w:rPr>
          <w:rFonts w:ascii="Arial" w:hAnsi="Arial" w:cs="Arial" w:hint="eastAsia"/>
          <w:b/>
          <w:sz w:val="24"/>
          <w:szCs w:val="24"/>
        </w:rPr>
        <w:t>F</w:t>
      </w:r>
      <w:r w:rsidRPr="00453FD0">
        <w:rPr>
          <w:rFonts w:ascii="Arial" w:hAnsi="Arial" w:cs="Arial"/>
          <w:b/>
          <w:sz w:val="24"/>
          <w:szCs w:val="24"/>
        </w:rPr>
        <w:t>igure S</w:t>
      </w:r>
      <w:r w:rsidR="00BE6752" w:rsidRPr="00453FD0">
        <w:rPr>
          <w:rFonts w:ascii="Arial" w:hAnsi="Arial" w:cs="Arial"/>
          <w:b/>
          <w:sz w:val="24"/>
          <w:szCs w:val="24"/>
        </w:rPr>
        <w:t>6</w:t>
      </w:r>
      <w:r w:rsidRPr="00453FD0">
        <w:rPr>
          <w:rFonts w:ascii="Arial" w:hAnsi="Arial" w:cs="Arial"/>
          <w:b/>
          <w:sz w:val="24"/>
          <w:szCs w:val="24"/>
        </w:rPr>
        <w:t xml:space="preserve">: The protein expression level of SPTBN1 among different clinical grades </w:t>
      </w:r>
      <w:proofErr w:type="spellStart"/>
      <w:r w:rsidRPr="00453FD0">
        <w:rPr>
          <w:rFonts w:ascii="Arial" w:hAnsi="Arial" w:cs="Arial"/>
          <w:b/>
          <w:sz w:val="24"/>
          <w:szCs w:val="24"/>
        </w:rPr>
        <w:t>ccRCC</w:t>
      </w:r>
      <w:proofErr w:type="spellEnd"/>
      <w:r w:rsidRPr="00453FD0">
        <w:rPr>
          <w:rFonts w:ascii="Arial" w:hAnsi="Arial" w:cs="Arial"/>
          <w:b/>
          <w:sz w:val="24"/>
          <w:szCs w:val="24"/>
        </w:rPr>
        <w:t xml:space="preserve"> patients.</w:t>
      </w:r>
    </w:p>
    <w:p w14:paraId="7E2B23BC" w14:textId="5CAA4A97" w:rsidR="00196C24" w:rsidRDefault="00196C24" w:rsidP="00A5545A">
      <w:pPr>
        <w:snapToGrid w:val="0"/>
        <w:spacing w:line="360" w:lineRule="auto"/>
        <w:contextualSpacing/>
        <w:rPr>
          <w:rFonts w:ascii="Arial" w:hAnsi="Arial" w:cs="Arial"/>
          <w:bCs/>
          <w:sz w:val="24"/>
          <w:szCs w:val="24"/>
        </w:rPr>
      </w:pPr>
      <w:r>
        <w:rPr>
          <w:rFonts w:ascii="Arial" w:hAnsi="Arial" w:cs="Arial" w:hint="eastAsia"/>
          <w:bCs/>
          <w:sz w:val="24"/>
          <w:szCs w:val="24"/>
        </w:rPr>
        <w:t>(</w:t>
      </w:r>
      <w:r>
        <w:rPr>
          <w:rFonts w:ascii="Arial" w:hAnsi="Arial" w:cs="Arial"/>
          <w:bCs/>
          <w:sz w:val="24"/>
          <w:szCs w:val="24"/>
        </w:rPr>
        <w:t xml:space="preserve">A). The protein expression level of SPTBN1 among different grade </w:t>
      </w:r>
      <w:proofErr w:type="spellStart"/>
      <w:r>
        <w:rPr>
          <w:rFonts w:ascii="Arial" w:hAnsi="Arial" w:cs="Arial"/>
          <w:bCs/>
          <w:sz w:val="24"/>
          <w:szCs w:val="24"/>
        </w:rPr>
        <w:t>ccRCC</w:t>
      </w:r>
      <w:proofErr w:type="spellEnd"/>
      <w:r>
        <w:rPr>
          <w:rFonts w:ascii="Arial" w:hAnsi="Arial" w:cs="Arial"/>
          <w:bCs/>
          <w:sz w:val="24"/>
          <w:szCs w:val="24"/>
        </w:rPr>
        <w:t xml:space="preserve"> </w:t>
      </w:r>
      <w:r>
        <w:rPr>
          <w:rFonts w:ascii="Arial" w:hAnsi="Arial" w:cs="Arial"/>
          <w:bCs/>
          <w:sz w:val="24"/>
          <w:szCs w:val="24"/>
        </w:rPr>
        <w:lastRenderedPageBreak/>
        <w:t xml:space="preserve">patients in CPTAC cohort. (B). The protein expression level of SPTBN1 among different grade </w:t>
      </w:r>
      <w:proofErr w:type="spellStart"/>
      <w:r>
        <w:rPr>
          <w:rFonts w:ascii="Arial" w:hAnsi="Arial" w:cs="Arial"/>
          <w:bCs/>
          <w:sz w:val="24"/>
          <w:szCs w:val="24"/>
        </w:rPr>
        <w:t>ccRCC</w:t>
      </w:r>
      <w:proofErr w:type="spellEnd"/>
      <w:r>
        <w:rPr>
          <w:rFonts w:ascii="Arial" w:hAnsi="Arial" w:cs="Arial"/>
          <w:bCs/>
          <w:sz w:val="24"/>
          <w:szCs w:val="24"/>
        </w:rPr>
        <w:t xml:space="preserve"> patients in FUSCC-</w:t>
      </w:r>
      <w:proofErr w:type="spellStart"/>
      <w:r>
        <w:rPr>
          <w:rFonts w:ascii="Arial" w:hAnsi="Arial" w:cs="Arial"/>
          <w:bCs/>
          <w:sz w:val="24"/>
          <w:szCs w:val="24"/>
        </w:rPr>
        <w:t>ccRCC</w:t>
      </w:r>
      <w:proofErr w:type="spellEnd"/>
      <w:r>
        <w:rPr>
          <w:rFonts w:ascii="Arial" w:hAnsi="Arial" w:cs="Arial"/>
          <w:bCs/>
          <w:sz w:val="24"/>
          <w:szCs w:val="24"/>
        </w:rPr>
        <w:t xml:space="preserve"> cohort</w:t>
      </w:r>
      <w:r w:rsidR="003D3839">
        <w:rPr>
          <w:rFonts w:ascii="Arial" w:hAnsi="Arial" w:cs="Arial"/>
          <w:bCs/>
          <w:sz w:val="24"/>
          <w:szCs w:val="24"/>
        </w:rPr>
        <w:t xml:space="preserve"> among Chinese </w:t>
      </w:r>
      <w:proofErr w:type="spellStart"/>
      <w:r w:rsidR="003D3839">
        <w:rPr>
          <w:rFonts w:ascii="Arial" w:hAnsi="Arial" w:cs="Arial"/>
          <w:bCs/>
          <w:sz w:val="24"/>
          <w:szCs w:val="24"/>
        </w:rPr>
        <w:t>ccRCC</w:t>
      </w:r>
      <w:proofErr w:type="spellEnd"/>
      <w:r w:rsidR="003D3839">
        <w:rPr>
          <w:rFonts w:ascii="Arial" w:hAnsi="Arial" w:cs="Arial"/>
          <w:bCs/>
          <w:sz w:val="24"/>
          <w:szCs w:val="24"/>
        </w:rPr>
        <w:t xml:space="preserve"> patients</w:t>
      </w:r>
      <w:r>
        <w:rPr>
          <w:rFonts w:ascii="Arial" w:hAnsi="Arial" w:cs="Arial"/>
          <w:bCs/>
          <w:sz w:val="24"/>
          <w:szCs w:val="24"/>
        </w:rPr>
        <w:t>.</w:t>
      </w:r>
      <w:r w:rsidR="00C30A11">
        <w:rPr>
          <w:rFonts w:ascii="Arial" w:hAnsi="Arial" w:cs="Arial"/>
          <w:bCs/>
          <w:sz w:val="24"/>
          <w:szCs w:val="24"/>
        </w:rPr>
        <w:t xml:space="preserve"> (**: </w:t>
      </w:r>
      <w:r w:rsidR="00C30A11" w:rsidRPr="00210B9E">
        <w:rPr>
          <w:rFonts w:ascii="Arial" w:hAnsi="Arial" w:cs="Arial"/>
          <w:bCs/>
          <w:i/>
          <w:iCs/>
          <w:sz w:val="24"/>
          <w:szCs w:val="24"/>
        </w:rPr>
        <w:t>P</w:t>
      </w:r>
      <w:r w:rsidR="00C30A11">
        <w:rPr>
          <w:rFonts w:ascii="Arial" w:hAnsi="Arial" w:cs="Arial"/>
          <w:bCs/>
          <w:sz w:val="24"/>
          <w:szCs w:val="24"/>
        </w:rPr>
        <w:t>&lt;0.05)</w:t>
      </w:r>
    </w:p>
    <w:p w14:paraId="49E815F7" w14:textId="4CC3E466" w:rsidR="005E58D5" w:rsidRDefault="00453FD0" w:rsidP="00A5545A">
      <w:pPr>
        <w:snapToGrid w:val="0"/>
        <w:spacing w:line="360" w:lineRule="auto"/>
        <w:contextualSpacing/>
        <w:rPr>
          <w:rFonts w:ascii="Arial" w:hAnsi="Arial" w:cs="Arial"/>
          <w:bCs/>
          <w:sz w:val="24"/>
          <w:szCs w:val="24"/>
        </w:rPr>
      </w:pPr>
      <w:r>
        <w:rPr>
          <w:rFonts w:ascii="Arial" w:hAnsi="Arial" w:cs="Arial"/>
          <w:bCs/>
          <w:noProof/>
          <w:sz w:val="24"/>
          <w:szCs w:val="24"/>
        </w:rPr>
        <w:drawing>
          <wp:inline distT="0" distB="0" distL="0" distR="0" wp14:anchorId="7F4CE417" wp14:editId="04D72570">
            <wp:extent cx="5248275" cy="2924175"/>
            <wp:effectExtent l="0" t="0" r="9525" b="952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48275" cy="2924175"/>
                    </a:xfrm>
                    <a:prstGeom prst="rect">
                      <a:avLst/>
                    </a:prstGeom>
                    <a:noFill/>
                    <a:ln>
                      <a:noFill/>
                    </a:ln>
                  </pic:spPr>
                </pic:pic>
              </a:graphicData>
            </a:graphic>
          </wp:inline>
        </w:drawing>
      </w:r>
    </w:p>
    <w:p w14:paraId="59811812" w14:textId="77777777" w:rsidR="00453FD0" w:rsidRDefault="00453FD0" w:rsidP="00A5545A">
      <w:pPr>
        <w:snapToGrid w:val="0"/>
        <w:spacing w:line="360" w:lineRule="auto"/>
        <w:contextualSpacing/>
        <w:rPr>
          <w:rFonts w:ascii="Arial" w:hAnsi="Arial" w:cs="Arial"/>
          <w:bCs/>
          <w:sz w:val="24"/>
          <w:szCs w:val="24"/>
        </w:rPr>
      </w:pPr>
    </w:p>
    <w:p w14:paraId="60087CC3" w14:textId="0E935842" w:rsidR="005E58D5" w:rsidRPr="00453FD0" w:rsidRDefault="005E58D5" w:rsidP="00A5545A">
      <w:pPr>
        <w:snapToGrid w:val="0"/>
        <w:spacing w:line="360" w:lineRule="auto"/>
        <w:contextualSpacing/>
        <w:rPr>
          <w:rFonts w:ascii="Arial" w:hAnsi="Arial" w:cs="Arial"/>
          <w:b/>
          <w:sz w:val="24"/>
          <w:szCs w:val="24"/>
        </w:rPr>
      </w:pPr>
      <w:r w:rsidRPr="00453FD0">
        <w:rPr>
          <w:rFonts w:ascii="Arial" w:hAnsi="Arial" w:cs="Arial" w:hint="eastAsia"/>
          <w:b/>
          <w:sz w:val="24"/>
          <w:szCs w:val="24"/>
        </w:rPr>
        <w:t>F</w:t>
      </w:r>
      <w:r w:rsidRPr="00453FD0">
        <w:rPr>
          <w:rFonts w:ascii="Arial" w:hAnsi="Arial" w:cs="Arial"/>
          <w:b/>
          <w:sz w:val="24"/>
          <w:szCs w:val="24"/>
        </w:rPr>
        <w:t>igure S</w:t>
      </w:r>
      <w:r w:rsidR="00BE6752" w:rsidRPr="00453FD0">
        <w:rPr>
          <w:rFonts w:ascii="Arial" w:hAnsi="Arial" w:cs="Arial"/>
          <w:b/>
          <w:sz w:val="24"/>
          <w:szCs w:val="24"/>
        </w:rPr>
        <w:t>7</w:t>
      </w:r>
      <w:r w:rsidRPr="00453FD0">
        <w:rPr>
          <w:rFonts w:ascii="Arial" w:hAnsi="Arial" w:cs="Arial" w:hint="eastAsia"/>
          <w:b/>
          <w:sz w:val="24"/>
          <w:szCs w:val="24"/>
        </w:rPr>
        <w:t>:</w:t>
      </w:r>
      <w:r w:rsidRPr="00453FD0">
        <w:rPr>
          <w:rFonts w:ascii="Arial" w:hAnsi="Arial" w:cs="Arial"/>
          <w:b/>
          <w:sz w:val="24"/>
          <w:szCs w:val="24"/>
        </w:rPr>
        <w:t xml:space="preserve"> The correlation between SPTBN1 and survival outcomes in different clinicopathological characteristics subgroups. </w:t>
      </w:r>
    </w:p>
    <w:p w14:paraId="6CC498D6" w14:textId="177A1D7F" w:rsidR="005E58D5" w:rsidRDefault="005E58D5" w:rsidP="005E58D5">
      <w:pPr>
        <w:snapToGrid w:val="0"/>
        <w:spacing w:before="240" w:line="360" w:lineRule="auto"/>
        <w:contextualSpacing/>
        <w:rPr>
          <w:rFonts w:ascii="Arial" w:hAnsi="Arial" w:cs="Arial"/>
          <w:bCs/>
          <w:sz w:val="24"/>
          <w:szCs w:val="24"/>
        </w:rPr>
      </w:pPr>
      <w:r w:rsidRPr="005E58D5">
        <w:rPr>
          <w:rFonts w:ascii="Arial" w:hAnsi="Arial" w:cs="Arial" w:hint="eastAsia"/>
          <w:bCs/>
          <w:sz w:val="24"/>
          <w:szCs w:val="24"/>
        </w:rPr>
        <w:t>(A</w:t>
      </w:r>
      <w:r>
        <w:rPr>
          <w:rFonts w:ascii="Arial" w:hAnsi="Arial" w:cs="Arial" w:hint="eastAsia"/>
          <w:bCs/>
          <w:sz w:val="24"/>
          <w:szCs w:val="24"/>
        </w:rPr>
        <w:t xml:space="preserve">). </w:t>
      </w:r>
      <w:r>
        <w:rPr>
          <w:rFonts w:ascii="Arial" w:hAnsi="Arial" w:cs="Arial"/>
          <w:bCs/>
          <w:sz w:val="24"/>
          <w:szCs w:val="24"/>
        </w:rPr>
        <w:t>T</w:t>
      </w:r>
      <w:r w:rsidRPr="007F605E">
        <w:rPr>
          <w:rFonts w:ascii="Arial" w:hAnsi="Arial" w:cs="Arial"/>
          <w:bCs/>
          <w:sz w:val="24"/>
          <w:szCs w:val="24"/>
        </w:rPr>
        <w:t xml:space="preserve">he correlation between SPTBN1 and survival outcomes </w:t>
      </w:r>
      <w:r>
        <w:rPr>
          <w:rFonts w:ascii="Arial" w:hAnsi="Arial" w:cs="Arial"/>
          <w:bCs/>
          <w:sz w:val="24"/>
          <w:szCs w:val="24"/>
        </w:rPr>
        <w:t>among age&lt;=60 and age&gt;60 subgroups. (B). T</w:t>
      </w:r>
      <w:r w:rsidRPr="007F605E">
        <w:rPr>
          <w:rFonts w:ascii="Arial" w:hAnsi="Arial" w:cs="Arial"/>
          <w:bCs/>
          <w:sz w:val="24"/>
          <w:szCs w:val="24"/>
        </w:rPr>
        <w:t xml:space="preserve">he correlation between SPTBN1 and survival outcomes </w:t>
      </w:r>
      <w:r>
        <w:rPr>
          <w:rFonts w:ascii="Arial" w:hAnsi="Arial" w:cs="Arial"/>
          <w:bCs/>
          <w:sz w:val="24"/>
          <w:szCs w:val="24"/>
        </w:rPr>
        <w:t>among female and male subgroups. (C). T</w:t>
      </w:r>
      <w:r w:rsidRPr="007F605E">
        <w:rPr>
          <w:rFonts w:ascii="Arial" w:hAnsi="Arial" w:cs="Arial"/>
          <w:bCs/>
          <w:sz w:val="24"/>
          <w:szCs w:val="24"/>
        </w:rPr>
        <w:t xml:space="preserve">he correlation between SPTBN1 and survival outcomes </w:t>
      </w:r>
      <w:r>
        <w:rPr>
          <w:rFonts w:ascii="Arial" w:hAnsi="Arial" w:cs="Arial"/>
          <w:bCs/>
          <w:sz w:val="24"/>
          <w:szCs w:val="24"/>
        </w:rPr>
        <w:t>among stage I-II and stage III-IV subgroups. (D). T</w:t>
      </w:r>
      <w:r w:rsidRPr="007F605E">
        <w:rPr>
          <w:rFonts w:ascii="Arial" w:hAnsi="Arial" w:cs="Arial"/>
          <w:bCs/>
          <w:sz w:val="24"/>
          <w:szCs w:val="24"/>
        </w:rPr>
        <w:t xml:space="preserve">he correlation between SPTBN1 and survival outcomes </w:t>
      </w:r>
      <w:r>
        <w:rPr>
          <w:rFonts w:ascii="Arial" w:hAnsi="Arial" w:cs="Arial"/>
          <w:bCs/>
          <w:sz w:val="24"/>
          <w:szCs w:val="24"/>
        </w:rPr>
        <w:t>among T1-T2 and T3-T4 subgroups.</w:t>
      </w:r>
    </w:p>
    <w:p w14:paraId="42CA59F8" w14:textId="2741D622" w:rsidR="005E58D5" w:rsidRDefault="00453FD0" w:rsidP="005E58D5">
      <w:pPr>
        <w:snapToGrid w:val="0"/>
        <w:spacing w:before="240" w:line="360" w:lineRule="auto"/>
        <w:contextualSpacing/>
        <w:rPr>
          <w:rFonts w:ascii="Arial" w:hAnsi="Arial" w:cs="Arial"/>
          <w:bCs/>
          <w:sz w:val="24"/>
          <w:szCs w:val="24"/>
        </w:rPr>
      </w:pPr>
      <w:r>
        <w:rPr>
          <w:rFonts w:ascii="Arial" w:hAnsi="Arial" w:cs="Arial"/>
          <w:bCs/>
          <w:noProof/>
          <w:sz w:val="24"/>
          <w:szCs w:val="24"/>
        </w:rPr>
        <w:lastRenderedPageBreak/>
        <w:drawing>
          <wp:inline distT="0" distB="0" distL="0" distR="0" wp14:anchorId="50DA7C89" wp14:editId="0843AC9E">
            <wp:extent cx="5267325" cy="284797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67325" cy="2847975"/>
                    </a:xfrm>
                    <a:prstGeom prst="rect">
                      <a:avLst/>
                    </a:prstGeom>
                    <a:noFill/>
                    <a:ln>
                      <a:noFill/>
                    </a:ln>
                  </pic:spPr>
                </pic:pic>
              </a:graphicData>
            </a:graphic>
          </wp:inline>
        </w:drawing>
      </w:r>
    </w:p>
    <w:p w14:paraId="21A26DD3" w14:textId="77777777" w:rsidR="00453FD0" w:rsidRDefault="00453FD0" w:rsidP="005E58D5">
      <w:pPr>
        <w:snapToGrid w:val="0"/>
        <w:spacing w:before="240" w:line="360" w:lineRule="auto"/>
        <w:contextualSpacing/>
        <w:rPr>
          <w:rFonts w:ascii="Arial" w:hAnsi="Arial" w:cs="Arial"/>
          <w:bCs/>
          <w:sz w:val="24"/>
          <w:szCs w:val="24"/>
        </w:rPr>
      </w:pPr>
    </w:p>
    <w:p w14:paraId="0441420B" w14:textId="30A9CCB1" w:rsidR="005E58D5" w:rsidRPr="00453FD0" w:rsidRDefault="005E58D5" w:rsidP="005E58D5">
      <w:pPr>
        <w:snapToGrid w:val="0"/>
        <w:spacing w:before="240" w:line="360" w:lineRule="auto"/>
        <w:contextualSpacing/>
        <w:rPr>
          <w:rFonts w:ascii="Arial" w:hAnsi="Arial" w:cs="Arial"/>
          <w:b/>
          <w:sz w:val="24"/>
          <w:szCs w:val="24"/>
        </w:rPr>
      </w:pPr>
      <w:r w:rsidRPr="00453FD0">
        <w:rPr>
          <w:rFonts w:ascii="Arial" w:hAnsi="Arial" w:cs="Arial" w:hint="eastAsia"/>
          <w:b/>
          <w:sz w:val="24"/>
          <w:szCs w:val="24"/>
        </w:rPr>
        <w:t>F</w:t>
      </w:r>
      <w:r w:rsidRPr="00453FD0">
        <w:rPr>
          <w:rFonts w:ascii="Arial" w:hAnsi="Arial" w:cs="Arial"/>
          <w:b/>
          <w:sz w:val="24"/>
          <w:szCs w:val="24"/>
        </w:rPr>
        <w:t>igure S</w:t>
      </w:r>
      <w:r w:rsidR="00BE6752" w:rsidRPr="00453FD0">
        <w:rPr>
          <w:rFonts w:ascii="Arial" w:hAnsi="Arial" w:cs="Arial"/>
          <w:b/>
          <w:sz w:val="24"/>
          <w:szCs w:val="24"/>
        </w:rPr>
        <w:t>8</w:t>
      </w:r>
      <w:r w:rsidRPr="00453FD0">
        <w:rPr>
          <w:rFonts w:ascii="Arial" w:hAnsi="Arial" w:cs="Arial"/>
          <w:b/>
          <w:sz w:val="24"/>
          <w:szCs w:val="24"/>
        </w:rPr>
        <w:t xml:space="preserve">: Validation of SPTBN1 expression level after SPTBN1-knockdown and SPTBN1-overexpressing by </w:t>
      </w:r>
      <w:proofErr w:type="spellStart"/>
      <w:r w:rsidRPr="00453FD0">
        <w:rPr>
          <w:rFonts w:ascii="Arial" w:hAnsi="Arial" w:cs="Arial"/>
          <w:b/>
          <w:sz w:val="24"/>
          <w:szCs w:val="24"/>
        </w:rPr>
        <w:t>qRT</w:t>
      </w:r>
      <w:proofErr w:type="spellEnd"/>
      <w:r w:rsidRPr="00453FD0">
        <w:rPr>
          <w:rFonts w:ascii="Arial" w:hAnsi="Arial" w:cs="Arial"/>
          <w:b/>
          <w:sz w:val="24"/>
          <w:szCs w:val="24"/>
        </w:rPr>
        <w:t>-PCR and WB.</w:t>
      </w:r>
    </w:p>
    <w:p w14:paraId="138389E9" w14:textId="2FE35E9F" w:rsidR="00B53770" w:rsidRDefault="005E58D5" w:rsidP="005E58D5">
      <w:pPr>
        <w:snapToGrid w:val="0"/>
        <w:spacing w:before="240" w:line="360" w:lineRule="auto"/>
        <w:contextualSpacing/>
        <w:rPr>
          <w:rFonts w:ascii="Arial" w:hAnsi="Arial" w:cs="Arial"/>
          <w:bCs/>
          <w:sz w:val="24"/>
          <w:szCs w:val="24"/>
        </w:rPr>
      </w:pPr>
      <w:r>
        <w:rPr>
          <w:rFonts w:ascii="Arial" w:hAnsi="Arial" w:cs="Arial"/>
          <w:bCs/>
          <w:sz w:val="24"/>
          <w:szCs w:val="24"/>
        </w:rPr>
        <w:t xml:space="preserve">(A). </w:t>
      </w:r>
      <w:proofErr w:type="spellStart"/>
      <w:r w:rsidRPr="00551B07">
        <w:rPr>
          <w:rFonts w:ascii="Arial" w:hAnsi="Arial" w:cs="Arial"/>
          <w:bCs/>
          <w:sz w:val="24"/>
          <w:szCs w:val="24"/>
        </w:rPr>
        <w:t>qRT</w:t>
      </w:r>
      <w:proofErr w:type="spellEnd"/>
      <w:r w:rsidRPr="00551B07">
        <w:rPr>
          <w:rFonts w:ascii="Arial" w:hAnsi="Arial" w:cs="Arial"/>
          <w:bCs/>
          <w:sz w:val="24"/>
          <w:szCs w:val="24"/>
        </w:rPr>
        <w:t xml:space="preserve">-PCR and </w:t>
      </w:r>
      <w:r>
        <w:rPr>
          <w:rFonts w:ascii="Arial" w:hAnsi="Arial" w:cs="Arial"/>
          <w:bCs/>
          <w:sz w:val="24"/>
          <w:szCs w:val="24"/>
        </w:rPr>
        <w:t>WB assays validated the expression of SPTBN1 after knockdown SPTBN1. (</w:t>
      </w:r>
      <w:r w:rsidR="00B53770">
        <w:rPr>
          <w:rFonts w:ascii="Arial" w:hAnsi="Arial" w:cs="Arial" w:hint="eastAsia"/>
          <w:bCs/>
          <w:sz w:val="24"/>
          <w:szCs w:val="24"/>
        </w:rPr>
        <w:t>B).</w:t>
      </w:r>
      <w:r w:rsidR="00B53770">
        <w:rPr>
          <w:rFonts w:ascii="Arial" w:hAnsi="Arial" w:cs="Arial"/>
          <w:bCs/>
          <w:sz w:val="24"/>
          <w:szCs w:val="24"/>
        </w:rPr>
        <w:t xml:space="preserve"> </w:t>
      </w:r>
      <w:proofErr w:type="spellStart"/>
      <w:r w:rsidR="00B53770" w:rsidRPr="00551B07">
        <w:rPr>
          <w:rFonts w:ascii="Arial" w:hAnsi="Arial" w:cs="Arial"/>
          <w:bCs/>
          <w:sz w:val="24"/>
          <w:szCs w:val="24"/>
        </w:rPr>
        <w:t>qRT</w:t>
      </w:r>
      <w:proofErr w:type="spellEnd"/>
      <w:r w:rsidR="00B53770" w:rsidRPr="00551B07">
        <w:rPr>
          <w:rFonts w:ascii="Arial" w:hAnsi="Arial" w:cs="Arial"/>
          <w:bCs/>
          <w:sz w:val="24"/>
          <w:szCs w:val="24"/>
        </w:rPr>
        <w:t xml:space="preserve">-PCR and </w:t>
      </w:r>
      <w:r w:rsidR="00B53770">
        <w:rPr>
          <w:rFonts w:ascii="Arial" w:hAnsi="Arial" w:cs="Arial"/>
          <w:bCs/>
          <w:sz w:val="24"/>
          <w:szCs w:val="24"/>
        </w:rPr>
        <w:t>WB assays validated the expression of SPTBN1 after overexpression SPTBN1.</w:t>
      </w:r>
      <w:r w:rsidR="00C30A11">
        <w:rPr>
          <w:rFonts w:ascii="Arial" w:hAnsi="Arial" w:cs="Arial"/>
          <w:bCs/>
          <w:sz w:val="24"/>
          <w:szCs w:val="24"/>
        </w:rPr>
        <w:t xml:space="preserve"> </w:t>
      </w:r>
      <w:r w:rsidR="00431ECD">
        <w:rPr>
          <w:rFonts w:ascii="Arial" w:hAnsi="Arial" w:cs="Arial"/>
          <w:bCs/>
          <w:sz w:val="24"/>
          <w:szCs w:val="24"/>
        </w:rPr>
        <w:t>(</w:t>
      </w:r>
      <w:r w:rsidR="00431ECD">
        <w:rPr>
          <w:rFonts w:ascii="Arial" w:hAnsi="Arial" w:cs="Arial" w:hint="eastAsia"/>
          <w:bCs/>
          <w:sz w:val="24"/>
          <w:szCs w:val="24"/>
        </w:rPr>
        <w:t>C</w:t>
      </w:r>
      <w:r w:rsidR="00431ECD">
        <w:rPr>
          <w:rFonts w:ascii="Arial" w:hAnsi="Arial" w:cs="Arial" w:hint="eastAsia"/>
          <w:bCs/>
          <w:sz w:val="24"/>
          <w:szCs w:val="24"/>
        </w:rPr>
        <w:t>).</w:t>
      </w:r>
      <w:r w:rsidR="00431ECD">
        <w:rPr>
          <w:rFonts w:ascii="Arial" w:hAnsi="Arial" w:cs="Arial"/>
          <w:bCs/>
          <w:sz w:val="24"/>
          <w:szCs w:val="24"/>
        </w:rPr>
        <w:t xml:space="preserve"> </w:t>
      </w:r>
      <w:proofErr w:type="spellStart"/>
      <w:r w:rsidR="00431ECD" w:rsidRPr="00551B07">
        <w:rPr>
          <w:rFonts w:ascii="Arial" w:hAnsi="Arial" w:cs="Arial"/>
          <w:bCs/>
          <w:sz w:val="24"/>
          <w:szCs w:val="24"/>
        </w:rPr>
        <w:t>qRT</w:t>
      </w:r>
      <w:proofErr w:type="spellEnd"/>
      <w:r w:rsidR="00431ECD" w:rsidRPr="00551B07">
        <w:rPr>
          <w:rFonts w:ascii="Arial" w:hAnsi="Arial" w:cs="Arial"/>
          <w:bCs/>
          <w:sz w:val="24"/>
          <w:szCs w:val="24"/>
        </w:rPr>
        <w:t xml:space="preserve">-PCR and </w:t>
      </w:r>
      <w:r w:rsidR="00431ECD">
        <w:rPr>
          <w:rFonts w:ascii="Arial" w:hAnsi="Arial" w:cs="Arial"/>
          <w:bCs/>
          <w:sz w:val="24"/>
          <w:szCs w:val="24"/>
        </w:rPr>
        <w:t xml:space="preserve">WB assays validated the expression of </w:t>
      </w:r>
      <w:r w:rsidR="00431ECD">
        <w:rPr>
          <w:rFonts w:ascii="Arial" w:hAnsi="Arial" w:cs="Arial"/>
          <w:bCs/>
          <w:sz w:val="24"/>
          <w:szCs w:val="24"/>
        </w:rPr>
        <w:t>GPT2</w:t>
      </w:r>
      <w:r w:rsidR="00431ECD">
        <w:rPr>
          <w:rFonts w:ascii="Arial" w:hAnsi="Arial" w:cs="Arial"/>
          <w:bCs/>
          <w:sz w:val="24"/>
          <w:szCs w:val="24"/>
        </w:rPr>
        <w:t xml:space="preserve"> after knockdown </w:t>
      </w:r>
      <w:r w:rsidR="00431ECD">
        <w:rPr>
          <w:rFonts w:ascii="Arial" w:hAnsi="Arial" w:cs="Arial"/>
          <w:bCs/>
          <w:sz w:val="24"/>
          <w:szCs w:val="24"/>
        </w:rPr>
        <w:t>GPT2</w:t>
      </w:r>
      <w:r w:rsidR="00431ECD">
        <w:rPr>
          <w:rFonts w:ascii="Arial" w:hAnsi="Arial" w:cs="Arial"/>
          <w:bCs/>
          <w:sz w:val="24"/>
          <w:szCs w:val="24"/>
        </w:rPr>
        <w:t>.</w:t>
      </w:r>
      <w:r w:rsidR="00431ECD">
        <w:rPr>
          <w:rFonts w:ascii="Arial" w:hAnsi="Arial" w:cs="Arial"/>
          <w:bCs/>
          <w:sz w:val="24"/>
          <w:szCs w:val="24"/>
        </w:rPr>
        <w:t xml:space="preserve"> </w:t>
      </w:r>
      <w:r w:rsidR="00C30A11">
        <w:rPr>
          <w:rFonts w:ascii="Arial" w:hAnsi="Arial" w:cs="Arial"/>
          <w:bCs/>
          <w:sz w:val="24"/>
          <w:szCs w:val="24"/>
        </w:rPr>
        <w:t xml:space="preserve">(**: </w:t>
      </w:r>
      <w:r w:rsidR="00C30A11" w:rsidRPr="00210B9E">
        <w:rPr>
          <w:rFonts w:ascii="Arial" w:hAnsi="Arial" w:cs="Arial"/>
          <w:bCs/>
          <w:i/>
          <w:iCs/>
          <w:sz w:val="24"/>
          <w:szCs w:val="24"/>
        </w:rPr>
        <w:t>P</w:t>
      </w:r>
      <w:r w:rsidR="00C30A11">
        <w:rPr>
          <w:rFonts w:ascii="Arial" w:hAnsi="Arial" w:cs="Arial"/>
          <w:bCs/>
          <w:sz w:val="24"/>
          <w:szCs w:val="24"/>
        </w:rPr>
        <w:t>&lt;0.05)</w:t>
      </w:r>
    </w:p>
    <w:p w14:paraId="66E74E79" w14:textId="3B11A670" w:rsidR="00453FD0" w:rsidRPr="004F0E52" w:rsidRDefault="004F0E52" w:rsidP="005E58D5">
      <w:pPr>
        <w:snapToGrid w:val="0"/>
        <w:spacing w:before="240" w:line="360" w:lineRule="auto"/>
        <w:contextualSpacing/>
        <w:rPr>
          <w:rFonts w:ascii="Arial" w:hAnsi="Arial" w:cs="Arial"/>
          <w:bCs/>
          <w:sz w:val="24"/>
          <w:szCs w:val="24"/>
        </w:rPr>
      </w:pPr>
      <w:r>
        <w:rPr>
          <w:rFonts w:ascii="Arial" w:hAnsi="Arial" w:cs="Arial"/>
          <w:bCs/>
          <w:noProof/>
          <w:sz w:val="24"/>
          <w:szCs w:val="24"/>
        </w:rPr>
        <w:lastRenderedPageBreak/>
        <w:drawing>
          <wp:inline distT="0" distB="0" distL="0" distR="0" wp14:anchorId="2F2AE810" wp14:editId="6C82FF52">
            <wp:extent cx="5274310" cy="5936615"/>
            <wp:effectExtent l="0" t="0" r="0" b="0"/>
            <wp:docPr id="5"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示&#10;&#10;描述已自动生成"/>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5936615"/>
                    </a:xfrm>
                    <a:prstGeom prst="rect">
                      <a:avLst/>
                    </a:prstGeom>
                  </pic:spPr>
                </pic:pic>
              </a:graphicData>
            </a:graphic>
          </wp:inline>
        </w:drawing>
      </w:r>
    </w:p>
    <w:p w14:paraId="2EF93CD9" w14:textId="77777777" w:rsidR="00453FD0" w:rsidRDefault="00453FD0" w:rsidP="005E58D5">
      <w:pPr>
        <w:snapToGrid w:val="0"/>
        <w:spacing w:before="240" w:line="360" w:lineRule="auto"/>
        <w:contextualSpacing/>
        <w:rPr>
          <w:rFonts w:ascii="Arial" w:hAnsi="Arial" w:cs="Arial"/>
          <w:bCs/>
          <w:sz w:val="24"/>
          <w:szCs w:val="24"/>
        </w:rPr>
      </w:pPr>
    </w:p>
    <w:p w14:paraId="336E203A" w14:textId="68375D0A" w:rsidR="00B53770" w:rsidRPr="00453FD0" w:rsidRDefault="00B53770" w:rsidP="005E58D5">
      <w:pPr>
        <w:snapToGrid w:val="0"/>
        <w:spacing w:before="240" w:line="360" w:lineRule="auto"/>
        <w:contextualSpacing/>
        <w:rPr>
          <w:rFonts w:ascii="Arial" w:hAnsi="Arial" w:cs="Arial"/>
          <w:b/>
          <w:sz w:val="24"/>
          <w:szCs w:val="24"/>
        </w:rPr>
      </w:pPr>
      <w:r w:rsidRPr="00453FD0">
        <w:rPr>
          <w:rFonts w:ascii="Arial" w:hAnsi="Arial" w:cs="Arial" w:hint="eastAsia"/>
          <w:b/>
          <w:sz w:val="24"/>
          <w:szCs w:val="24"/>
        </w:rPr>
        <w:t>F</w:t>
      </w:r>
      <w:r w:rsidRPr="00453FD0">
        <w:rPr>
          <w:rFonts w:ascii="Arial" w:hAnsi="Arial" w:cs="Arial"/>
          <w:b/>
          <w:sz w:val="24"/>
          <w:szCs w:val="24"/>
        </w:rPr>
        <w:t>igure S</w:t>
      </w:r>
      <w:r w:rsidR="00BE6752" w:rsidRPr="00453FD0">
        <w:rPr>
          <w:rFonts w:ascii="Arial" w:hAnsi="Arial" w:cs="Arial"/>
          <w:b/>
          <w:sz w:val="24"/>
          <w:szCs w:val="24"/>
        </w:rPr>
        <w:t>9</w:t>
      </w:r>
      <w:r w:rsidRPr="00453FD0">
        <w:rPr>
          <w:rFonts w:ascii="Arial" w:hAnsi="Arial" w:cs="Arial"/>
          <w:b/>
          <w:sz w:val="24"/>
          <w:szCs w:val="24"/>
        </w:rPr>
        <w:t xml:space="preserve">: </w:t>
      </w:r>
      <w:proofErr w:type="spellStart"/>
      <w:r w:rsidRPr="00453FD0">
        <w:rPr>
          <w:rFonts w:ascii="Arial" w:hAnsi="Arial" w:cs="Arial"/>
          <w:b/>
          <w:sz w:val="24"/>
          <w:szCs w:val="24"/>
        </w:rPr>
        <w:t>Transwell</w:t>
      </w:r>
      <w:proofErr w:type="spellEnd"/>
      <w:r w:rsidRPr="00453FD0">
        <w:rPr>
          <w:rFonts w:ascii="Arial" w:hAnsi="Arial" w:cs="Arial"/>
          <w:b/>
          <w:sz w:val="24"/>
          <w:szCs w:val="24"/>
        </w:rPr>
        <w:t xml:space="preserve"> cell migration and invasion assays after SPTBN1-knockdown and SPTBN1-overexpressing of RCC cells.</w:t>
      </w:r>
      <w:r w:rsidR="00C30A11" w:rsidRPr="00453FD0">
        <w:rPr>
          <w:rFonts w:ascii="Arial" w:hAnsi="Arial" w:cs="Arial"/>
          <w:b/>
          <w:sz w:val="24"/>
          <w:szCs w:val="24"/>
        </w:rPr>
        <w:t xml:space="preserve"> (**: </w:t>
      </w:r>
      <w:r w:rsidR="00C30A11" w:rsidRPr="00453FD0">
        <w:rPr>
          <w:rFonts w:ascii="Arial" w:hAnsi="Arial" w:cs="Arial"/>
          <w:b/>
          <w:i/>
          <w:iCs/>
          <w:sz w:val="24"/>
          <w:szCs w:val="24"/>
        </w:rPr>
        <w:t>P</w:t>
      </w:r>
      <w:r w:rsidR="00C30A11" w:rsidRPr="00453FD0">
        <w:rPr>
          <w:rFonts w:ascii="Arial" w:hAnsi="Arial" w:cs="Arial"/>
          <w:b/>
          <w:sz w:val="24"/>
          <w:szCs w:val="24"/>
        </w:rPr>
        <w:t>&lt;0.05)</w:t>
      </w:r>
    </w:p>
    <w:p w14:paraId="4D77B418" w14:textId="2AA0201C" w:rsidR="00B53770" w:rsidRDefault="00B53770" w:rsidP="005E58D5">
      <w:pPr>
        <w:snapToGrid w:val="0"/>
        <w:spacing w:before="240" w:line="360" w:lineRule="auto"/>
        <w:contextualSpacing/>
        <w:rPr>
          <w:rFonts w:ascii="Arial" w:hAnsi="Arial" w:cs="Arial"/>
          <w:bCs/>
          <w:sz w:val="24"/>
          <w:szCs w:val="24"/>
        </w:rPr>
      </w:pPr>
    </w:p>
    <w:p w14:paraId="5BFC8C64" w14:textId="54EB9FEF" w:rsidR="00453FD0" w:rsidRDefault="00453FD0" w:rsidP="00855331">
      <w:pPr>
        <w:snapToGrid w:val="0"/>
        <w:spacing w:before="240" w:line="360" w:lineRule="auto"/>
        <w:contextualSpacing/>
        <w:jc w:val="center"/>
        <w:rPr>
          <w:rFonts w:ascii="Arial" w:hAnsi="Arial" w:cs="Arial"/>
          <w:bCs/>
          <w:sz w:val="24"/>
          <w:szCs w:val="24"/>
        </w:rPr>
      </w:pPr>
      <w:r>
        <w:rPr>
          <w:rFonts w:ascii="Arial" w:hAnsi="Arial" w:cs="Arial"/>
          <w:bCs/>
          <w:noProof/>
          <w:sz w:val="24"/>
          <w:szCs w:val="24"/>
        </w:rPr>
        <w:lastRenderedPageBreak/>
        <w:drawing>
          <wp:inline distT="0" distB="0" distL="0" distR="0" wp14:anchorId="3F8F036F" wp14:editId="2DC662FE">
            <wp:extent cx="5267325" cy="4552950"/>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67325" cy="4552950"/>
                    </a:xfrm>
                    <a:prstGeom prst="rect">
                      <a:avLst/>
                    </a:prstGeom>
                    <a:noFill/>
                    <a:ln>
                      <a:noFill/>
                    </a:ln>
                  </pic:spPr>
                </pic:pic>
              </a:graphicData>
            </a:graphic>
          </wp:inline>
        </w:drawing>
      </w:r>
    </w:p>
    <w:p w14:paraId="7B0D9AEA" w14:textId="77777777" w:rsidR="00453FD0" w:rsidRDefault="00453FD0" w:rsidP="00B53770">
      <w:pPr>
        <w:snapToGrid w:val="0"/>
        <w:spacing w:line="360" w:lineRule="auto"/>
        <w:contextualSpacing/>
        <w:rPr>
          <w:rFonts w:ascii="Arial" w:hAnsi="Arial" w:cs="Arial"/>
          <w:bCs/>
          <w:sz w:val="24"/>
          <w:szCs w:val="24"/>
        </w:rPr>
      </w:pPr>
    </w:p>
    <w:p w14:paraId="23B4CC1F" w14:textId="6E6385B6" w:rsidR="00B53770" w:rsidRPr="00C66385" w:rsidRDefault="00B53770" w:rsidP="00B53770">
      <w:pPr>
        <w:snapToGrid w:val="0"/>
        <w:spacing w:line="360" w:lineRule="auto"/>
        <w:contextualSpacing/>
        <w:rPr>
          <w:rFonts w:ascii="Arial" w:hAnsi="Arial" w:cs="Arial"/>
          <w:b/>
          <w:sz w:val="24"/>
          <w:szCs w:val="24"/>
        </w:rPr>
      </w:pPr>
      <w:r w:rsidRPr="00C66385">
        <w:rPr>
          <w:rFonts w:ascii="Arial" w:hAnsi="Arial" w:cs="Arial" w:hint="eastAsia"/>
          <w:b/>
          <w:sz w:val="24"/>
          <w:szCs w:val="24"/>
        </w:rPr>
        <w:t>F</w:t>
      </w:r>
      <w:r w:rsidRPr="00C66385">
        <w:rPr>
          <w:rFonts w:ascii="Arial" w:hAnsi="Arial" w:cs="Arial"/>
          <w:b/>
          <w:sz w:val="24"/>
          <w:szCs w:val="24"/>
        </w:rPr>
        <w:t>igure S</w:t>
      </w:r>
      <w:r w:rsidR="00BE6752" w:rsidRPr="00C66385">
        <w:rPr>
          <w:rFonts w:ascii="Arial" w:hAnsi="Arial" w:cs="Arial"/>
          <w:b/>
          <w:sz w:val="24"/>
          <w:szCs w:val="24"/>
        </w:rPr>
        <w:t>10</w:t>
      </w:r>
      <w:r w:rsidRPr="00C66385">
        <w:rPr>
          <w:rFonts w:ascii="Arial" w:hAnsi="Arial" w:cs="Arial"/>
          <w:b/>
          <w:sz w:val="24"/>
          <w:szCs w:val="24"/>
        </w:rPr>
        <w:t xml:space="preserve">: IHC staining revealed GPT2 was up-regulated in </w:t>
      </w:r>
      <w:proofErr w:type="spellStart"/>
      <w:r w:rsidRPr="00C66385">
        <w:rPr>
          <w:rFonts w:ascii="Arial" w:hAnsi="Arial" w:cs="Arial"/>
          <w:b/>
          <w:sz w:val="24"/>
          <w:szCs w:val="24"/>
        </w:rPr>
        <w:t>ccRCC</w:t>
      </w:r>
      <w:proofErr w:type="spellEnd"/>
      <w:r w:rsidRPr="00C66385">
        <w:rPr>
          <w:rFonts w:ascii="Arial" w:hAnsi="Arial" w:cs="Arial"/>
          <w:b/>
          <w:sz w:val="24"/>
          <w:szCs w:val="24"/>
        </w:rPr>
        <w:t xml:space="preserve"> tissue compared with adjacent normal renal tissue. </w:t>
      </w:r>
    </w:p>
    <w:p w14:paraId="622403E2" w14:textId="51046581" w:rsidR="00B53770" w:rsidRDefault="00453FD0" w:rsidP="005E58D5">
      <w:pPr>
        <w:snapToGrid w:val="0"/>
        <w:spacing w:before="240" w:line="360" w:lineRule="auto"/>
        <w:contextualSpacing/>
        <w:rPr>
          <w:rFonts w:ascii="Arial" w:hAnsi="Arial" w:cs="Arial"/>
          <w:bCs/>
          <w:sz w:val="24"/>
          <w:szCs w:val="24"/>
        </w:rPr>
      </w:pPr>
      <w:r>
        <w:rPr>
          <w:rFonts w:ascii="Arial" w:hAnsi="Arial" w:cs="Arial"/>
          <w:bCs/>
          <w:noProof/>
          <w:sz w:val="24"/>
          <w:szCs w:val="24"/>
        </w:rPr>
        <w:lastRenderedPageBreak/>
        <w:drawing>
          <wp:inline distT="0" distB="0" distL="0" distR="0" wp14:anchorId="0149F274" wp14:editId="4B0AEE11">
            <wp:extent cx="5267325" cy="4086225"/>
            <wp:effectExtent l="0" t="0" r="9525"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67325" cy="4086225"/>
                    </a:xfrm>
                    <a:prstGeom prst="rect">
                      <a:avLst/>
                    </a:prstGeom>
                    <a:noFill/>
                    <a:ln>
                      <a:noFill/>
                    </a:ln>
                  </pic:spPr>
                </pic:pic>
              </a:graphicData>
            </a:graphic>
          </wp:inline>
        </w:drawing>
      </w:r>
    </w:p>
    <w:p w14:paraId="30B6EDB7" w14:textId="74CA55E0" w:rsidR="009E66DE" w:rsidRDefault="009E66DE" w:rsidP="005E58D5">
      <w:pPr>
        <w:snapToGrid w:val="0"/>
        <w:spacing w:before="240" w:line="360" w:lineRule="auto"/>
        <w:contextualSpacing/>
        <w:rPr>
          <w:rFonts w:ascii="Arial" w:hAnsi="Arial" w:cs="Arial"/>
          <w:bCs/>
          <w:sz w:val="24"/>
          <w:szCs w:val="24"/>
        </w:rPr>
      </w:pPr>
    </w:p>
    <w:p w14:paraId="114D6EC2" w14:textId="629ED008" w:rsidR="009E66DE" w:rsidRDefault="009E66DE">
      <w:pPr>
        <w:widowControl/>
        <w:jc w:val="left"/>
        <w:rPr>
          <w:rFonts w:ascii="Arial" w:hAnsi="Arial" w:cs="Arial"/>
          <w:bCs/>
          <w:sz w:val="24"/>
          <w:szCs w:val="24"/>
        </w:rPr>
      </w:pPr>
      <w:r>
        <w:rPr>
          <w:rFonts w:ascii="Arial" w:hAnsi="Arial" w:cs="Arial"/>
          <w:bCs/>
          <w:sz w:val="24"/>
          <w:szCs w:val="24"/>
        </w:rPr>
        <w:br w:type="page"/>
      </w:r>
    </w:p>
    <w:p w14:paraId="65FC1E26" w14:textId="43AC48C2" w:rsidR="009E66DE" w:rsidRDefault="009E66DE" w:rsidP="009E66DE">
      <w:pPr>
        <w:rPr>
          <w:rFonts w:ascii="Arial" w:hAnsi="Arial" w:cs="Arial"/>
          <w:b/>
          <w:bCs/>
          <w:sz w:val="24"/>
        </w:rPr>
      </w:pPr>
      <w:r w:rsidRPr="009E66DE">
        <w:rPr>
          <w:rFonts w:ascii="Arial" w:hAnsi="Arial" w:cs="Arial"/>
          <w:b/>
          <w:bCs/>
          <w:sz w:val="24"/>
        </w:rPr>
        <w:lastRenderedPageBreak/>
        <w:t>Table S1 Oligonucleotide sequences used in this research</w:t>
      </w:r>
    </w:p>
    <w:p w14:paraId="43700E9F" w14:textId="77777777" w:rsidR="009E66DE" w:rsidRPr="009E66DE" w:rsidRDefault="009E66DE" w:rsidP="009E66DE">
      <w:pPr>
        <w:rPr>
          <w:rFonts w:ascii="Arial" w:hAnsi="Arial" w:cs="Arial"/>
          <w:b/>
          <w:bCs/>
          <w:sz w:val="24"/>
        </w:rPr>
      </w:pPr>
    </w:p>
    <w:tbl>
      <w:tblPr>
        <w:tblW w:w="0" w:type="auto"/>
        <w:tblLook w:val="04A0" w:firstRow="1" w:lastRow="0" w:firstColumn="1" w:lastColumn="0" w:noHBand="0" w:noVBand="1"/>
      </w:tblPr>
      <w:tblGrid>
        <w:gridCol w:w="1932"/>
        <w:gridCol w:w="1804"/>
        <w:gridCol w:w="4564"/>
      </w:tblGrid>
      <w:tr w:rsidR="009E66DE" w:rsidRPr="00AB0B58" w14:paraId="3CF4FD09" w14:textId="77777777" w:rsidTr="00F80A8C">
        <w:tc>
          <w:tcPr>
            <w:tcW w:w="1932" w:type="dxa"/>
            <w:tcBorders>
              <w:top w:val="single" w:sz="4" w:space="0" w:color="auto"/>
            </w:tcBorders>
            <w:shd w:val="clear" w:color="auto" w:fill="auto"/>
            <w:vAlign w:val="center"/>
          </w:tcPr>
          <w:p w14:paraId="141D7DB6"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Primers</w:t>
            </w:r>
          </w:p>
        </w:tc>
        <w:tc>
          <w:tcPr>
            <w:tcW w:w="6368" w:type="dxa"/>
            <w:gridSpan w:val="2"/>
            <w:tcBorders>
              <w:top w:val="single" w:sz="4" w:space="0" w:color="auto"/>
            </w:tcBorders>
            <w:shd w:val="clear" w:color="auto" w:fill="auto"/>
            <w:vAlign w:val="center"/>
          </w:tcPr>
          <w:p w14:paraId="4A6C6F41"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Sequences</w:t>
            </w:r>
          </w:p>
        </w:tc>
      </w:tr>
      <w:tr w:rsidR="009E66DE" w:rsidRPr="00AB0B58" w14:paraId="42ED06E9" w14:textId="77777777" w:rsidTr="00F80A8C">
        <w:tc>
          <w:tcPr>
            <w:tcW w:w="1932" w:type="dxa"/>
            <w:vMerge w:val="restart"/>
            <w:tcBorders>
              <w:top w:val="single" w:sz="4" w:space="0" w:color="auto"/>
            </w:tcBorders>
            <w:shd w:val="clear" w:color="auto" w:fill="auto"/>
            <w:vAlign w:val="center"/>
          </w:tcPr>
          <w:p w14:paraId="1D9C15BE" w14:textId="77777777" w:rsidR="009E66DE" w:rsidRPr="00AB0B58" w:rsidRDefault="009E66DE" w:rsidP="00F80A8C">
            <w:pPr>
              <w:snapToGrid w:val="0"/>
              <w:spacing w:line="360" w:lineRule="auto"/>
              <w:contextualSpacing/>
              <w:jc w:val="center"/>
              <w:rPr>
                <w:rFonts w:ascii="Arial" w:hAnsi="Arial" w:cs="Arial"/>
                <w:sz w:val="24"/>
              </w:rPr>
            </w:pPr>
            <w:proofErr w:type="spellStart"/>
            <w:r w:rsidRPr="00AB0B58">
              <w:rPr>
                <w:rFonts w:ascii="Arial" w:hAnsi="Arial" w:cs="Arial"/>
                <w:sz w:val="24"/>
              </w:rPr>
              <w:t>siNC</w:t>
            </w:r>
            <w:proofErr w:type="spellEnd"/>
          </w:p>
        </w:tc>
        <w:tc>
          <w:tcPr>
            <w:tcW w:w="1804" w:type="dxa"/>
            <w:tcBorders>
              <w:top w:val="single" w:sz="4" w:space="0" w:color="auto"/>
            </w:tcBorders>
            <w:shd w:val="clear" w:color="auto" w:fill="auto"/>
            <w:vAlign w:val="center"/>
          </w:tcPr>
          <w:p w14:paraId="07FADAD7"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tcBorders>
              <w:top w:val="single" w:sz="4" w:space="0" w:color="auto"/>
            </w:tcBorders>
            <w:shd w:val="clear" w:color="auto" w:fill="auto"/>
            <w:vAlign w:val="center"/>
          </w:tcPr>
          <w:p w14:paraId="3DAA2227"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UUCUCCGAACGUGUCACGUTT</w:t>
            </w:r>
          </w:p>
        </w:tc>
      </w:tr>
      <w:tr w:rsidR="009E66DE" w:rsidRPr="00AB0B58" w14:paraId="1236B53E" w14:textId="77777777" w:rsidTr="00F80A8C">
        <w:tc>
          <w:tcPr>
            <w:tcW w:w="1932" w:type="dxa"/>
            <w:vMerge/>
            <w:shd w:val="clear" w:color="auto" w:fill="auto"/>
            <w:vAlign w:val="center"/>
          </w:tcPr>
          <w:p w14:paraId="1A2F0332"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189A53E2"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7390B9D9"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ACGUGACAGGUUCGGAGAATT</w:t>
            </w:r>
          </w:p>
        </w:tc>
      </w:tr>
      <w:tr w:rsidR="009E66DE" w:rsidRPr="00AB0B58" w14:paraId="7C9247B4" w14:textId="77777777" w:rsidTr="00F80A8C">
        <w:tc>
          <w:tcPr>
            <w:tcW w:w="1932" w:type="dxa"/>
            <w:vMerge w:val="restart"/>
            <w:shd w:val="clear" w:color="auto" w:fill="auto"/>
            <w:vAlign w:val="center"/>
          </w:tcPr>
          <w:p w14:paraId="57D3C54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siGPT2-1</w:t>
            </w:r>
          </w:p>
        </w:tc>
        <w:tc>
          <w:tcPr>
            <w:tcW w:w="1804" w:type="dxa"/>
            <w:shd w:val="clear" w:color="auto" w:fill="auto"/>
            <w:vAlign w:val="center"/>
          </w:tcPr>
          <w:p w14:paraId="7244A9CE"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4F3342B0"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GCUUCCCAGAAGAUGCUAATT</w:t>
            </w:r>
          </w:p>
        </w:tc>
      </w:tr>
      <w:tr w:rsidR="009E66DE" w:rsidRPr="00AB0B58" w14:paraId="0E056D52" w14:textId="77777777" w:rsidTr="00F80A8C">
        <w:tc>
          <w:tcPr>
            <w:tcW w:w="1932" w:type="dxa"/>
            <w:vMerge/>
            <w:shd w:val="clear" w:color="auto" w:fill="auto"/>
            <w:vAlign w:val="center"/>
          </w:tcPr>
          <w:p w14:paraId="12D5C891"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2E7C260A"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6BCC0C6C"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UUAGCAUCUUCUGGGAAGCTT</w:t>
            </w:r>
          </w:p>
        </w:tc>
      </w:tr>
      <w:tr w:rsidR="009E66DE" w:rsidRPr="00AB0B58" w14:paraId="0EAF5E9E" w14:textId="77777777" w:rsidTr="00F80A8C">
        <w:tc>
          <w:tcPr>
            <w:tcW w:w="1932" w:type="dxa"/>
            <w:vMerge w:val="restart"/>
            <w:shd w:val="clear" w:color="auto" w:fill="auto"/>
            <w:vAlign w:val="center"/>
          </w:tcPr>
          <w:p w14:paraId="013F8D6D"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siGPT2-2</w:t>
            </w:r>
          </w:p>
        </w:tc>
        <w:tc>
          <w:tcPr>
            <w:tcW w:w="1804" w:type="dxa"/>
            <w:shd w:val="clear" w:color="auto" w:fill="auto"/>
            <w:vAlign w:val="center"/>
          </w:tcPr>
          <w:p w14:paraId="7E214FA2"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5EF8ED2A"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CCUAAGGUGCUCUGCAUAATT</w:t>
            </w:r>
          </w:p>
        </w:tc>
      </w:tr>
      <w:tr w:rsidR="009E66DE" w:rsidRPr="00AB0B58" w14:paraId="03B20E21" w14:textId="77777777" w:rsidTr="00F80A8C">
        <w:tc>
          <w:tcPr>
            <w:tcW w:w="1932" w:type="dxa"/>
            <w:vMerge/>
            <w:shd w:val="clear" w:color="auto" w:fill="auto"/>
            <w:vAlign w:val="center"/>
          </w:tcPr>
          <w:p w14:paraId="78CD9EA0"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034B480E"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7A17F229"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UUAUGCAGAGCACCUUAGGTT</w:t>
            </w:r>
          </w:p>
        </w:tc>
      </w:tr>
      <w:tr w:rsidR="009E66DE" w:rsidRPr="00AB0B58" w14:paraId="320B3FC4" w14:textId="77777777" w:rsidTr="00F80A8C">
        <w:tc>
          <w:tcPr>
            <w:tcW w:w="1932" w:type="dxa"/>
            <w:vMerge w:val="restart"/>
            <w:shd w:val="clear" w:color="auto" w:fill="auto"/>
            <w:vAlign w:val="center"/>
          </w:tcPr>
          <w:p w14:paraId="60D4BC83"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siGPT2-3</w:t>
            </w:r>
          </w:p>
        </w:tc>
        <w:tc>
          <w:tcPr>
            <w:tcW w:w="1804" w:type="dxa"/>
            <w:shd w:val="clear" w:color="auto" w:fill="auto"/>
            <w:vAlign w:val="center"/>
          </w:tcPr>
          <w:p w14:paraId="5C50D417"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23E562C7"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GCUGACGGAAGACCUGUUUTT</w:t>
            </w:r>
          </w:p>
        </w:tc>
      </w:tr>
      <w:tr w:rsidR="009E66DE" w:rsidRPr="00AB0B58" w14:paraId="5698BC17" w14:textId="77777777" w:rsidTr="00F80A8C">
        <w:tc>
          <w:tcPr>
            <w:tcW w:w="1932" w:type="dxa"/>
            <w:vMerge/>
            <w:shd w:val="clear" w:color="auto" w:fill="auto"/>
            <w:vAlign w:val="center"/>
          </w:tcPr>
          <w:p w14:paraId="749A0303"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53728EDD"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6CDF8907"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AAACAGGUCUUCCGUCAGETT</w:t>
            </w:r>
          </w:p>
        </w:tc>
      </w:tr>
      <w:tr w:rsidR="009E66DE" w:rsidRPr="00AB0B58" w14:paraId="59E0E365" w14:textId="77777777" w:rsidTr="00F80A8C">
        <w:tc>
          <w:tcPr>
            <w:tcW w:w="1932" w:type="dxa"/>
            <w:vMerge w:val="restart"/>
            <w:shd w:val="clear" w:color="auto" w:fill="auto"/>
            <w:vAlign w:val="center"/>
          </w:tcPr>
          <w:p w14:paraId="3C74A396" w14:textId="77777777" w:rsidR="009E66DE" w:rsidRPr="00AB0B58" w:rsidRDefault="009E66DE" w:rsidP="00F80A8C">
            <w:pPr>
              <w:snapToGrid w:val="0"/>
              <w:spacing w:line="360" w:lineRule="auto"/>
              <w:contextualSpacing/>
              <w:jc w:val="center"/>
              <w:rPr>
                <w:rFonts w:ascii="Arial" w:hAnsi="Arial" w:cs="Arial"/>
                <w:sz w:val="24"/>
              </w:rPr>
            </w:pPr>
            <w:proofErr w:type="spellStart"/>
            <w:r>
              <w:rPr>
                <w:rFonts w:ascii="Arial" w:hAnsi="Arial" w:cs="Arial" w:hint="eastAsia"/>
                <w:sz w:val="24"/>
              </w:rPr>
              <w:t>s</w:t>
            </w:r>
            <w:r>
              <w:rPr>
                <w:rFonts w:ascii="Arial" w:hAnsi="Arial" w:cs="Arial"/>
                <w:sz w:val="24"/>
              </w:rPr>
              <w:t>iNC</w:t>
            </w:r>
            <w:proofErr w:type="spellEnd"/>
          </w:p>
        </w:tc>
        <w:tc>
          <w:tcPr>
            <w:tcW w:w="1804" w:type="dxa"/>
            <w:shd w:val="clear" w:color="auto" w:fill="auto"/>
            <w:vAlign w:val="center"/>
          </w:tcPr>
          <w:p w14:paraId="61B4742D"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62D9D583" w14:textId="77777777" w:rsidR="009E66DE" w:rsidRPr="00AB0B58" w:rsidRDefault="009E66DE" w:rsidP="00F80A8C">
            <w:pPr>
              <w:snapToGrid w:val="0"/>
              <w:spacing w:line="360" w:lineRule="auto"/>
              <w:contextualSpacing/>
              <w:jc w:val="center"/>
              <w:rPr>
                <w:rFonts w:ascii="Arial" w:hAnsi="Arial" w:cs="Arial"/>
                <w:sz w:val="24"/>
              </w:rPr>
            </w:pPr>
            <w:r w:rsidRPr="006913B9">
              <w:rPr>
                <w:rFonts w:ascii="Arial" w:hAnsi="Arial" w:cs="Arial"/>
                <w:sz w:val="24"/>
              </w:rPr>
              <w:t>GGAACGUGGAGUGCAGAUCUUAAUC</w:t>
            </w:r>
          </w:p>
        </w:tc>
      </w:tr>
      <w:tr w:rsidR="009E66DE" w:rsidRPr="00AB0B58" w14:paraId="76C6C3D1" w14:textId="77777777" w:rsidTr="00F80A8C">
        <w:tc>
          <w:tcPr>
            <w:tcW w:w="1932" w:type="dxa"/>
            <w:vMerge/>
            <w:shd w:val="clear" w:color="auto" w:fill="auto"/>
            <w:vAlign w:val="center"/>
          </w:tcPr>
          <w:p w14:paraId="23808D9C"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15C54D13"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4D2A9C9B" w14:textId="77777777" w:rsidR="009E66DE" w:rsidRPr="00AB0B58" w:rsidRDefault="009E66DE" w:rsidP="00F80A8C">
            <w:pPr>
              <w:snapToGrid w:val="0"/>
              <w:spacing w:line="360" w:lineRule="auto"/>
              <w:contextualSpacing/>
              <w:jc w:val="center"/>
              <w:rPr>
                <w:rFonts w:ascii="Arial" w:hAnsi="Arial" w:cs="Arial"/>
                <w:sz w:val="24"/>
              </w:rPr>
            </w:pPr>
            <w:r w:rsidRPr="006913B9">
              <w:rPr>
                <w:rFonts w:ascii="Arial" w:hAnsi="Arial" w:cs="Arial"/>
                <w:sz w:val="24"/>
              </w:rPr>
              <w:t>GAUUAAGAUCUGCACUCCACGUUCC</w:t>
            </w:r>
          </w:p>
        </w:tc>
      </w:tr>
      <w:tr w:rsidR="009E66DE" w:rsidRPr="00AB0B58" w14:paraId="6AB61AB1" w14:textId="77777777" w:rsidTr="00F80A8C">
        <w:tc>
          <w:tcPr>
            <w:tcW w:w="1932" w:type="dxa"/>
            <w:vMerge w:val="restart"/>
            <w:shd w:val="clear" w:color="auto" w:fill="auto"/>
            <w:vAlign w:val="center"/>
          </w:tcPr>
          <w:p w14:paraId="42531D24"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siSPTBN1-1</w:t>
            </w:r>
          </w:p>
        </w:tc>
        <w:tc>
          <w:tcPr>
            <w:tcW w:w="1804" w:type="dxa"/>
            <w:shd w:val="clear" w:color="auto" w:fill="auto"/>
            <w:vAlign w:val="center"/>
          </w:tcPr>
          <w:p w14:paraId="0991BD6E"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371CE626"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GGAAUUGCAGAGGACGUCUAGUAUC</w:t>
            </w:r>
          </w:p>
        </w:tc>
      </w:tr>
      <w:tr w:rsidR="009E66DE" w:rsidRPr="00AB0B58" w14:paraId="5F3C68B8" w14:textId="77777777" w:rsidTr="00F80A8C">
        <w:tc>
          <w:tcPr>
            <w:tcW w:w="1932" w:type="dxa"/>
            <w:vMerge/>
            <w:shd w:val="clear" w:color="auto" w:fill="auto"/>
            <w:vAlign w:val="center"/>
          </w:tcPr>
          <w:p w14:paraId="672ADECD"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72B24AE4"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3CF006A9"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GAUACUAGACGUCCUCUGCAAUUCC</w:t>
            </w:r>
          </w:p>
        </w:tc>
      </w:tr>
      <w:tr w:rsidR="009E66DE" w:rsidRPr="00AB0B58" w14:paraId="77E75D19" w14:textId="77777777" w:rsidTr="00F80A8C">
        <w:tc>
          <w:tcPr>
            <w:tcW w:w="1932" w:type="dxa"/>
            <w:vMerge w:val="restart"/>
            <w:shd w:val="clear" w:color="auto" w:fill="auto"/>
            <w:vAlign w:val="center"/>
          </w:tcPr>
          <w:p w14:paraId="2B8A4731"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siSPTBN1-2</w:t>
            </w:r>
          </w:p>
        </w:tc>
        <w:tc>
          <w:tcPr>
            <w:tcW w:w="1804" w:type="dxa"/>
            <w:shd w:val="clear" w:color="auto" w:fill="auto"/>
            <w:vAlign w:val="center"/>
          </w:tcPr>
          <w:p w14:paraId="72D9EF4D"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2DBE4845"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ACCUUCGAGAUGGACGGAUGCUCAU</w:t>
            </w:r>
          </w:p>
        </w:tc>
      </w:tr>
      <w:tr w:rsidR="009E66DE" w:rsidRPr="00AB0B58" w14:paraId="39B5438E" w14:textId="77777777" w:rsidTr="00F80A8C">
        <w:tc>
          <w:tcPr>
            <w:tcW w:w="1932" w:type="dxa"/>
            <w:vMerge/>
            <w:shd w:val="clear" w:color="auto" w:fill="auto"/>
            <w:vAlign w:val="center"/>
          </w:tcPr>
          <w:p w14:paraId="01EB86B7"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439BCD0F"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4B16833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AUGAGCAUCCGUCCAUCUCGAAGGU</w:t>
            </w:r>
          </w:p>
        </w:tc>
      </w:tr>
      <w:tr w:rsidR="009E66DE" w:rsidRPr="00AB0B58" w14:paraId="47993957" w14:textId="77777777" w:rsidTr="00F80A8C">
        <w:tc>
          <w:tcPr>
            <w:tcW w:w="1932" w:type="dxa"/>
            <w:vMerge w:val="restart"/>
            <w:shd w:val="clear" w:color="auto" w:fill="auto"/>
            <w:vAlign w:val="center"/>
          </w:tcPr>
          <w:p w14:paraId="79ED5F3F"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SPTBN1</w:t>
            </w:r>
          </w:p>
        </w:tc>
        <w:tc>
          <w:tcPr>
            <w:tcW w:w="1804" w:type="dxa"/>
            <w:shd w:val="clear" w:color="auto" w:fill="auto"/>
            <w:vAlign w:val="center"/>
          </w:tcPr>
          <w:p w14:paraId="226BEABA"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21189858"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GGGGTCCCATGACATCGTG</w:t>
            </w:r>
          </w:p>
        </w:tc>
      </w:tr>
      <w:tr w:rsidR="009E66DE" w:rsidRPr="00AB0B58" w14:paraId="5A4E40FF" w14:textId="77777777" w:rsidTr="00F80A8C">
        <w:tc>
          <w:tcPr>
            <w:tcW w:w="1932" w:type="dxa"/>
            <w:vMerge/>
            <w:shd w:val="clear" w:color="auto" w:fill="auto"/>
            <w:vAlign w:val="center"/>
          </w:tcPr>
          <w:p w14:paraId="5C39A27C"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2A1B4DC2"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7482D5BA"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CCGGTGTTTGTGTATCAGTGC</w:t>
            </w:r>
          </w:p>
        </w:tc>
      </w:tr>
      <w:tr w:rsidR="009E66DE" w:rsidRPr="00AB0B58" w14:paraId="7C8200EE" w14:textId="77777777" w:rsidTr="00F80A8C">
        <w:tc>
          <w:tcPr>
            <w:tcW w:w="1932" w:type="dxa"/>
            <w:vMerge w:val="restart"/>
            <w:shd w:val="clear" w:color="auto" w:fill="auto"/>
            <w:vAlign w:val="center"/>
          </w:tcPr>
          <w:p w14:paraId="07205D5E"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GPT2</w:t>
            </w:r>
          </w:p>
        </w:tc>
        <w:tc>
          <w:tcPr>
            <w:tcW w:w="1804" w:type="dxa"/>
            <w:shd w:val="clear" w:color="auto" w:fill="auto"/>
            <w:vAlign w:val="center"/>
          </w:tcPr>
          <w:p w14:paraId="7FAA93BF"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4DF2F3D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GTGATGGCACTATGCACCTAC</w:t>
            </w:r>
          </w:p>
        </w:tc>
      </w:tr>
      <w:tr w:rsidR="009E66DE" w:rsidRPr="00AB0B58" w14:paraId="249573B5" w14:textId="77777777" w:rsidTr="00F80A8C">
        <w:tc>
          <w:tcPr>
            <w:tcW w:w="1932" w:type="dxa"/>
            <w:vMerge/>
            <w:shd w:val="clear" w:color="auto" w:fill="auto"/>
            <w:vAlign w:val="center"/>
          </w:tcPr>
          <w:p w14:paraId="226AABA4"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71476BBF"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5BFD6EED"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TTCACGGATGCAGTTGACACC</w:t>
            </w:r>
          </w:p>
        </w:tc>
      </w:tr>
      <w:tr w:rsidR="009E66DE" w:rsidRPr="00AB0B58" w14:paraId="03681A18" w14:textId="77777777" w:rsidTr="00F80A8C">
        <w:tc>
          <w:tcPr>
            <w:tcW w:w="1932" w:type="dxa"/>
            <w:vMerge w:val="restart"/>
            <w:shd w:val="clear" w:color="auto" w:fill="auto"/>
            <w:vAlign w:val="center"/>
          </w:tcPr>
          <w:p w14:paraId="1484B907"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PKM</w:t>
            </w:r>
          </w:p>
        </w:tc>
        <w:tc>
          <w:tcPr>
            <w:tcW w:w="1804" w:type="dxa"/>
            <w:shd w:val="clear" w:color="auto" w:fill="auto"/>
            <w:vAlign w:val="center"/>
          </w:tcPr>
          <w:p w14:paraId="42BB05F4"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1BE03543"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ATGTCGAAGCCCCATAGTGAA</w:t>
            </w:r>
          </w:p>
        </w:tc>
      </w:tr>
      <w:tr w:rsidR="009E66DE" w:rsidRPr="00AB0B58" w14:paraId="0713A8A5" w14:textId="77777777" w:rsidTr="00F80A8C">
        <w:tc>
          <w:tcPr>
            <w:tcW w:w="1932" w:type="dxa"/>
            <w:vMerge/>
            <w:shd w:val="clear" w:color="auto" w:fill="auto"/>
            <w:vAlign w:val="center"/>
          </w:tcPr>
          <w:p w14:paraId="4BBDBA86"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48A97C2C"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290D877E"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TGGGTGGTGAATCAATGTCCA</w:t>
            </w:r>
          </w:p>
        </w:tc>
      </w:tr>
      <w:tr w:rsidR="009E66DE" w:rsidRPr="00AB0B58" w14:paraId="5B321C46" w14:textId="77777777" w:rsidTr="00F80A8C">
        <w:tc>
          <w:tcPr>
            <w:tcW w:w="1932" w:type="dxa"/>
            <w:vMerge w:val="restart"/>
            <w:shd w:val="clear" w:color="auto" w:fill="auto"/>
            <w:vAlign w:val="center"/>
          </w:tcPr>
          <w:p w14:paraId="18397A71"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HKII</w:t>
            </w:r>
          </w:p>
        </w:tc>
        <w:tc>
          <w:tcPr>
            <w:tcW w:w="1804" w:type="dxa"/>
            <w:shd w:val="clear" w:color="auto" w:fill="auto"/>
            <w:vAlign w:val="center"/>
          </w:tcPr>
          <w:p w14:paraId="701AF2E0"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54E4738F"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GAGCCACCACTCACCCTACT</w:t>
            </w:r>
          </w:p>
        </w:tc>
      </w:tr>
      <w:tr w:rsidR="009E66DE" w:rsidRPr="00AB0B58" w14:paraId="0F7D1609" w14:textId="77777777" w:rsidTr="00F80A8C">
        <w:tc>
          <w:tcPr>
            <w:tcW w:w="1932" w:type="dxa"/>
            <w:vMerge/>
            <w:shd w:val="clear" w:color="auto" w:fill="auto"/>
            <w:vAlign w:val="center"/>
          </w:tcPr>
          <w:p w14:paraId="2C7395C7"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6945BFC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33DBBA0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CCAGGCATTCGGCAATGTG</w:t>
            </w:r>
          </w:p>
        </w:tc>
      </w:tr>
      <w:tr w:rsidR="009E66DE" w:rsidRPr="00AB0B58" w14:paraId="408C1513" w14:textId="77777777" w:rsidTr="00F80A8C">
        <w:tc>
          <w:tcPr>
            <w:tcW w:w="1932" w:type="dxa"/>
            <w:vMerge w:val="restart"/>
            <w:shd w:val="clear" w:color="auto" w:fill="auto"/>
            <w:vAlign w:val="center"/>
          </w:tcPr>
          <w:p w14:paraId="4CC3092C"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PFKFB3</w:t>
            </w:r>
          </w:p>
        </w:tc>
        <w:tc>
          <w:tcPr>
            <w:tcW w:w="1804" w:type="dxa"/>
            <w:shd w:val="clear" w:color="auto" w:fill="auto"/>
            <w:vAlign w:val="center"/>
          </w:tcPr>
          <w:p w14:paraId="7143B5C6"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4DA15022"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TTGGCGTCCCCACAAAAGT</w:t>
            </w:r>
          </w:p>
        </w:tc>
      </w:tr>
      <w:tr w:rsidR="009E66DE" w:rsidRPr="00AB0B58" w14:paraId="2477D0B1" w14:textId="77777777" w:rsidTr="00F80A8C">
        <w:tc>
          <w:tcPr>
            <w:tcW w:w="1932" w:type="dxa"/>
            <w:vMerge/>
            <w:shd w:val="clear" w:color="auto" w:fill="auto"/>
            <w:vAlign w:val="center"/>
          </w:tcPr>
          <w:p w14:paraId="591142E2"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063FAECC"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542181A7"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AGTTGTAGGAGCTGTACTGCTT</w:t>
            </w:r>
          </w:p>
        </w:tc>
      </w:tr>
      <w:tr w:rsidR="009E66DE" w:rsidRPr="00AB0B58" w14:paraId="556CB24B" w14:textId="77777777" w:rsidTr="00F80A8C">
        <w:tc>
          <w:tcPr>
            <w:tcW w:w="1932" w:type="dxa"/>
            <w:vMerge w:val="restart"/>
            <w:shd w:val="clear" w:color="auto" w:fill="auto"/>
            <w:vAlign w:val="center"/>
          </w:tcPr>
          <w:p w14:paraId="238DD4C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ENO2</w:t>
            </w:r>
          </w:p>
        </w:tc>
        <w:tc>
          <w:tcPr>
            <w:tcW w:w="1804" w:type="dxa"/>
            <w:shd w:val="clear" w:color="auto" w:fill="auto"/>
            <w:vAlign w:val="center"/>
          </w:tcPr>
          <w:p w14:paraId="132935F5"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2F07B30C"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AGCCTCTACGGGCATCTATGA</w:t>
            </w:r>
          </w:p>
        </w:tc>
      </w:tr>
      <w:tr w:rsidR="009E66DE" w:rsidRPr="00AB0B58" w14:paraId="62566F6D" w14:textId="77777777" w:rsidTr="00F80A8C">
        <w:tc>
          <w:tcPr>
            <w:tcW w:w="1932" w:type="dxa"/>
            <w:vMerge/>
            <w:shd w:val="clear" w:color="auto" w:fill="auto"/>
            <w:vAlign w:val="center"/>
          </w:tcPr>
          <w:p w14:paraId="4600C668"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26C8517C"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6DEAC362"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TTCTCAGTCCCATCCAACTCC</w:t>
            </w:r>
          </w:p>
        </w:tc>
      </w:tr>
      <w:tr w:rsidR="009E66DE" w:rsidRPr="00AB0B58" w14:paraId="393B13F4" w14:textId="77777777" w:rsidTr="00F80A8C">
        <w:tc>
          <w:tcPr>
            <w:tcW w:w="1932" w:type="dxa"/>
            <w:vMerge w:val="restart"/>
            <w:shd w:val="clear" w:color="auto" w:fill="auto"/>
            <w:vAlign w:val="center"/>
          </w:tcPr>
          <w:p w14:paraId="28FD86EF"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SLC2A1</w:t>
            </w:r>
          </w:p>
        </w:tc>
        <w:tc>
          <w:tcPr>
            <w:tcW w:w="1804" w:type="dxa"/>
            <w:shd w:val="clear" w:color="auto" w:fill="auto"/>
            <w:vAlign w:val="center"/>
          </w:tcPr>
          <w:p w14:paraId="212E4C9A"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083D7841"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GGCCAAGAGTGTGCTAAAGAA</w:t>
            </w:r>
          </w:p>
        </w:tc>
      </w:tr>
      <w:tr w:rsidR="009E66DE" w:rsidRPr="00AB0B58" w14:paraId="31A8F7FB" w14:textId="77777777" w:rsidTr="00F80A8C">
        <w:tc>
          <w:tcPr>
            <w:tcW w:w="1932" w:type="dxa"/>
            <w:vMerge/>
            <w:shd w:val="clear" w:color="auto" w:fill="auto"/>
            <w:vAlign w:val="center"/>
          </w:tcPr>
          <w:p w14:paraId="2A795647"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0BEFA515"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039CCE74"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ACAGCGTTGATGCCAGACAG</w:t>
            </w:r>
          </w:p>
        </w:tc>
      </w:tr>
      <w:tr w:rsidR="009E66DE" w:rsidRPr="00AB0B58" w14:paraId="7A740CA5" w14:textId="77777777" w:rsidTr="00F80A8C">
        <w:tc>
          <w:tcPr>
            <w:tcW w:w="1932" w:type="dxa"/>
            <w:vMerge w:val="restart"/>
            <w:shd w:val="clear" w:color="auto" w:fill="auto"/>
            <w:vAlign w:val="center"/>
          </w:tcPr>
          <w:p w14:paraId="3A3E28B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PFKP</w:t>
            </w:r>
          </w:p>
        </w:tc>
        <w:tc>
          <w:tcPr>
            <w:tcW w:w="1804" w:type="dxa"/>
            <w:shd w:val="clear" w:color="auto" w:fill="auto"/>
            <w:vAlign w:val="center"/>
          </w:tcPr>
          <w:p w14:paraId="7DAD71E2"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01F6F726"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GCATGGGTATCTACGTGGGG</w:t>
            </w:r>
          </w:p>
        </w:tc>
      </w:tr>
      <w:tr w:rsidR="009E66DE" w:rsidRPr="00AB0B58" w14:paraId="233A9D21" w14:textId="77777777" w:rsidTr="00F80A8C">
        <w:tc>
          <w:tcPr>
            <w:tcW w:w="1932" w:type="dxa"/>
            <w:vMerge/>
            <w:shd w:val="clear" w:color="auto" w:fill="auto"/>
            <w:vAlign w:val="center"/>
          </w:tcPr>
          <w:p w14:paraId="51161DB7"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587EC521"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125D600D"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CTCTGCGATGTTTGAGCCTC</w:t>
            </w:r>
          </w:p>
        </w:tc>
      </w:tr>
      <w:tr w:rsidR="009E66DE" w:rsidRPr="00AB0B58" w14:paraId="033BD240" w14:textId="77777777" w:rsidTr="00F80A8C">
        <w:tc>
          <w:tcPr>
            <w:tcW w:w="1932" w:type="dxa"/>
            <w:vMerge w:val="restart"/>
            <w:shd w:val="clear" w:color="auto" w:fill="auto"/>
            <w:vAlign w:val="center"/>
          </w:tcPr>
          <w:p w14:paraId="1AAABCA1"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LDHA</w:t>
            </w:r>
          </w:p>
        </w:tc>
        <w:tc>
          <w:tcPr>
            <w:tcW w:w="1804" w:type="dxa"/>
            <w:shd w:val="clear" w:color="auto" w:fill="auto"/>
            <w:vAlign w:val="center"/>
          </w:tcPr>
          <w:p w14:paraId="23132476"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306A90A5"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ATGGCAACTCTAAAGGATCAGC</w:t>
            </w:r>
          </w:p>
        </w:tc>
      </w:tr>
      <w:tr w:rsidR="009E66DE" w:rsidRPr="00AB0B58" w14:paraId="6E4C58EE" w14:textId="77777777" w:rsidTr="00F80A8C">
        <w:tc>
          <w:tcPr>
            <w:tcW w:w="1932" w:type="dxa"/>
            <w:vMerge/>
            <w:shd w:val="clear" w:color="auto" w:fill="auto"/>
            <w:vAlign w:val="center"/>
          </w:tcPr>
          <w:p w14:paraId="28FD9F98"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shd w:val="clear" w:color="auto" w:fill="auto"/>
            <w:vAlign w:val="center"/>
          </w:tcPr>
          <w:p w14:paraId="24E0427F"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shd w:val="clear" w:color="auto" w:fill="auto"/>
            <w:vAlign w:val="center"/>
          </w:tcPr>
          <w:p w14:paraId="4A63B610"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CCAACCCCAACAACTGTAATCT</w:t>
            </w:r>
          </w:p>
        </w:tc>
      </w:tr>
      <w:tr w:rsidR="009E66DE" w:rsidRPr="00AB0B58" w14:paraId="636C75AF" w14:textId="77777777" w:rsidTr="00F80A8C">
        <w:tc>
          <w:tcPr>
            <w:tcW w:w="1932" w:type="dxa"/>
            <w:vMerge w:val="restart"/>
            <w:shd w:val="clear" w:color="auto" w:fill="auto"/>
            <w:vAlign w:val="center"/>
          </w:tcPr>
          <w:p w14:paraId="01FC897E"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β-actin</w:t>
            </w:r>
          </w:p>
        </w:tc>
        <w:tc>
          <w:tcPr>
            <w:tcW w:w="1804" w:type="dxa"/>
            <w:shd w:val="clear" w:color="auto" w:fill="auto"/>
            <w:vAlign w:val="center"/>
          </w:tcPr>
          <w:p w14:paraId="503350F5"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Forward</w:t>
            </w:r>
          </w:p>
        </w:tc>
        <w:tc>
          <w:tcPr>
            <w:tcW w:w="4564" w:type="dxa"/>
            <w:shd w:val="clear" w:color="auto" w:fill="auto"/>
            <w:vAlign w:val="center"/>
          </w:tcPr>
          <w:p w14:paraId="5BB5AAF6"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ATGACTTAGTTGCGTTACACC</w:t>
            </w:r>
          </w:p>
        </w:tc>
      </w:tr>
      <w:tr w:rsidR="009E66DE" w:rsidRPr="00AB0B58" w14:paraId="72400B9F" w14:textId="77777777" w:rsidTr="00F80A8C">
        <w:tc>
          <w:tcPr>
            <w:tcW w:w="1932" w:type="dxa"/>
            <w:vMerge/>
            <w:tcBorders>
              <w:bottom w:val="single" w:sz="4" w:space="0" w:color="auto"/>
            </w:tcBorders>
            <w:shd w:val="clear" w:color="auto" w:fill="auto"/>
            <w:vAlign w:val="center"/>
          </w:tcPr>
          <w:p w14:paraId="52EB9E01" w14:textId="77777777" w:rsidR="009E66DE" w:rsidRPr="00AB0B58" w:rsidRDefault="009E66DE" w:rsidP="00F80A8C">
            <w:pPr>
              <w:snapToGrid w:val="0"/>
              <w:spacing w:line="360" w:lineRule="auto"/>
              <w:contextualSpacing/>
              <w:jc w:val="center"/>
              <w:rPr>
                <w:rFonts w:ascii="Arial" w:hAnsi="Arial" w:cs="Arial"/>
                <w:sz w:val="24"/>
              </w:rPr>
            </w:pPr>
          </w:p>
        </w:tc>
        <w:tc>
          <w:tcPr>
            <w:tcW w:w="1804" w:type="dxa"/>
            <w:tcBorders>
              <w:bottom w:val="single" w:sz="4" w:space="0" w:color="auto"/>
            </w:tcBorders>
            <w:shd w:val="clear" w:color="auto" w:fill="auto"/>
            <w:vAlign w:val="center"/>
          </w:tcPr>
          <w:p w14:paraId="341967A1"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Reverse</w:t>
            </w:r>
          </w:p>
        </w:tc>
        <w:tc>
          <w:tcPr>
            <w:tcW w:w="4564" w:type="dxa"/>
            <w:tcBorders>
              <w:bottom w:val="single" w:sz="4" w:space="0" w:color="auto"/>
            </w:tcBorders>
            <w:shd w:val="clear" w:color="auto" w:fill="auto"/>
            <w:vAlign w:val="center"/>
          </w:tcPr>
          <w:p w14:paraId="4DA9481B" w14:textId="77777777" w:rsidR="009E66DE" w:rsidRPr="00AB0B58" w:rsidRDefault="009E66DE" w:rsidP="00F80A8C">
            <w:pPr>
              <w:snapToGrid w:val="0"/>
              <w:spacing w:line="360" w:lineRule="auto"/>
              <w:contextualSpacing/>
              <w:jc w:val="center"/>
              <w:rPr>
                <w:rFonts w:ascii="Arial" w:hAnsi="Arial" w:cs="Arial"/>
                <w:sz w:val="24"/>
              </w:rPr>
            </w:pPr>
            <w:r w:rsidRPr="00AB0B58">
              <w:rPr>
                <w:rFonts w:ascii="Arial" w:hAnsi="Arial" w:cs="Arial"/>
                <w:sz w:val="24"/>
              </w:rPr>
              <w:t>GACTTCCTGTAACAACGCATC</w:t>
            </w:r>
          </w:p>
        </w:tc>
      </w:tr>
    </w:tbl>
    <w:p w14:paraId="1E0ACE79" w14:textId="77777777" w:rsidR="009E66DE" w:rsidRPr="00AB0B58" w:rsidRDefault="009E66DE" w:rsidP="009E66DE">
      <w:pPr>
        <w:rPr>
          <w:rFonts w:ascii="Arial" w:hAnsi="Arial" w:cs="Arial"/>
          <w:sz w:val="24"/>
        </w:rPr>
      </w:pPr>
    </w:p>
    <w:p w14:paraId="019FAEA8" w14:textId="77777777" w:rsidR="009E66DE" w:rsidRPr="009E66DE" w:rsidRDefault="009E66DE" w:rsidP="005E58D5">
      <w:pPr>
        <w:snapToGrid w:val="0"/>
        <w:spacing w:before="240" w:line="360" w:lineRule="auto"/>
        <w:contextualSpacing/>
        <w:rPr>
          <w:rFonts w:ascii="Arial" w:hAnsi="Arial" w:cs="Arial"/>
          <w:bCs/>
          <w:sz w:val="24"/>
          <w:szCs w:val="24"/>
        </w:rPr>
      </w:pPr>
    </w:p>
    <w:sectPr w:rsidR="009E66DE" w:rsidRPr="009E66D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9C01E" w14:textId="77777777" w:rsidR="00B07A1C" w:rsidRDefault="00B07A1C" w:rsidP="00453FD0">
      <w:r>
        <w:separator/>
      </w:r>
    </w:p>
  </w:endnote>
  <w:endnote w:type="continuationSeparator" w:id="0">
    <w:p w14:paraId="08CB4D55" w14:textId="77777777" w:rsidR="00B07A1C" w:rsidRDefault="00B07A1C" w:rsidP="00453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703B6" w14:textId="77777777" w:rsidR="00B07A1C" w:rsidRDefault="00B07A1C" w:rsidP="00453FD0">
      <w:r>
        <w:separator/>
      </w:r>
    </w:p>
  </w:footnote>
  <w:footnote w:type="continuationSeparator" w:id="0">
    <w:p w14:paraId="1AA12079" w14:textId="77777777" w:rsidR="00B07A1C" w:rsidRDefault="00B07A1C" w:rsidP="00453F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F234B"/>
    <w:multiLevelType w:val="hybridMultilevel"/>
    <w:tmpl w:val="AAF641F0"/>
    <w:lvl w:ilvl="0" w:tplc="51686E2A">
      <w:start w:val="1"/>
      <w:numFmt w:val="upperLetter"/>
      <w:lvlText w:val="(%1)"/>
      <w:lvlJc w:val="left"/>
      <w:pPr>
        <w:ind w:left="375" w:hanging="37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9C4"/>
    <w:rsid w:val="00080ABE"/>
    <w:rsid w:val="00196C24"/>
    <w:rsid w:val="00210B9E"/>
    <w:rsid w:val="00296A1B"/>
    <w:rsid w:val="003D3839"/>
    <w:rsid w:val="003E0C43"/>
    <w:rsid w:val="00431ECD"/>
    <w:rsid w:val="00453FD0"/>
    <w:rsid w:val="004F0E52"/>
    <w:rsid w:val="005459C4"/>
    <w:rsid w:val="005E58D5"/>
    <w:rsid w:val="00855331"/>
    <w:rsid w:val="009B3F71"/>
    <w:rsid w:val="009E2B53"/>
    <w:rsid w:val="009E66DE"/>
    <w:rsid w:val="009F7BEF"/>
    <w:rsid w:val="00A5545A"/>
    <w:rsid w:val="00B07A1C"/>
    <w:rsid w:val="00B53770"/>
    <w:rsid w:val="00BE6752"/>
    <w:rsid w:val="00C2229F"/>
    <w:rsid w:val="00C30A11"/>
    <w:rsid w:val="00C66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3B874B"/>
  <w15:chartTrackingRefBased/>
  <w15:docId w15:val="{ED3138CE-F516-4F7F-A989-308A5195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59C4"/>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8D5"/>
    <w:pPr>
      <w:ind w:firstLineChars="200" w:firstLine="420"/>
    </w:pPr>
  </w:style>
  <w:style w:type="paragraph" w:styleId="a4">
    <w:name w:val="header"/>
    <w:basedOn w:val="a"/>
    <w:link w:val="a5"/>
    <w:uiPriority w:val="99"/>
    <w:unhideWhenUsed/>
    <w:rsid w:val="00453FD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53FD0"/>
    <w:rPr>
      <w:rFonts w:ascii="Times New Roman" w:eastAsia="宋体" w:hAnsi="Times New Roman" w:cs="Times New Roman"/>
      <w:sz w:val="18"/>
      <w:szCs w:val="18"/>
    </w:rPr>
  </w:style>
  <w:style w:type="paragraph" w:styleId="a6">
    <w:name w:val="footer"/>
    <w:basedOn w:val="a"/>
    <w:link w:val="a7"/>
    <w:uiPriority w:val="99"/>
    <w:unhideWhenUsed/>
    <w:rsid w:val="00453FD0"/>
    <w:pPr>
      <w:tabs>
        <w:tab w:val="center" w:pos="4153"/>
        <w:tab w:val="right" w:pos="8306"/>
      </w:tabs>
      <w:snapToGrid w:val="0"/>
      <w:jc w:val="left"/>
    </w:pPr>
    <w:rPr>
      <w:sz w:val="18"/>
      <w:szCs w:val="18"/>
    </w:rPr>
  </w:style>
  <w:style w:type="character" w:customStyle="1" w:styleId="a7">
    <w:name w:val="页脚 字符"/>
    <w:basedOn w:val="a0"/>
    <w:link w:val="a6"/>
    <w:uiPriority w:val="99"/>
    <w:rsid w:val="00453FD0"/>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736</Words>
  <Characters>4198</Characters>
  <Application>Microsoft Office Word</Application>
  <DocSecurity>0</DocSecurity>
  <Lines>34</Lines>
  <Paragraphs>9</Paragraphs>
  <ScaleCrop>false</ScaleCrop>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 Jia jin</dc:creator>
  <cp:keywords/>
  <dc:description/>
  <cp:lastModifiedBy>Wu Jia jin</cp:lastModifiedBy>
  <cp:revision>14</cp:revision>
  <dcterms:created xsi:type="dcterms:W3CDTF">2022-08-04T09:11:00Z</dcterms:created>
  <dcterms:modified xsi:type="dcterms:W3CDTF">2022-12-15T14:53:00Z</dcterms:modified>
</cp:coreProperties>
</file>