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B09" w:rsidRDefault="007A6814" w:rsidP="00C91B09">
      <w:pPr>
        <w:pStyle w:val="Heading2"/>
        <w:spacing w:line="480" w:lineRule="auto"/>
      </w:pPr>
      <w:r>
        <w:t>Additional file 1</w:t>
      </w:r>
    </w:p>
    <w:p w:rsidR="00C91B09" w:rsidRDefault="00C91B09" w:rsidP="00C91B09">
      <w:pPr>
        <w:pStyle w:val="Heading3"/>
        <w:rPr>
          <w:b w:val="0"/>
        </w:rPr>
      </w:pPr>
      <w:bookmarkStart w:id="0" w:name="_xaxfy1dq0z03" w:colFirst="0" w:colLast="0"/>
      <w:bookmarkEnd w:id="0"/>
      <w:r>
        <w:t xml:space="preserve">Figure S1. Effect of patient ancestry on </w:t>
      </w:r>
      <w:proofErr w:type="spellStart"/>
      <w:r>
        <w:t>lc</w:t>
      </w:r>
      <w:proofErr w:type="spellEnd"/>
      <w:r>
        <w:t>-WGS imputation concordance between blood and tissue.</w:t>
      </w:r>
      <w:r>
        <w:rPr>
          <w:b w:val="0"/>
        </w:rPr>
        <w:t xml:space="preserve"> Comparison of concordance between blood and tissue-based on ancestry background of the patient, with White ancestry in light green and Black or Asian ancestry in dark green. Pearson correlation squared (r</w:t>
      </w:r>
      <w:r>
        <w:rPr>
          <w:b w:val="0"/>
          <w:vertAlign w:val="superscript"/>
        </w:rPr>
        <w:t>2</w:t>
      </w:r>
      <w:r>
        <w:rPr>
          <w:b w:val="0"/>
        </w:rPr>
        <w:t xml:space="preserve">) is for all aggregated SNPs within a MAF bin. When available, 95% confidence intervals are shaded around the line based on 1000 bootstrap iterations. </w:t>
      </w:r>
      <w:r>
        <w:rPr>
          <w:noProof/>
          <w:lang w:val="en-US"/>
        </w:rPr>
        <w:drawing>
          <wp:anchor distT="114300" distB="114300" distL="114300" distR="114300" simplePos="0" relativeHeight="251659264" behindDoc="0" locked="0" layoutInCell="1" hidden="0" allowOverlap="1" wp14:anchorId="52375795" wp14:editId="3027C017">
            <wp:simplePos x="0" y="0"/>
            <wp:positionH relativeFrom="column">
              <wp:posOffset>971550</wp:posOffset>
            </wp:positionH>
            <wp:positionV relativeFrom="paragraph">
              <wp:posOffset>257175</wp:posOffset>
            </wp:positionV>
            <wp:extent cx="3881438" cy="3403348"/>
            <wp:effectExtent l="0" t="0" r="0" b="0"/>
            <wp:wrapTopAndBottom distT="114300" distB="114300"/>
            <wp:docPr id="1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5"/>
                    <a:srcRect l="7051" t="15834" r="16185" b="11876"/>
                    <a:stretch>
                      <a:fillRect/>
                    </a:stretch>
                  </pic:blipFill>
                  <pic:spPr>
                    <a:xfrm>
                      <a:off x="0" y="0"/>
                      <a:ext cx="3881438" cy="3403348"/>
                    </a:xfrm>
                    <a:prstGeom prst="rect">
                      <a:avLst/>
                    </a:prstGeom>
                    <a:ln/>
                  </pic:spPr>
                </pic:pic>
              </a:graphicData>
            </a:graphic>
          </wp:anchor>
        </w:drawing>
      </w:r>
    </w:p>
    <w:p w:rsidR="00C91B09" w:rsidRDefault="00C91B09" w:rsidP="00C91B09">
      <w:pPr>
        <w:pStyle w:val="Heading3"/>
      </w:pPr>
      <w:bookmarkStart w:id="1" w:name="_o246yjpdmlgi" w:colFirst="0" w:colLast="0"/>
      <w:bookmarkEnd w:id="1"/>
    </w:p>
    <w:p w:rsidR="00C91B09" w:rsidRDefault="00C91B09" w:rsidP="00C91B09">
      <w:pPr>
        <w:pStyle w:val="Heading3"/>
      </w:pPr>
      <w:bookmarkStart w:id="2" w:name="_ccs5kydautm3" w:colFirst="0" w:colLast="0"/>
      <w:bookmarkEnd w:id="2"/>
    </w:p>
    <w:p w:rsidR="00C91B09" w:rsidRDefault="00C91B09" w:rsidP="00C91B09">
      <w:pPr>
        <w:pStyle w:val="Heading3"/>
      </w:pPr>
      <w:bookmarkStart w:id="3" w:name="_vu1rotkzs0sg" w:colFirst="0" w:colLast="0"/>
      <w:bookmarkEnd w:id="3"/>
    </w:p>
    <w:p w:rsidR="00C91B09" w:rsidRDefault="00C91B09" w:rsidP="00C91B09">
      <w:pPr>
        <w:pStyle w:val="Heading3"/>
      </w:pPr>
      <w:bookmarkStart w:id="4" w:name="_qjy6rkttmy7f" w:colFirst="0" w:colLast="0"/>
      <w:bookmarkEnd w:id="4"/>
    </w:p>
    <w:p w:rsidR="00C91B09" w:rsidRDefault="00C91B09" w:rsidP="00C91B09">
      <w:pPr>
        <w:pStyle w:val="Heading3"/>
      </w:pPr>
      <w:bookmarkStart w:id="5" w:name="_e931b5rqbtin" w:colFirst="0" w:colLast="0"/>
      <w:bookmarkEnd w:id="5"/>
    </w:p>
    <w:p w:rsidR="00C91B09" w:rsidRDefault="00C91B09" w:rsidP="00C91B09">
      <w:pPr>
        <w:pStyle w:val="Heading3"/>
      </w:pPr>
      <w:bookmarkStart w:id="6" w:name="_dqmce4isilyx" w:colFirst="0" w:colLast="0"/>
      <w:bookmarkEnd w:id="6"/>
    </w:p>
    <w:p w:rsidR="00C91B09" w:rsidRDefault="00C91B09" w:rsidP="00C91B09">
      <w:pPr>
        <w:pStyle w:val="Heading3"/>
        <w:rPr>
          <w:b w:val="0"/>
        </w:rPr>
      </w:pPr>
      <w:bookmarkStart w:id="7" w:name="_v64uafb7z82a" w:colFirst="0" w:colLast="0"/>
      <w:bookmarkEnd w:id="7"/>
      <w:r>
        <w:lastRenderedPageBreak/>
        <w:t xml:space="preserve">Figure S2. Effect of coverage-related features on </w:t>
      </w:r>
      <w:proofErr w:type="spellStart"/>
      <w:r>
        <w:t>lc</w:t>
      </w:r>
      <w:proofErr w:type="spellEnd"/>
      <w:r>
        <w:t>-WGS imputation concordance between blood and tissue. (</w:t>
      </w:r>
      <w:proofErr w:type="spellStart"/>
      <w:r>
        <w:t>a,b</w:t>
      </w:r>
      <w:proofErr w:type="spellEnd"/>
      <w:r>
        <w:t>)</w:t>
      </w:r>
      <w:r>
        <w:rPr>
          <w:b w:val="0"/>
        </w:rPr>
        <w:t xml:space="preserve"> Comparison of concordance as measured by squared Pearson correlation (y-axis) between blood and tissue as a function of MAF (x-axis) based on mean sequencing genome coverage depth of blood (a) or tissue (b). </w:t>
      </w:r>
      <w:r>
        <w:rPr>
          <w:noProof/>
          <w:lang w:val="en-US"/>
        </w:rPr>
        <w:drawing>
          <wp:anchor distT="114300" distB="114300" distL="114300" distR="114300" simplePos="0" relativeHeight="251660288" behindDoc="0" locked="0" layoutInCell="1" hidden="0" allowOverlap="1" wp14:anchorId="00010322" wp14:editId="41E1DB7C">
            <wp:simplePos x="0" y="0"/>
            <wp:positionH relativeFrom="column">
              <wp:posOffset>-85724</wp:posOffset>
            </wp:positionH>
            <wp:positionV relativeFrom="paragraph">
              <wp:posOffset>114300</wp:posOffset>
            </wp:positionV>
            <wp:extent cx="5943600" cy="2466975"/>
            <wp:effectExtent l="0" t="0" r="0" b="0"/>
            <wp:wrapSquare wrapText="bothSides" distT="114300" distB="114300" distL="114300" distR="11430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t="206" b="48607"/>
                    <a:stretch>
                      <a:fillRect/>
                    </a:stretch>
                  </pic:blipFill>
                  <pic:spPr>
                    <a:xfrm>
                      <a:off x="0" y="0"/>
                      <a:ext cx="5943600" cy="2466975"/>
                    </a:xfrm>
                    <a:prstGeom prst="rect">
                      <a:avLst/>
                    </a:prstGeom>
                    <a:ln/>
                  </pic:spPr>
                </pic:pic>
              </a:graphicData>
            </a:graphic>
          </wp:anchor>
        </w:drawing>
      </w:r>
    </w:p>
    <w:p w:rsidR="00C91B09" w:rsidRDefault="00C91B09" w:rsidP="00C91B09">
      <w:r>
        <w:br w:type="page"/>
      </w:r>
    </w:p>
    <w:p w:rsidR="00C91B09" w:rsidRDefault="00C91B09" w:rsidP="00C91B09">
      <w:pPr>
        <w:pStyle w:val="Heading3"/>
        <w:rPr>
          <w:b w:val="0"/>
        </w:rPr>
      </w:pPr>
      <w:bookmarkStart w:id="8" w:name="_ira65lfahv2n" w:colFirst="0" w:colLast="0"/>
      <w:bookmarkEnd w:id="8"/>
      <w:r>
        <w:rPr>
          <w:noProof/>
          <w:lang w:val="en-US"/>
        </w:rPr>
        <w:lastRenderedPageBreak/>
        <w:drawing>
          <wp:inline distT="114300" distB="114300" distL="114300" distR="114300" wp14:anchorId="10ADFD5E" wp14:editId="7DDDADE6">
            <wp:extent cx="6008608" cy="3081338"/>
            <wp:effectExtent l="0" t="0" r="0" b="0"/>
            <wp:docPr id="1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l="59" r="59"/>
                    <a:stretch>
                      <a:fillRect/>
                    </a:stretch>
                  </pic:blipFill>
                  <pic:spPr>
                    <a:xfrm>
                      <a:off x="0" y="0"/>
                      <a:ext cx="6008608" cy="3081338"/>
                    </a:xfrm>
                    <a:prstGeom prst="rect">
                      <a:avLst/>
                    </a:prstGeom>
                    <a:ln/>
                  </pic:spPr>
                </pic:pic>
              </a:graphicData>
            </a:graphic>
          </wp:inline>
        </w:drawing>
      </w:r>
      <w:r>
        <w:t xml:space="preserve">Figure S3. Effect of coverage-related features on the error in non-cancer PRS calculation. </w:t>
      </w:r>
      <w:r>
        <w:rPr>
          <w:b w:val="0"/>
        </w:rPr>
        <w:t xml:space="preserve">(a-b) PRS error (y-axis), as measured by the absolute difference between blood and tissue PRS across all non-cancer PRS, as a function of (a) fraction of genome in a copy number loss or (b) mean tissue/tumor genome coverage (x-axis). The 95% confidence intervals are shaded around the line based on 1000 bootstrap iterations. Spearman correlation coefficient, r, and corresponding p-value are indicated as text in the upper right.  </w:t>
      </w:r>
    </w:p>
    <w:p w:rsidR="00C91B09" w:rsidRDefault="00C91B09" w:rsidP="00C91B09">
      <w:pPr>
        <w:pStyle w:val="Heading3"/>
      </w:pPr>
      <w:bookmarkStart w:id="9" w:name="_c8uu0x7rnkgc" w:colFirst="0" w:colLast="0"/>
      <w:bookmarkEnd w:id="9"/>
    </w:p>
    <w:p w:rsidR="00C91B09" w:rsidRDefault="00C91B09" w:rsidP="00C91B09">
      <w:pPr>
        <w:pStyle w:val="Heading3"/>
      </w:pPr>
      <w:bookmarkStart w:id="10" w:name="_ukf96hhbrx84" w:colFirst="0" w:colLast="0"/>
      <w:bookmarkEnd w:id="10"/>
    </w:p>
    <w:p w:rsidR="00C91B09" w:rsidRDefault="00C91B09" w:rsidP="00C91B09">
      <w:pPr>
        <w:pStyle w:val="Heading3"/>
      </w:pPr>
      <w:bookmarkStart w:id="11" w:name="_kdoz6lci0n6u" w:colFirst="0" w:colLast="0"/>
      <w:bookmarkEnd w:id="11"/>
    </w:p>
    <w:p w:rsidR="00C91B09" w:rsidRDefault="00C91B09" w:rsidP="00C91B09">
      <w:pPr>
        <w:pStyle w:val="Heading3"/>
      </w:pPr>
      <w:bookmarkStart w:id="12" w:name="_1bckft2a6kje" w:colFirst="0" w:colLast="0"/>
      <w:bookmarkEnd w:id="12"/>
    </w:p>
    <w:p w:rsidR="00C91B09" w:rsidRDefault="00C91B09" w:rsidP="00C91B09">
      <w:pPr>
        <w:pStyle w:val="Heading3"/>
      </w:pPr>
      <w:bookmarkStart w:id="13" w:name="_p38bim7og9s9" w:colFirst="0" w:colLast="0"/>
      <w:bookmarkEnd w:id="13"/>
    </w:p>
    <w:p w:rsidR="00C91B09" w:rsidRDefault="00C91B09" w:rsidP="00C91B09">
      <w:pPr>
        <w:pStyle w:val="Heading3"/>
      </w:pPr>
      <w:bookmarkStart w:id="14" w:name="_tpx1bjr4z1er" w:colFirst="0" w:colLast="0"/>
      <w:bookmarkEnd w:id="14"/>
    </w:p>
    <w:p w:rsidR="00C91B09" w:rsidRDefault="00C91B09" w:rsidP="00C91B09">
      <w:pPr>
        <w:pStyle w:val="Heading3"/>
      </w:pPr>
      <w:bookmarkStart w:id="15" w:name="_33w98xz7ed6g" w:colFirst="0" w:colLast="0"/>
      <w:bookmarkEnd w:id="15"/>
    </w:p>
    <w:p w:rsidR="00C91B09" w:rsidRDefault="00C91B09" w:rsidP="00C91B09">
      <w:pPr>
        <w:pStyle w:val="Heading3"/>
      </w:pPr>
      <w:bookmarkStart w:id="16" w:name="_ksmdwq8wi61y" w:colFirst="0" w:colLast="0"/>
      <w:bookmarkEnd w:id="16"/>
    </w:p>
    <w:p w:rsidR="00C91B09" w:rsidRDefault="00C91B09" w:rsidP="00C91B09">
      <w:pPr>
        <w:pStyle w:val="Heading3"/>
        <w:jc w:val="center"/>
      </w:pPr>
      <w:bookmarkStart w:id="17" w:name="_p3ydequbn7du" w:colFirst="0" w:colLast="0"/>
      <w:bookmarkEnd w:id="17"/>
      <w:r>
        <w:rPr>
          <w:noProof/>
          <w:lang w:val="en-US"/>
        </w:rPr>
        <w:lastRenderedPageBreak/>
        <w:drawing>
          <wp:inline distT="114300" distB="114300" distL="114300" distR="114300" wp14:anchorId="3C655DF2" wp14:editId="17D1DD77">
            <wp:extent cx="2482393" cy="3829050"/>
            <wp:effectExtent l="0" t="0" r="0" b="0"/>
            <wp:docPr id="1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t="-1115" b="3549"/>
                    <a:stretch>
                      <a:fillRect/>
                    </a:stretch>
                  </pic:blipFill>
                  <pic:spPr>
                    <a:xfrm>
                      <a:off x="0" y="0"/>
                      <a:ext cx="2482393" cy="3829050"/>
                    </a:xfrm>
                    <a:prstGeom prst="rect">
                      <a:avLst/>
                    </a:prstGeom>
                    <a:ln/>
                  </pic:spPr>
                </pic:pic>
              </a:graphicData>
            </a:graphic>
          </wp:inline>
        </w:drawing>
      </w:r>
    </w:p>
    <w:p w:rsidR="00C91B09" w:rsidRDefault="00C91B09" w:rsidP="00C91B09">
      <w:pPr>
        <w:pStyle w:val="Heading3"/>
        <w:rPr>
          <w:b w:val="0"/>
        </w:rPr>
      </w:pPr>
      <w:bookmarkStart w:id="18" w:name="_vxkkrcc7zhvz" w:colFirst="0" w:colLast="0"/>
      <w:bookmarkEnd w:id="18"/>
      <w:r>
        <w:t xml:space="preserve">Figure S4. Cox proportional hazard models measuring BCSE outcome in DCIS patients for 6 breast cancer PRS. </w:t>
      </w:r>
      <w:r>
        <w:rPr>
          <w:b w:val="0"/>
        </w:rPr>
        <w:t xml:space="preserve">Forest plot representation of hazard ratios (square) and 95% confidence intervals (error-bars), for each normalized breast cancer PRS and covariates for DCIS BCSE risk including DCIS nuclear grade (Grade), age of the patient at diagnosis (Age), the size of the DCIS lesion (Size), and whether the ancestry of the individual was European (EUR). The dotted line represents a hazard ratio of 1, indicating no effect on BCSE risk, &gt;1 indicating increased, and &lt;1 indicating decreased risk. </w:t>
      </w:r>
    </w:p>
    <w:p w:rsidR="00C91B09" w:rsidRDefault="00C91B09" w:rsidP="00C91B09">
      <w:pPr>
        <w:pStyle w:val="Heading3"/>
      </w:pPr>
      <w:bookmarkStart w:id="19" w:name="_pc7pre9u4y9c" w:colFirst="0" w:colLast="0"/>
      <w:bookmarkEnd w:id="19"/>
    </w:p>
    <w:p w:rsidR="00C91B09" w:rsidRDefault="00C91B09" w:rsidP="00C91B09">
      <w:pPr>
        <w:pStyle w:val="Heading3"/>
      </w:pPr>
      <w:bookmarkStart w:id="20" w:name="_5yel187klvlc" w:colFirst="0" w:colLast="0"/>
      <w:bookmarkEnd w:id="20"/>
      <w:r>
        <w:rPr>
          <w:noProof/>
          <w:lang w:val="en-US"/>
        </w:rPr>
        <w:lastRenderedPageBreak/>
        <w:drawing>
          <wp:inline distT="114300" distB="114300" distL="114300" distR="114300" wp14:anchorId="6929DBD2" wp14:editId="05E2ECF8">
            <wp:extent cx="5943600" cy="3352800"/>
            <wp:effectExtent l="0" t="0" r="0" b="0"/>
            <wp:docPr id="1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l="56" r="56"/>
                    <a:stretch>
                      <a:fillRect/>
                    </a:stretch>
                  </pic:blipFill>
                  <pic:spPr>
                    <a:xfrm>
                      <a:off x="0" y="0"/>
                      <a:ext cx="5943600" cy="3352800"/>
                    </a:xfrm>
                    <a:prstGeom prst="rect">
                      <a:avLst/>
                    </a:prstGeom>
                    <a:ln/>
                  </pic:spPr>
                </pic:pic>
              </a:graphicData>
            </a:graphic>
          </wp:inline>
        </w:drawing>
      </w:r>
      <w:r>
        <w:t xml:space="preserve">Figure S5. Assessment of 2 field HLA-typing accuracy from </w:t>
      </w:r>
      <w:proofErr w:type="spellStart"/>
      <w:r>
        <w:t>lc</w:t>
      </w:r>
      <w:proofErr w:type="spellEnd"/>
      <w:r>
        <w:t xml:space="preserve">-WGS. </w:t>
      </w:r>
      <w:r>
        <w:rPr>
          <w:b w:val="0"/>
        </w:rPr>
        <w:t>Number of concordant HLA alleles (0: white, 1: grey:, 2: black) between haplotypes from the clinical gold standard and those imputed using QUILT-HLA for class I (A, B, C) and class II (DQB1 and DRB1) HLA genes (rows) using blood DNA of 14 patients.</w:t>
      </w:r>
    </w:p>
    <w:p w:rsidR="00C91B09" w:rsidRDefault="00C91B09" w:rsidP="00C91B09">
      <w:pPr>
        <w:pStyle w:val="Heading3"/>
      </w:pPr>
      <w:bookmarkStart w:id="21" w:name="_mhnvuncfj9c9" w:colFirst="0" w:colLast="0"/>
      <w:bookmarkEnd w:id="21"/>
      <w:r>
        <w:t xml:space="preserve"> </w:t>
      </w:r>
    </w:p>
    <w:p w:rsidR="00C91B09" w:rsidRDefault="00C91B09" w:rsidP="00C91B09">
      <w:pPr>
        <w:pStyle w:val="Heading3"/>
      </w:pPr>
      <w:bookmarkStart w:id="22" w:name="_yylyyfqxvela" w:colFirst="0" w:colLast="0"/>
      <w:bookmarkEnd w:id="22"/>
      <w:r>
        <w:br w:type="page"/>
      </w:r>
    </w:p>
    <w:p w:rsidR="00C91B09" w:rsidRDefault="00C91B09" w:rsidP="00C91B09">
      <w:pPr>
        <w:pStyle w:val="Heading3"/>
      </w:pPr>
      <w:bookmarkStart w:id="23" w:name="_rhxjwmp3t96u" w:colFirst="0" w:colLast="0"/>
      <w:bookmarkEnd w:id="23"/>
      <w:r>
        <w:lastRenderedPageBreak/>
        <w:t>Table S1. Description of the studied samples.</w:t>
      </w:r>
    </w:p>
    <w:tbl>
      <w:tblPr>
        <w:tblW w:w="84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9"/>
        <w:gridCol w:w="1021"/>
        <w:gridCol w:w="1152"/>
        <w:gridCol w:w="1215"/>
        <w:gridCol w:w="990"/>
        <w:gridCol w:w="1020"/>
        <w:gridCol w:w="1008"/>
        <w:gridCol w:w="1008"/>
      </w:tblGrid>
      <w:tr w:rsidR="00C91B09" w:rsidTr="00A44585">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b/>
                <w:sz w:val="20"/>
                <w:szCs w:val="20"/>
              </w:rPr>
            </w:pPr>
            <w:r>
              <w:rPr>
                <w:b/>
                <w:sz w:val="20"/>
                <w:szCs w:val="20"/>
              </w:rPr>
              <w:t>Patient</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b/>
                <w:sz w:val="20"/>
                <w:szCs w:val="20"/>
              </w:rPr>
            </w:pPr>
            <w:r>
              <w:rPr>
                <w:b/>
                <w:sz w:val="20"/>
                <w:szCs w:val="20"/>
              </w:rPr>
              <w:t>DNA source</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b/>
                <w:sz w:val="20"/>
                <w:szCs w:val="20"/>
              </w:rPr>
            </w:pPr>
            <w:r>
              <w:rPr>
                <w:b/>
                <w:sz w:val="20"/>
                <w:szCs w:val="20"/>
              </w:rPr>
              <w:t>Ancestry</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b/>
                <w:sz w:val="20"/>
                <w:szCs w:val="20"/>
              </w:rPr>
            </w:pPr>
            <w:r>
              <w:rPr>
                <w:b/>
                <w:sz w:val="20"/>
                <w:szCs w:val="20"/>
              </w:rPr>
              <w:t>Input DNA (ng)</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b/>
                <w:sz w:val="20"/>
                <w:szCs w:val="20"/>
              </w:rPr>
            </w:pPr>
            <w:r>
              <w:rPr>
                <w:b/>
                <w:sz w:val="20"/>
                <w:szCs w:val="20"/>
              </w:rPr>
              <w:t>Coverage</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b/>
                <w:sz w:val="20"/>
                <w:szCs w:val="20"/>
              </w:rPr>
            </w:pPr>
            <w:r>
              <w:rPr>
                <w:b/>
                <w:sz w:val="20"/>
                <w:szCs w:val="20"/>
              </w:rPr>
              <w:t>CNA burden</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b/>
                <w:sz w:val="20"/>
                <w:szCs w:val="20"/>
              </w:rPr>
            </w:pPr>
            <w:r>
              <w:rPr>
                <w:b/>
                <w:sz w:val="20"/>
                <w:szCs w:val="20"/>
              </w:rPr>
              <w:t>Age of block (</w:t>
            </w:r>
            <w:proofErr w:type="spellStart"/>
            <w:r>
              <w:rPr>
                <w:b/>
                <w:sz w:val="20"/>
                <w:szCs w:val="20"/>
              </w:rPr>
              <w:t>yr</w:t>
            </w:r>
            <w:proofErr w:type="spellEnd"/>
            <w:r>
              <w:rPr>
                <w:b/>
                <w:sz w:val="20"/>
                <w:szCs w:val="20"/>
              </w:rPr>
              <w:t>)</w:t>
            </w:r>
            <w:r>
              <w:rPr>
                <w:b/>
                <w:sz w:val="20"/>
                <w:szCs w:val="20"/>
                <w:vertAlign w:val="superscript"/>
              </w:rPr>
              <w:t>1</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b/>
                <w:sz w:val="20"/>
                <w:szCs w:val="20"/>
              </w:rPr>
            </w:pPr>
            <w:r>
              <w:rPr>
                <w:b/>
                <w:sz w:val="20"/>
                <w:szCs w:val="20"/>
              </w:rPr>
              <w:t>Analysis</w:t>
            </w:r>
            <w:r>
              <w:rPr>
                <w:b/>
                <w:sz w:val="20"/>
                <w:szCs w:val="20"/>
                <w:vertAlign w:val="superscript"/>
              </w:rPr>
              <w:t>2</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OXPC002</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Blood</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68.4</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1.11</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OXPC003</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Blood</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31.8</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1.41</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 xml:space="preserve"> 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OXPC003</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Tissue</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28.4</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0.69</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7</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OXPC004</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Blood</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32.1</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0.84</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OXPC004</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Tissue</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5.5</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0.44</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0.15</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7</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OXPC005</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Blood</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53.1</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0.79</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5</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OXPC005</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Tissue</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21.8</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0.97</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0.48</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OXPC006</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Blood</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48.9</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0.95</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OXPC007</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Blood</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54.6</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0.87</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widowControl w:val="0"/>
              <w:pBdr>
                <w:top w:val="nil"/>
                <w:left w:val="nil"/>
                <w:bottom w:val="nil"/>
                <w:right w:val="nil"/>
                <w:between w:val="nil"/>
              </w:pBdr>
              <w:spacing w:line="240" w:lineRule="auto"/>
              <w:jc w:val="center"/>
              <w:rPr>
                <w:sz w:val="20"/>
                <w:szCs w:val="20"/>
              </w:rPr>
            </w:pPr>
            <w:r>
              <w:rPr>
                <w:sz w:val="20"/>
                <w:szCs w:val="20"/>
              </w:rPr>
              <w:t xml:space="preserve"> 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OXPC007</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Tissue</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35.1</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0.46</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0.08</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6</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OXPC008</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Blood</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45.3</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0.89</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OXPC009</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Blood</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12.2</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1.10</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OXPC009</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Tissue</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11.0</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0.84</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0.01</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5</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 xml:space="preserve"> GPH</w:t>
            </w:r>
          </w:p>
        </w:tc>
      </w:tr>
      <w:tr w:rsidR="00C91B09" w:rsidTr="00A44585">
        <w:trPr>
          <w:trHeight w:val="89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OXPC010</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Blood</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Black or African American</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16.9</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0.85</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89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OXPC010</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Tissue</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Black or African American</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176.4</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0.84</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0.01</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5</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OXPC011</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Blood</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53.4</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0.89</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OXPC011</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Tissue</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20.4</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0.52</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0.65</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5</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OXPC012</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Blood</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66.0</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0.71</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OXPC014</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Blood</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12.1</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0.68</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 xml:space="preserve"> 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lastRenderedPageBreak/>
              <w:t>OXPC014</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Tissue</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15.0</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0.68</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0.11</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3</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OXPC017</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Blood</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24.2</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0.71</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OXPC017</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Tissue</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White</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30.6</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0.79</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0.01</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3</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OXPC018</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Blood</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Asian</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14.8</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1.01</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r w:rsidR="00C91B09" w:rsidTr="00A44585">
        <w:trPr>
          <w:trHeight w:val="375"/>
        </w:trPr>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OXPC018</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Tissue</w:t>
            </w:r>
          </w:p>
        </w:tc>
        <w:tc>
          <w:tcPr>
            <w:tcW w:w="11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Asian</w:t>
            </w:r>
          </w:p>
        </w:tc>
        <w:tc>
          <w:tcPr>
            <w:tcW w:w="121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25.3</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0.74</w:t>
            </w:r>
          </w:p>
        </w:tc>
        <w:tc>
          <w:tcPr>
            <w:tcW w:w="10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0.00</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8</w:t>
            </w:r>
          </w:p>
        </w:tc>
        <w:tc>
          <w:tcPr>
            <w:tcW w:w="10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GPH</w:t>
            </w:r>
          </w:p>
        </w:tc>
      </w:tr>
    </w:tbl>
    <w:p w:rsidR="00C91B09" w:rsidRDefault="00C91B09" w:rsidP="00C91B09">
      <w:pPr>
        <w:numPr>
          <w:ilvl w:val="0"/>
          <w:numId w:val="3"/>
        </w:numPr>
        <w:spacing w:after="0" w:line="240" w:lineRule="auto"/>
        <w:jc w:val="both"/>
        <w:rPr>
          <w:sz w:val="20"/>
          <w:szCs w:val="20"/>
        </w:rPr>
      </w:pPr>
      <w:r>
        <w:rPr>
          <w:sz w:val="20"/>
          <w:szCs w:val="20"/>
        </w:rPr>
        <w:t xml:space="preserve">Age of block inferred as the difference in years from DNA extraction (2021) to the year of the diagnosis. </w:t>
      </w:r>
    </w:p>
    <w:p w:rsidR="00C91B09" w:rsidRDefault="00C91B09" w:rsidP="00C91B09">
      <w:pPr>
        <w:numPr>
          <w:ilvl w:val="0"/>
          <w:numId w:val="3"/>
        </w:numPr>
        <w:spacing w:after="0" w:line="240" w:lineRule="auto"/>
        <w:jc w:val="both"/>
        <w:rPr>
          <w:sz w:val="20"/>
          <w:szCs w:val="20"/>
        </w:rPr>
      </w:pPr>
      <w:r>
        <w:rPr>
          <w:sz w:val="20"/>
          <w:szCs w:val="20"/>
        </w:rPr>
        <w:t>Analysis type sample was used in, which was one of:</w:t>
      </w:r>
    </w:p>
    <w:p w:rsidR="00C91B09" w:rsidRDefault="00C91B09" w:rsidP="00C91B09">
      <w:pPr>
        <w:spacing w:line="240" w:lineRule="auto"/>
        <w:ind w:left="720"/>
        <w:rPr>
          <w:sz w:val="20"/>
          <w:szCs w:val="20"/>
        </w:rPr>
      </w:pPr>
      <w:r>
        <w:rPr>
          <w:sz w:val="20"/>
          <w:szCs w:val="20"/>
        </w:rPr>
        <w:t xml:space="preserve">GPH: Genome wide, PRS and HLA </w:t>
      </w:r>
    </w:p>
    <w:p w:rsidR="00C91B09" w:rsidRDefault="00C91B09" w:rsidP="00C91B09">
      <w:pPr>
        <w:spacing w:line="240" w:lineRule="auto"/>
        <w:ind w:firstLine="720"/>
        <w:rPr>
          <w:sz w:val="20"/>
          <w:szCs w:val="20"/>
        </w:rPr>
      </w:pPr>
      <w:r>
        <w:rPr>
          <w:sz w:val="20"/>
          <w:szCs w:val="20"/>
        </w:rPr>
        <w:t>H: HLA only (for samples without both tissue and blood)</w:t>
      </w:r>
    </w:p>
    <w:p w:rsidR="00C91B09" w:rsidRDefault="00C91B09" w:rsidP="00C91B09">
      <w:pPr>
        <w:rPr>
          <w:b/>
        </w:rPr>
      </w:pPr>
      <w:bookmarkStart w:id="24" w:name="_v6o4bxyk2p3q" w:colFirst="0" w:colLast="0"/>
      <w:bookmarkEnd w:id="24"/>
      <w:r>
        <w:br w:type="page"/>
      </w:r>
    </w:p>
    <w:p w:rsidR="00C91B09" w:rsidRDefault="00C91B09" w:rsidP="00C91B09">
      <w:pPr>
        <w:pStyle w:val="Heading3"/>
      </w:pPr>
      <w:r>
        <w:lastRenderedPageBreak/>
        <w:t>Table S2. PRS description.</w:t>
      </w:r>
    </w:p>
    <w:tbl>
      <w:tblPr>
        <w:tblW w:w="98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9"/>
        <w:gridCol w:w="866"/>
        <w:gridCol w:w="660"/>
        <w:gridCol w:w="705"/>
        <w:gridCol w:w="1012"/>
        <w:gridCol w:w="907"/>
        <w:gridCol w:w="3353"/>
      </w:tblGrid>
      <w:tr w:rsidR="00C91B09" w:rsidTr="00A44585">
        <w:trPr>
          <w:trHeight w:val="591"/>
          <w:tblHeader/>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b/>
                <w:sz w:val="18"/>
                <w:szCs w:val="18"/>
              </w:rPr>
            </w:pPr>
            <w:r>
              <w:rPr>
                <w:b/>
                <w:sz w:val="18"/>
                <w:szCs w:val="18"/>
              </w:rPr>
              <w:t>Phenotype</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b/>
                <w:sz w:val="18"/>
                <w:szCs w:val="18"/>
              </w:rPr>
            </w:pPr>
            <w:r>
              <w:rPr>
                <w:b/>
                <w:sz w:val="18"/>
                <w:szCs w:val="18"/>
              </w:rPr>
              <w:t># Variants</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b/>
                <w:sz w:val="18"/>
                <w:szCs w:val="18"/>
              </w:rPr>
            </w:pPr>
            <w:r>
              <w:rPr>
                <w:b/>
                <w:sz w:val="18"/>
                <w:szCs w:val="18"/>
              </w:rPr>
              <w:t># SNPs</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b/>
                <w:sz w:val="18"/>
                <w:szCs w:val="18"/>
              </w:rPr>
            </w:pPr>
            <w:r>
              <w:rPr>
                <w:b/>
                <w:sz w:val="18"/>
                <w:szCs w:val="18"/>
              </w:rPr>
              <w:t># SNPs imputed</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b/>
                <w:sz w:val="18"/>
                <w:szCs w:val="18"/>
              </w:rPr>
            </w:pPr>
            <w:r>
              <w:rPr>
                <w:b/>
                <w:sz w:val="18"/>
                <w:szCs w:val="18"/>
              </w:rPr>
              <w:t xml:space="preserve"># SNPs high-quality </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b/>
                <w:sz w:val="18"/>
                <w:szCs w:val="18"/>
              </w:rPr>
            </w:pPr>
            <w:r>
              <w:rPr>
                <w:b/>
                <w:sz w:val="18"/>
                <w:szCs w:val="18"/>
              </w:rPr>
              <w:t>PGSID</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b/>
                <w:sz w:val="18"/>
                <w:szCs w:val="18"/>
              </w:rPr>
            </w:pPr>
            <w:r>
              <w:rPr>
                <w:b/>
                <w:sz w:val="18"/>
                <w:szCs w:val="18"/>
              </w:rPr>
              <w:t>Publication source</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Bladder cancer</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15</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15</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14</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13</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PGS000071</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c>
          <w:tcPr>
            <w:tcW w:w="2388" w:type="dxa"/>
            <w:tcBorders>
              <w:top w:val="single" w:sz="8" w:space="0" w:color="000000"/>
              <w:left w:val="single" w:sz="8" w:space="0" w:color="000000"/>
              <w:bottom w:val="single" w:sz="8" w:space="0" w:color="000000"/>
              <w:right w:val="single" w:sz="8" w:space="0" w:color="000000"/>
            </w:tcBorders>
            <w:tcMar>
              <w:top w:w="-555" w:type="dxa"/>
              <w:left w:w="-555" w:type="dxa"/>
              <w:bottom w:w="-555" w:type="dxa"/>
              <w:right w:w="-555" w:type="dxa"/>
            </w:tcMar>
            <w:vAlign w:val="center"/>
          </w:tcPr>
          <w:p w:rsidR="00C91B09" w:rsidRDefault="00C91B09" w:rsidP="00A44585">
            <w:pPr>
              <w:widowControl w:val="0"/>
              <w:spacing w:line="240" w:lineRule="auto"/>
              <w:rPr>
                <w:sz w:val="18"/>
                <w:szCs w:val="18"/>
              </w:rPr>
            </w:pPr>
            <w:r>
              <w:rPr>
                <w:sz w:val="18"/>
                <w:szCs w:val="18"/>
              </w:rPr>
              <w:t xml:space="preserve">Breast cancer </w:t>
            </w:r>
          </w:p>
          <w:p w:rsidR="00C91B09" w:rsidRDefault="00C91B09" w:rsidP="00A44585">
            <w:pPr>
              <w:widowControl w:val="0"/>
              <w:spacing w:line="240" w:lineRule="auto"/>
              <w:rPr>
                <w:i/>
                <w:sz w:val="18"/>
                <w:szCs w:val="18"/>
              </w:rPr>
            </w:pPr>
            <w:r>
              <w:rPr>
                <w:i/>
                <w:sz w:val="18"/>
                <w:szCs w:val="18"/>
              </w:rPr>
              <w:t>(Graff et al., 2021)</w:t>
            </w:r>
          </w:p>
        </w:tc>
        <w:tc>
          <w:tcPr>
            <w:tcW w:w="866" w:type="dxa"/>
            <w:tcBorders>
              <w:top w:val="single" w:sz="8" w:space="0" w:color="000000"/>
              <w:left w:val="single" w:sz="8" w:space="0" w:color="000000"/>
              <w:bottom w:val="single" w:sz="8" w:space="0" w:color="000000"/>
              <w:right w:val="single" w:sz="8" w:space="0" w:color="000000"/>
            </w:tcBorders>
            <w:tcMar>
              <w:top w:w="-555" w:type="dxa"/>
              <w:left w:w="-555" w:type="dxa"/>
              <w:bottom w:w="-555" w:type="dxa"/>
              <w:right w:w="-555" w:type="dxa"/>
            </w:tcMar>
            <w:vAlign w:val="center"/>
          </w:tcPr>
          <w:p w:rsidR="00C91B09" w:rsidRDefault="00C91B09" w:rsidP="00A44585">
            <w:pPr>
              <w:widowControl w:val="0"/>
              <w:spacing w:line="240" w:lineRule="auto"/>
              <w:jc w:val="center"/>
              <w:rPr>
                <w:sz w:val="18"/>
                <w:szCs w:val="18"/>
              </w:rPr>
            </w:pPr>
            <w:r>
              <w:rPr>
                <w:sz w:val="18"/>
                <w:szCs w:val="18"/>
              </w:rPr>
              <w:t>187</w:t>
            </w:r>
          </w:p>
        </w:tc>
        <w:tc>
          <w:tcPr>
            <w:tcW w:w="660" w:type="dxa"/>
            <w:tcBorders>
              <w:top w:val="single" w:sz="8" w:space="0" w:color="000000"/>
              <w:left w:val="single" w:sz="8" w:space="0" w:color="000000"/>
              <w:bottom w:val="single" w:sz="8" w:space="0" w:color="000000"/>
              <w:right w:val="single" w:sz="8" w:space="0" w:color="000000"/>
            </w:tcBorders>
            <w:tcMar>
              <w:top w:w="-555" w:type="dxa"/>
              <w:left w:w="-555" w:type="dxa"/>
              <w:bottom w:w="-555" w:type="dxa"/>
              <w:right w:w="-555" w:type="dxa"/>
            </w:tcMar>
            <w:vAlign w:val="center"/>
          </w:tcPr>
          <w:p w:rsidR="00C91B09" w:rsidRDefault="00C91B09" w:rsidP="00A44585">
            <w:pPr>
              <w:widowControl w:val="0"/>
              <w:spacing w:line="240" w:lineRule="auto"/>
              <w:jc w:val="center"/>
              <w:rPr>
                <w:sz w:val="18"/>
                <w:szCs w:val="18"/>
              </w:rPr>
            </w:pPr>
            <w:r>
              <w:rPr>
                <w:sz w:val="18"/>
                <w:szCs w:val="18"/>
              </w:rPr>
              <w:t>172</w:t>
            </w:r>
          </w:p>
        </w:tc>
        <w:tc>
          <w:tcPr>
            <w:tcW w:w="705" w:type="dxa"/>
            <w:tcBorders>
              <w:top w:val="single" w:sz="8" w:space="0" w:color="000000"/>
              <w:left w:val="single" w:sz="8" w:space="0" w:color="000000"/>
              <w:bottom w:val="single" w:sz="8" w:space="0" w:color="000000"/>
              <w:right w:val="single" w:sz="8" w:space="0" w:color="000000"/>
            </w:tcBorders>
            <w:tcMar>
              <w:top w:w="-555" w:type="dxa"/>
              <w:left w:w="-555" w:type="dxa"/>
              <w:bottom w:w="-555" w:type="dxa"/>
              <w:right w:w="-555" w:type="dxa"/>
            </w:tcMar>
            <w:vAlign w:val="center"/>
          </w:tcPr>
          <w:p w:rsidR="00C91B09" w:rsidRDefault="00C91B09" w:rsidP="00A44585">
            <w:pPr>
              <w:widowControl w:val="0"/>
              <w:spacing w:line="240" w:lineRule="auto"/>
              <w:jc w:val="center"/>
              <w:rPr>
                <w:sz w:val="18"/>
                <w:szCs w:val="18"/>
              </w:rPr>
            </w:pPr>
            <w:r>
              <w:rPr>
                <w:sz w:val="18"/>
                <w:szCs w:val="18"/>
              </w:rPr>
              <w:t>167</w:t>
            </w:r>
          </w:p>
        </w:tc>
        <w:tc>
          <w:tcPr>
            <w:tcW w:w="1012" w:type="dxa"/>
            <w:tcBorders>
              <w:top w:val="single" w:sz="8" w:space="0" w:color="000000"/>
              <w:left w:val="single" w:sz="8" w:space="0" w:color="000000"/>
              <w:bottom w:val="single" w:sz="8" w:space="0" w:color="000000"/>
              <w:right w:val="single" w:sz="8" w:space="0" w:color="000000"/>
            </w:tcBorders>
            <w:tcMar>
              <w:top w:w="-555" w:type="dxa"/>
              <w:left w:w="-555" w:type="dxa"/>
              <w:bottom w:w="-555" w:type="dxa"/>
              <w:right w:w="-555" w:type="dxa"/>
            </w:tcMar>
            <w:vAlign w:val="center"/>
          </w:tcPr>
          <w:p w:rsidR="00C91B09" w:rsidRDefault="00C91B09" w:rsidP="00A44585">
            <w:pPr>
              <w:widowControl w:val="0"/>
              <w:spacing w:line="240" w:lineRule="auto"/>
              <w:jc w:val="center"/>
              <w:rPr>
                <w:sz w:val="18"/>
                <w:szCs w:val="18"/>
              </w:rPr>
            </w:pPr>
            <w:r>
              <w:rPr>
                <w:sz w:val="18"/>
                <w:szCs w:val="18"/>
              </w:rPr>
              <w:t>153</w:t>
            </w:r>
          </w:p>
        </w:tc>
        <w:tc>
          <w:tcPr>
            <w:tcW w:w="907" w:type="dxa"/>
            <w:tcBorders>
              <w:top w:val="single" w:sz="8" w:space="0" w:color="000000"/>
              <w:left w:val="single" w:sz="8" w:space="0" w:color="000000"/>
              <w:bottom w:val="single" w:sz="8" w:space="0" w:color="000000"/>
              <w:right w:val="single" w:sz="8" w:space="0" w:color="000000"/>
            </w:tcBorders>
            <w:tcMar>
              <w:top w:w="-555" w:type="dxa"/>
              <w:left w:w="-555" w:type="dxa"/>
              <w:bottom w:w="-555" w:type="dxa"/>
              <w:right w:w="-555" w:type="dxa"/>
            </w:tcMar>
            <w:vAlign w:val="center"/>
          </w:tcPr>
          <w:p w:rsidR="00C91B09" w:rsidRDefault="00C91B09" w:rsidP="00A44585">
            <w:pPr>
              <w:widowControl w:val="0"/>
              <w:spacing w:line="240" w:lineRule="auto"/>
              <w:jc w:val="center"/>
              <w:rPr>
                <w:sz w:val="18"/>
                <w:szCs w:val="18"/>
              </w:rPr>
            </w:pPr>
            <w:r>
              <w:rPr>
                <w:sz w:val="18"/>
                <w:szCs w:val="18"/>
              </w:rPr>
              <w:t>PGS000072</w:t>
            </w:r>
          </w:p>
        </w:tc>
        <w:tc>
          <w:tcPr>
            <w:tcW w:w="3352" w:type="dxa"/>
            <w:tcBorders>
              <w:top w:val="single" w:sz="8" w:space="0" w:color="000000"/>
              <w:left w:val="single" w:sz="8" w:space="0" w:color="000000"/>
              <w:bottom w:val="single" w:sz="8" w:space="0" w:color="000000"/>
              <w:right w:val="single" w:sz="8" w:space="0" w:color="000000"/>
            </w:tcBorders>
            <w:tcMar>
              <w:top w:w="-555" w:type="dxa"/>
              <w:left w:w="-555" w:type="dxa"/>
              <w:bottom w:w="-555" w:type="dxa"/>
              <w:right w:w="-555"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Cervical cancer</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10</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9</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9</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9</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PGS000073</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Colorectal cancer</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103</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103</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101</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90</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PGS000074</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Endometrial cancer</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9</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9</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9</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9</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PGS000075</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Kidney cancer</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19</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19</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16</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16</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PGS000076</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Lymphocytic leukemia</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75</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75</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69</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65</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PGS000077</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Lung cancer</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109</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109</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100</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85</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PGS000078</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Melanoma</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24</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24</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22</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21</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PGS000079</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Non-Hodgkin's lymphoma</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19</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18</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17</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16</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PGS000080</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9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Oral cavity and pharyngeal cancers</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14</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13</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8</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8</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PGS000081</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Ovarian cancer</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36</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32</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30</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27</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PGS000082</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Pancreatic cancer</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22</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22</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22</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18</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PGS000083</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Prostate cancer</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161</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152</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146</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136</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PGS000084</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Testicular cancer</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52</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52</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49</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45</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PGS000086</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Thyroid cancer</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12</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11</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11</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10</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PGS000087</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https://doi.org/10.1038/s41467-021-21288-z</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Type 1 Diabetes (T1D)</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825</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825</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818</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747</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PGS001817</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https://doi.org/10.1016/j.ajhg.2021.11.008</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Type 2 Diabetes (T2D)</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384</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384</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378</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321</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PGS000832</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https://doi.org/10.1038/s41588-021-00948-2</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High lipoprotein density (HLD)</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303</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302</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265</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241</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PGS000845</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https://doi.org/10.1038/s41588-021-00948-2</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Body mass index (BMI)</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122</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122</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122</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117</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PGS000841</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https://doi.org/10.1038/s41588-021-00948-2</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Cardiovascular disease (CVD)</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330</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329</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224</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212</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PGS000863</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https://doi.org/10.1038/s41588-021-00948-2</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Ulcerative colitis (UC)</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179</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165</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147</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132</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PGS001306</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https://doi.org/10.1101/2021.09.02.21262942</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 xml:space="preserve">Breast cancer </w:t>
            </w:r>
          </w:p>
          <w:p w:rsidR="00C91B09" w:rsidRDefault="00C91B09" w:rsidP="00A44585">
            <w:pPr>
              <w:widowControl w:val="0"/>
              <w:spacing w:line="240" w:lineRule="auto"/>
              <w:rPr>
                <w:sz w:val="18"/>
                <w:szCs w:val="18"/>
              </w:rPr>
            </w:pPr>
            <w:r>
              <w:rPr>
                <w:sz w:val="18"/>
                <w:szCs w:val="18"/>
              </w:rPr>
              <w:t>(Zhang et al., 2015)</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330</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270</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270</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241</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PGS000212</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https://doi.org/10.1038/s41588-020-0609-2</w:t>
            </w:r>
          </w:p>
        </w:tc>
      </w:tr>
      <w:tr w:rsidR="00C91B09" w:rsidTr="00A44585">
        <w:trPr>
          <w:trHeight w:val="361"/>
        </w:trPr>
        <w:tc>
          <w:tcPr>
            <w:tcW w:w="2388"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rPr>
                <w:sz w:val="18"/>
                <w:szCs w:val="18"/>
              </w:rPr>
            </w:pPr>
            <w:r>
              <w:rPr>
                <w:sz w:val="18"/>
                <w:szCs w:val="18"/>
              </w:rPr>
              <w:t>Breast cancer</w:t>
            </w:r>
          </w:p>
          <w:p w:rsidR="00C91B09" w:rsidRDefault="00C91B09" w:rsidP="00A44585">
            <w:pPr>
              <w:widowControl w:val="0"/>
              <w:spacing w:line="240" w:lineRule="auto"/>
              <w:rPr>
                <w:sz w:val="18"/>
                <w:szCs w:val="18"/>
              </w:rPr>
            </w:pPr>
            <w:r>
              <w:rPr>
                <w:sz w:val="18"/>
                <w:szCs w:val="18"/>
              </w:rPr>
              <w:t>(</w:t>
            </w:r>
            <w:proofErr w:type="spellStart"/>
            <w:r>
              <w:rPr>
                <w:sz w:val="18"/>
                <w:szCs w:val="18"/>
              </w:rPr>
              <w:t>Mavaddat</w:t>
            </w:r>
            <w:proofErr w:type="spellEnd"/>
            <w:r>
              <w:rPr>
                <w:sz w:val="18"/>
                <w:szCs w:val="18"/>
              </w:rPr>
              <w:t xml:space="preserve"> et al., 2019)</w:t>
            </w:r>
          </w:p>
        </w:tc>
        <w:tc>
          <w:tcPr>
            <w:tcW w:w="866"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313</w:t>
            </w:r>
          </w:p>
        </w:tc>
        <w:tc>
          <w:tcPr>
            <w:tcW w:w="660"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265</w:t>
            </w:r>
          </w:p>
        </w:tc>
        <w:tc>
          <w:tcPr>
            <w:tcW w:w="705"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256</w:t>
            </w:r>
          </w:p>
        </w:tc>
        <w:tc>
          <w:tcPr>
            <w:tcW w:w="101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230</w:t>
            </w:r>
          </w:p>
        </w:tc>
        <w:tc>
          <w:tcPr>
            <w:tcW w:w="907"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hyperlink r:id="rId10">
              <w:r>
                <w:rPr>
                  <w:sz w:val="18"/>
                  <w:szCs w:val="18"/>
                </w:rPr>
                <w:t>PGS00000</w:t>
              </w:r>
            </w:hyperlink>
            <w:r>
              <w:rPr>
                <w:sz w:val="18"/>
                <w:szCs w:val="18"/>
              </w:rPr>
              <w:t>4</w:t>
            </w:r>
          </w:p>
        </w:tc>
        <w:tc>
          <w:tcPr>
            <w:tcW w:w="3352" w:type="dxa"/>
            <w:tcBorders>
              <w:top w:val="single" w:sz="8" w:space="0" w:color="000000"/>
              <w:left w:val="single" w:sz="8" w:space="0" w:color="000000"/>
              <w:bottom w:val="single" w:sz="8" w:space="0" w:color="000000"/>
              <w:right w:val="single" w:sz="8" w:space="0" w:color="000000"/>
            </w:tcBorders>
            <w:tcMar>
              <w:top w:w="-267" w:type="dxa"/>
              <w:left w:w="-267" w:type="dxa"/>
              <w:bottom w:w="-267" w:type="dxa"/>
              <w:right w:w="-267" w:type="dxa"/>
            </w:tcMar>
            <w:vAlign w:val="center"/>
          </w:tcPr>
          <w:p w:rsidR="00C91B09" w:rsidRDefault="00C91B09" w:rsidP="00A44585">
            <w:pPr>
              <w:widowControl w:val="0"/>
              <w:spacing w:line="240" w:lineRule="auto"/>
              <w:jc w:val="center"/>
              <w:rPr>
                <w:sz w:val="18"/>
                <w:szCs w:val="18"/>
              </w:rPr>
            </w:pPr>
            <w:r>
              <w:rPr>
                <w:sz w:val="18"/>
                <w:szCs w:val="18"/>
              </w:rPr>
              <w:t>https://doi.org/10.1016/j.ajhg.2018.11.002</w:t>
            </w:r>
          </w:p>
        </w:tc>
      </w:tr>
    </w:tbl>
    <w:p w:rsidR="00C91B09" w:rsidRDefault="00C91B09" w:rsidP="00C91B09">
      <w:pPr>
        <w:pStyle w:val="Heading3"/>
      </w:pPr>
      <w:bookmarkStart w:id="25" w:name="_f40qub7mm6ke" w:colFirst="0" w:colLast="0"/>
      <w:bookmarkEnd w:id="25"/>
      <w:r>
        <w:br w:type="page"/>
      </w:r>
    </w:p>
    <w:p w:rsidR="00C91B09" w:rsidRDefault="00C91B09" w:rsidP="00C91B09">
      <w:pPr>
        <w:pStyle w:val="Heading3"/>
      </w:pPr>
      <w:bookmarkStart w:id="26" w:name="_iv596axi99ci" w:colFirst="0" w:colLast="0"/>
      <w:bookmarkEnd w:id="26"/>
      <w:r>
        <w:lastRenderedPageBreak/>
        <w:t>Table S3. DCIS cohort technical characteristic description.</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1560"/>
        <w:gridCol w:w="1560"/>
        <w:gridCol w:w="1560"/>
        <w:gridCol w:w="1560"/>
        <w:gridCol w:w="1560"/>
        <w:gridCol w:w="1560"/>
      </w:tblGrid>
      <w:tr w:rsidR="00C91B09" w:rsidTr="00A44585">
        <w:trPr>
          <w:trHeight w:val="217"/>
          <w:tblHeader/>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widowControl w:val="0"/>
              <w:spacing w:line="216" w:lineRule="auto"/>
              <w:jc w:val="center"/>
              <w:rPr>
                <w:b/>
                <w:sz w:val="20"/>
                <w:szCs w:val="20"/>
              </w:rPr>
            </w:pPr>
            <w:r>
              <w:rPr>
                <w:b/>
                <w:sz w:val="20"/>
                <w:szCs w:val="20"/>
              </w:rPr>
              <w:lastRenderedPageBreak/>
              <w:t>Patient</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b/>
                <w:sz w:val="20"/>
                <w:szCs w:val="20"/>
              </w:rPr>
            </w:pPr>
            <w:r>
              <w:rPr>
                <w:b/>
                <w:sz w:val="20"/>
                <w:szCs w:val="20"/>
              </w:rPr>
              <w:t>Input DNA (ng)</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b/>
                <w:sz w:val="20"/>
                <w:szCs w:val="20"/>
              </w:rPr>
            </w:pPr>
            <w:r>
              <w:rPr>
                <w:b/>
                <w:sz w:val="20"/>
                <w:szCs w:val="20"/>
              </w:rPr>
              <w:t>Mean coverage</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b/>
                <w:sz w:val="20"/>
                <w:szCs w:val="20"/>
              </w:rPr>
            </w:pPr>
            <w:r>
              <w:rPr>
                <w:b/>
                <w:sz w:val="20"/>
                <w:szCs w:val="20"/>
              </w:rPr>
              <w:t>CNA burden</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b/>
                <w:sz w:val="20"/>
                <w:szCs w:val="20"/>
                <w:vertAlign w:val="superscript"/>
              </w:rPr>
            </w:pPr>
            <w:r>
              <w:rPr>
                <w:b/>
                <w:sz w:val="20"/>
                <w:szCs w:val="20"/>
              </w:rPr>
              <w:t>Age of block (</w:t>
            </w:r>
            <w:proofErr w:type="spellStart"/>
            <w:r>
              <w:rPr>
                <w:b/>
                <w:sz w:val="20"/>
                <w:szCs w:val="20"/>
              </w:rPr>
              <w:t>yr</w:t>
            </w:r>
            <w:proofErr w:type="spellEnd"/>
            <w:r>
              <w:rPr>
                <w:b/>
                <w:sz w:val="20"/>
                <w:szCs w:val="20"/>
              </w:rPr>
              <w:t>)</w:t>
            </w:r>
            <w:r>
              <w:rPr>
                <w:b/>
                <w:sz w:val="20"/>
                <w:szCs w:val="20"/>
                <w:vertAlign w:val="superscript"/>
              </w:rPr>
              <w:t>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b/>
                <w:sz w:val="20"/>
                <w:szCs w:val="20"/>
              </w:rPr>
            </w:pPr>
            <w:r>
              <w:rPr>
                <w:b/>
                <w:sz w:val="20"/>
                <w:szCs w:val="20"/>
              </w:rPr>
              <w:t>Passed QC?</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OXPA002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68.4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0.93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18</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OXPA003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19.6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1.07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OXPA006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106.8</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0.96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OXPA020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69.6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1.07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OXPA021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99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1.11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OXPA028</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29.64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0.84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OXPA032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38.4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1.09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OXPA033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300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0.96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0.08</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OXPA036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12.7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0.88</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OXPA044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65.4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1.10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OXPA064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1.12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OXPA092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10.3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0.49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OXPA146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24.06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0.81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0.08</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OXPA147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300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0.74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OXPA150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30.9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0.92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OXPA151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64.8</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0.79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0.37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OXPA153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201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0.96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OXPA156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19.9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0.83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OXPA161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15.4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0.95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OXPA166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300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0.91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OXPA172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28.02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1.16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195"/>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OXPA179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102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0.79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OXPA182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31.2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0.83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0.28</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OXPA185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52.2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0.89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OXPA246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109.2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1.16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OXPA267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1.01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OXPA295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1.65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18</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OXPA347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40.2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1.79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OXPA392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6.6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1.36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OXPA445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7.5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1.12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OXPA501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119.4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0.93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OXPA508</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25.5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0.67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OXPA527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48.9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0.68</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0.10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lastRenderedPageBreak/>
              <w:t>OXPA530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14.4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0.74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0.30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OXPA540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72.6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0.96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OXPA644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30.9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0.59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0.04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Yes</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OXPA007</w:t>
            </w:r>
          </w:p>
        </w:tc>
        <w:tc>
          <w:tcPr>
            <w:tcW w:w="1560" w:type="dxa"/>
            <w:tcBorders>
              <w:top w:val="nil"/>
              <w:left w:val="nil"/>
              <w:bottom w:val="nil"/>
              <w:right w:val="nil"/>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82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0.15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N/A</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 xml:space="preserve">No (Low </w:t>
            </w:r>
            <w:proofErr w:type="spellStart"/>
            <w:r>
              <w:rPr>
                <w:sz w:val="20"/>
                <w:szCs w:val="20"/>
              </w:rPr>
              <w:t>cov</w:t>
            </w:r>
            <w:proofErr w:type="spellEnd"/>
            <w:r>
              <w:rPr>
                <w:sz w:val="20"/>
                <w:szCs w:val="20"/>
              </w:rPr>
              <w:t>.)</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OXPA035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17.5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0.31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N/A</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 xml:space="preserve">No (Low </w:t>
            </w:r>
            <w:proofErr w:type="spellStart"/>
            <w:r>
              <w:rPr>
                <w:sz w:val="20"/>
                <w:szCs w:val="20"/>
              </w:rPr>
              <w:t>cov</w:t>
            </w:r>
            <w:proofErr w:type="spellEnd"/>
            <w:r>
              <w:rPr>
                <w:sz w:val="20"/>
                <w:szCs w:val="20"/>
              </w:rPr>
              <w:t>.)</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OXPA619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35.2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0.31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N/A</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 xml:space="preserve">No (Low </w:t>
            </w:r>
            <w:proofErr w:type="spellStart"/>
            <w:r>
              <w:rPr>
                <w:sz w:val="20"/>
                <w:szCs w:val="20"/>
              </w:rPr>
              <w:t>cov</w:t>
            </w:r>
            <w:proofErr w:type="spellEnd"/>
            <w:r>
              <w:rPr>
                <w:sz w:val="20"/>
                <w:szCs w:val="20"/>
              </w:rPr>
              <w:t>.)</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OXPA066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300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0.34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N/A</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 xml:space="preserve">No (Low </w:t>
            </w:r>
            <w:proofErr w:type="spellStart"/>
            <w:r>
              <w:rPr>
                <w:sz w:val="20"/>
                <w:szCs w:val="20"/>
              </w:rPr>
              <w:t>cov</w:t>
            </w:r>
            <w:proofErr w:type="spellEnd"/>
            <w:r>
              <w:rPr>
                <w:sz w:val="20"/>
                <w:szCs w:val="20"/>
              </w:rPr>
              <w:t>.)</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OXPB024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53.7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0.47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N/A</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 xml:space="preserve">No (Low </w:t>
            </w:r>
            <w:proofErr w:type="spellStart"/>
            <w:r>
              <w:rPr>
                <w:sz w:val="20"/>
                <w:szCs w:val="20"/>
              </w:rPr>
              <w:t>cov</w:t>
            </w:r>
            <w:proofErr w:type="spellEnd"/>
            <w:r>
              <w:rPr>
                <w:sz w:val="20"/>
                <w:szCs w:val="20"/>
              </w:rPr>
              <w:t>.)</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OXPA025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300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0.49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N/A</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No (</w:t>
            </w:r>
            <w:proofErr w:type="spellStart"/>
            <w:r>
              <w:rPr>
                <w:sz w:val="20"/>
                <w:szCs w:val="20"/>
              </w:rPr>
              <w:t>Contam</w:t>
            </w:r>
            <w:proofErr w:type="spellEnd"/>
            <w:r>
              <w:rPr>
                <w:sz w:val="20"/>
                <w:szCs w:val="20"/>
              </w:rPr>
              <w:t>.)</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OXPA574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50.1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0.80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N/A</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No (</w:t>
            </w:r>
            <w:proofErr w:type="spellStart"/>
            <w:r>
              <w:rPr>
                <w:sz w:val="20"/>
                <w:szCs w:val="20"/>
              </w:rPr>
              <w:t>Contam</w:t>
            </w:r>
            <w:proofErr w:type="spellEnd"/>
            <w:r>
              <w:rPr>
                <w:sz w:val="20"/>
                <w:szCs w:val="20"/>
              </w:rPr>
              <w:t>.)</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OXPA005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18.6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0.81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N/A</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No (</w:t>
            </w:r>
            <w:proofErr w:type="spellStart"/>
            <w:r>
              <w:rPr>
                <w:sz w:val="20"/>
                <w:szCs w:val="20"/>
              </w:rPr>
              <w:t>Contam</w:t>
            </w:r>
            <w:proofErr w:type="spellEnd"/>
            <w:r>
              <w:rPr>
                <w:sz w:val="20"/>
                <w:szCs w:val="20"/>
              </w:rPr>
              <w:t>.)</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OXPA269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11.9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0.91</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N/A</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No (</w:t>
            </w:r>
            <w:proofErr w:type="spellStart"/>
            <w:r>
              <w:rPr>
                <w:sz w:val="20"/>
                <w:szCs w:val="20"/>
              </w:rPr>
              <w:t>Contam</w:t>
            </w:r>
            <w:proofErr w:type="spellEnd"/>
            <w:r>
              <w:rPr>
                <w:sz w:val="20"/>
                <w:szCs w:val="20"/>
              </w:rPr>
              <w:t>.)</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OXPA165</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81.6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0.92</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N/A</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No (</w:t>
            </w:r>
            <w:proofErr w:type="spellStart"/>
            <w:r>
              <w:rPr>
                <w:sz w:val="20"/>
                <w:szCs w:val="20"/>
              </w:rPr>
              <w:t>Contam</w:t>
            </w:r>
            <w:proofErr w:type="spellEnd"/>
            <w:r>
              <w:rPr>
                <w:sz w:val="20"/>
                <w:szCs w:val="20"/>
              </w:rPr>
              <w:t>.)</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OXPA040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300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0.93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N/A</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13</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No (</w:t>
            </w:r>
            <w:proofErr w:type="spellStart"/>
            <w:r>
              <w:rPr>
                <w:sz w:val="20"/>
                <w:szCs w:val="20"/>
              </w:rPr>
              <w:t>Contam</w:t>
            </w:r>
            <w:proofErr w:type="spellEnd"/>
            <w:r>
              <w:rPr>
                <w:sz w:val="20"/>
                <w:szCs w:val="20"/>
              </w:rPr>
              <w:t>.)</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OXPA169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300</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0.97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N/A</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No (</w:t>
            </w:r>
            <w:proofErr w:type="spellStart"/>
            <w:r>
              <w:rPr>
                <w:sz w:val="20"/>
                <w:szCs w:val="20"/>
              </w:rPr>
              <w:t>Contam</w:t>
            </w:r>
            <w:proofErr w:type="spellEnd"/>
            <w:r>
              <w:rPr>
                <w:sz w:val="20"/>
                <w:szCs w:val="20"/>
              </w:rPr>
              <w:t>.)</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OXPB009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224.4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0.99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N/A</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7</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No (</w:t>
            </w:r>
            <w:proofErr w:type="spellStart"/>
            <w:r>
              <w:rPr>
                <w:sz w:val="20"/>
                <w:szCs w:val="20"/>
              </w:rPr>
              <w:t>Contam</w:t>
            </w:r>
            <w:proofErr w:type="spellEnd"/>
            <w:r>
              <w:rPr>
                <w:sz w:val="20"/>
                <w:szCs w:val="20"/>
              </w:rPr>
              <w:t>.)</w:t>
            </w:r>
          </w:p>
        </w:tc>
      </w:tr>
      <w:tr w:rsidR="00C91B09" w:rsidTr="00A44585">
        <w:trPr>
          <w:trHeight w:val="217"/>
        </w:trPr>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OXPA029</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170.4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1.04</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bottom"/>
          </w:tcPr>
          <w:p w:rsidR="00C91B09" w:rsidRDefault="00C91B09" w:rsidP="00A44585">
            <w:pPr>
              <w:keepNext/>
              <w:keepLines/>
              <w:spacing w:line="216" w:lineRule="auto"/>
              <w:jc w:val="center"/>
              <w:rPr>
                <w:sz w:val="20"/>
                <w:szCs w:val="20"/>
              </w:rPr>
            </w:pPr>
            <w:r>
              <w:rPr>
                <w:sz w:val="20"/>
                <w:szCs w:val="20"/>
              </w:rPr>
              <w:t>N/A</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16</w:t>
            </w:r>
          </w:p>
        </w:tc>
        <w:tc>
          <w:tcPr>
            <w:tcW w:w="1560" w:type="dxa"/>
            <w:tcBorders>
              <w:top w:val="single" w:sz="8" w:space="0" w:color="000000"/>
              <w:left w:val="single" w:sz="8" w:space="0" w:color="000000"/>
              <w:bottom w:val="single" w:sz="8" w:space="0" w:color="000000"/>
              <w:right w:val="single" w:sz="8" w:space="0" w:color="000000"/>
            </w:tcBorders>
            <w:tcMar>
              <w:top w:w="-1131" w:type="dxa"/>
              <w:left w:w="-1131" w:type="dxa"/>
              <w:bottom w:w="-1131" w:type="dxa"/>
              <w:right w:w="-1131" w:type="dxa"/>
            </w:tcMar>
            <w:vAlign w:val="center"/>
          </w:tcPr>
          <w:p w:rsidR="00C91B09" w:rsidRDefault="00C91B09" w:rsidP="00A44585">
            <w:pPr>
              <w:keepNext/>
              <w:keepLines/>
              <w:spacing w:line="216" w:lineRule="auto"/>
              <w:jc w:val="center"/>
              <w:rPr>
                <w:sz w:val="20"/>
                <w:szCs w:val="20"/>
              </w:rPr>
            </w:pPr>
            <w:r>
              <w:rPr>
                <w:sz w:val="20"/>
                <w:szCs w:val="20"/>
              </w:rPr>
              <w:t>No (</w:t>
            </w:r>
            <w:proofErr w:type="spellStart"/>
            <w:r>
              <w:rPr>
                <w:sz w:val="20"/>
                <w:szCs w:val="20"/>
              </w:rPr>
              <w:t>Contam</w:t>
            </w:r>
            <w:proofErr w:type="spellEnd"/>
            <w:r>
              <w:rPr>
                <w:sz w:val="20"/>
                <w:szCs w:val="20"/>
              </w:rPr>
              <w:t>.)</w:t>
            </w:r>
          </w:p>
        </w:tc>
      </w:tr>
    </w:tbl>
    <w:p w:rsidR="00C91B09" w:rsidRDefault="00C91B09" w:rsidP="00C91B09">
      <w:pPr>
        <w:numPr>
          <w:ilvl w:val="0"/>
          <w:numId w:val="1"/>
        </w:numPr>
        <w:spacing w:after="0" w:line="240" w:lineRule="auto"/>
        <w:jc w:val="both"/>
        <w:rPr>
          <w:sz w:val="20"/>
          <w:szCs w:val="20"/>
        </w:rPr>
      </w:pPr>
      <w:r>
        <w:rPr>
          <w:sz w:val="20"/>
          <w:szCs w:val="20"/>
        </w:rPr>
        <w:t xml:space="preserve">Age of block inferred as the difference in years from DNA extraction (2021) to the year of the diagnosis. </w:t>
      </w:r>
    </w:p>
    <w:p w:rsidR="00C91B09" w:rsidRDefault="00C91B09" w:rsidP="00C91B09">
      <w:pPr>
        <w:spacing w:line="240" w:lineRule="auto"/>
        <w:ind w:left="720"/>
        <w:rPr>
          <w:sz w:val="20"/>
          <w:szCs w:val="20"/>
        </w:rPr>
      </w:pPr>
    </w:p>
    <w:p w:rsidR="00C91B09" w:rsidRDefault="00C91B09" w:rsidP="00C91B09">
      <w:pPr>
        <w:spacing w:line="240" w:lineRule="auto"/>
        <w:ind w:left="720"/>
        <w:rPr>
          <w:sz w:val="20"/>
          <w:szCs w:val="20"/>
        </w:rPr>
      </w:pPr>
    </w:p>
    <w:p w:rsidR="00C91B09" w:rsidRDefault="00C91B09" w:rsidP="00C91B09">
      <w:pPr>
        <w:pStyle w:val="Heading3"/>
      </w:pPr>
      <w:bookmarkStart w:id="27" w:name="_bxdwamrhkqiv" w:colFirst="0" w:colLast="0"/>
      <w:bookmarkEnd w:id="27"/>
    </w:p>
    <w:p w:rsidR="00C91B09" w:rsidRDefault="00C91B09" w:rsidP="00C91B09">
      <w:pPr>
        <w:pStyle w:val="Heading3"/>
      </w:pPr>
      <w:r>
        <w:t>Table S4. DCIS cohort covariate association with patient outcome.</w:t>
      </w:r>
    </w:p>
    <w:tbl>
      <w:tblPr>
        <w:tblW w:w="7785" w:type="dxa"/>
        <w:jc w:val="center"/>
        <w:tblBorders>
          <w:top w:val="nil"/>
          <w:left w:val="nil"/>
          <w:bottom w:val="nil"/>
          <w:right w:val="nil"/>
          <w:insideH w:val="nil"/>
          <w:insideV w:val="nil"/>
        </w:tblBorders>
        <w:tblLayout w:type="fixed"/>
        <w:tblLook w:val="0600" w:firstRow="0" w:lastRow="0" w:firstColumn="0" w:lastColumn="0" w:noHBand="1" w:noVBand="1"/>
      </w:tblPr>
      <w:tblGrid>
        <w:gridCol w:w="2205"/>
        <w:gridCol w:w="1470"/>
        <w:gridCol w:w="1275"/>
        <w:gridCol w:w="1470"/>
        <w:gridCol w:w="1365"/>
      </w:tblGrid>
      <w:tr w:rsidR="00C91B09" w:rsidTr="00A44585">
        <w:trPr>
          <w:trHeight w:val="525"/>
          <w:tblHeader/>
          <w:jc w:val="center"/>
        </w:trPr>
        <w:tc>
          <w:tcPr>
            <w:tcW w:w="2205" w:type="dxa"/>
            <w:tcBorders>
              <w:top w:val="nil"/>
              <w:left w:val="nil"/>
              <w:bottom w:val="single" w:sz="8" w:space="0" w:color="000000"/>
              <w:right w:val="nil"/>
            </w:tcBorders>
            <w:tcMar>
              <w:top w:w="20" w:type="dxa"/>
              <w:left w:w="20" w:type="dxa"/>
              <w:bottom w:w="100" w:type="dxa"/>
              <w:right w:w="20" w:type="dxa"/>
            </w:tcMar>
            <w:vAlign w:val="bottom"/>
          </w:tcPr>
          <w:p w:rsidR="00C91B09" w:rsidRDefault="00C91B09" w:rsidP="00A44585">
            <w:pPr>
              <w:spacing w:line="240" w:lineRule="auto"/>
              <w:jc w:val="center"/>
              <w:rPr>
                <w:sz w:val="20"/>
                <w:szCs w:val="20"/>
              </w:rPr>
            </w:pPr>
            <w:r>
              <w:rPr>
                <w:b/>
                <w:sz w:val="20"/>
                <w:szCs w:val="20"/>
              </w:rPr>
              <w:t>Clinical feature</w:t>
            </w:r>
          </w:p>
        </w:tc>
        <w:tc>
          <w:tcPr>
            <w:tcW w:w="1470" w:type="dxa"/>
            <w:tcBorders>
              <w:top w:val="nil"/>
              <w:left w:val="nil"/>
              <w:bottom w:val="single" w:sz="8" w:space="0" w:color="000000"/>
              <w:right w:val="nil"/>
            </w:tcBorders>
            <w:tcMar>
              <w:top w:w="20" w:type="dxa"/>
              <w:left w:w="20" w:type="dxa"/>
              <w:bottom w:w="100" w:type="dxa"/>
              <w:right w:w="20" w:type="dxa"/>
            </w:tcMar>
            <w:vAlign w:val="bottom"/>
          </w:tcPr>
          <w:p w:rsidR="00C91B09" w:rsidRDefault="00C91B09" w:rsidP="00A44585">
            <w:pPr>
              <w:spacing w:line="240" w:lineRule="auto"/>
              <w:jc w:val="center"/>
              <w:rPr>
                <w:sz w:val="20"/>
                <w:szCs w:val="20"/>
              </w:rPr>
            </w:pPr>
          </w:p>
        </w:tc>
        <w:tc>
          <w:tcPr>
            <w:tcW w:w="1275" w:type="dxa"/>
            <w:tcBorders>
              <w:top w:val="nil"/>
              <w:left w:val="nil"/>
              <w:bottom w:val="single" w:sz="8" w:space="0" w:color="000000"/>
              <w:right w:val="nil"/>
            </w:tcBorders>
            <w:tcMar>
              <w:top w:w="20" w:type="dxa"/>
              <w:left w:w="20" w:type="dxa"/>
              <w:bottom w:w="100" w:type="dxa"/>
              <w:right w:w="20" w:type="dxa"/>
            </w:tcMar>
            <w:vAlign w:val="bottom"/>
          </w:tcPr>
          <w:p w:rsidR="00C91B09" w:rsidRDefault="00C91B09" w:rsidP="00A44585">
            <w:pPr>
              <w:widowControl w:val="0"/>
              <w:spacing w:line="240" w:lineRule="auto"/>
              <w:jc w:val="center"/>
              <w:rPr>
                <w:b/>
                <w:sz w:val="20"/>
                <w:szCs w:val="20"/>
                <w:vertAlign w:val="superscript"/>
              </w:rPr>
            </w:pPr>
            <w:r>
              <w:rPr>
                <w:b/>
                <w:sz w:val="20"/>
                <w:szCs w:val="20"/>
              </w:rPr>
              <w:t>No BCSE</w:t>
            </w:r>
            <w:r>
              <w:rPr>
                <w:b/>
                <w:sz w:val="20"/>
                <w:szCs w:val="20"/>
                <w:vertAlign w:val="superscript"/>
              </w:rPr>
              <w:t>2</w:t>
            </w:r>
          </w:p>
          <w:p w:rsidR="00C91B09" w:rsidRDefault="00C91B09" w:rsidP="00A44585">
            <w:pPr>
              <w:widowControl w:val="0"/>
              <w:spacing w:line="240" w:lineRule="auto"/>
              <w:jc w:val="center"/>
              <w:rPr>
                <w:b/>
                <w:sz w:val="20"/>
                <w:szCs w:val="20"/>
              </w:rPr>
            </w:pPr>
            <w:r>
              <w:rPr>
                <w:b/>
                <w:sz w:val="20"/>
                <w:szCs w:val="20"/>
              </w:rPr>
              <w:t>(N=14)</w:t>
            </w:r>
          </w:p>
        </w:tc>
        <w:tc>
          <w:tcPr>
            <w:tcW w:w="1470" w:type="dxa"/>
            <w:tcBorders>
              <w:top w:val="nil"/>
              <w:left w:val="nil"/>
              <w:bottom w:val="single" w:sz="8" w:space="0" w:color="000000"/>
              <w:right w:val="nil"/>
            </w:tcBorders>
            <w:tcMar>
              <w:top w:w="20" w:type="dxa"/>
              <w:left w:w="20" w:type="dxa"/>
              <w:bottom w:w="100" w:type="dxa"/>
              <w:right w:w="20" w:type="dxa"/>
            </w:tcMar>
            <w:vAlign w:val="bottom"/>
          </w:tcPr>
          <w:p w:rsidR="00C91B09" w:rsidRDefault="00C91B09" w:rsidP="00A44585">
            <w:pPr>
              <w:widowControl w:val="0"/>
              <w:spacing w:line="240" w:lineRule="auto"/>
              <w:jc w:val="center"/>
              <w:rPr>
                <w:b/>
                <w:sz w:val="20"/>
                <w:szCs w:val="20"/>
              </w:rPr>
            </w:pPr>
            <w:r>
              <w:rPr>
                <w:b/>
                <w:sz w:val="20"/>
                <w:szCs w:val="20"/>
              </w:rPr>
              <w:t>BCSE</w:t>
            </w:r>
          </w:p>
          <w:p w:rsidR="00C91B09" w:rsidRDefault="00C91B09" w:rsidP="00A44585">
            <w:pPr>
              <w:widowControl w:val="0"/>
              <w:spacing w:line="240" w:lineRule="auto"/>
              <w:jc w:val="center"/>
              <w:rPr>
                <w:b/>
                <w:sz w:val="20"/>
                <w:szCs w:val="20"/>
              </w:rPr>
            </w:pPr>
            <w:r>
              <w:rPr>
                <w:b/>
                <w:sz w:val="20"/>
                <w:szCs w:val="20"/>
              </w:rPr>
              <w:t>(N=22)</w:t>
            </w:r>
          </w:p>
        </w:tc>
        <w:tc>
          <w:tcPr>
            <w:tcW w:w="1365" w:type="dxa"/>
            <w:tcBorders>
              <w:top w:val="nil"/>
              <w:left w:val="nil"/>
              <w:bottom w:val="single" w:sz="8" w:space="0" w:color="000000"/>
              <w:right w:val="nil"/>
            </w:tcBorders>
            <w:tcMar>
              <w:top w:w="20" w:type="dxa"/>
              <w:left w:w="20" w:type="dxa"/>
              <w:bottom w:w="100" w:type="dxa"/>
              <w:right w:w="20" w:type="dxa"/>
            </w:tcMar>
            <w:vAlign w:val="bottom"/>
          </w:tcPr>
          <w:p w:rsidR="00C91B09" w:rsidRDefault="00C91B09" w:rsidP="00A44585">
            <w:pPr>
              <w:widowControl w:val="0"/>
              <w:spacing w:line="240" w:lineRule="auto"/>
              <w:jc w:val="center"/>
              <w:rPr>
                <w:b/>
                <w:sz w:val="20"/>
                <w:szCs w:val="20"/>
              </w:rPr>
            </w:pPr>
            <w:r>
              <w:rPr>
                <w:b/>
                <w:sz w:val="20"/>
                <w:szCs w:val="20"/>
              </w:rPr>
              <w:t>Significance</w:t>
            </w:r>
            <w:r>
              <w:rPr>
                <w:b/>
                <w:sz w:val="20"/>
                <w:szCs w:val="20"/>
                <w:vertAlign w:val="superscript"/>
              </w:rPr>
              <w:t>3</w:t>
            </w:r>
          </w:p>
        </w:tc>
      </w:tr>
      <w:tr w:rsidR="00C91B09" w:rsidTr="00A44585">
        <w:trPr>
          <w:trHeight w:val="561"/>
          <w:jc w:val="center"/>
        </w:trPr>
        <w:tc>
          <w:tcPr>
            <w:tcW w:w="2205" w:type="dxa"/>
            <w:vMerge w:val="restart"/>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b/>
                <w:sz w:val="20"/>
                <w:szCs w:val="20"/>
              </w:rPr>
            </w:pPr>
            <w:r>
              <w:rPr>
                <w:b/>
                <w:sz w:val="20"/>
                <w:szCs w:val="20"/>
              </w:rPr>
              <w:t>Grade</w:t>
            </w:r>
            <w:r>
              <w:rPr>
                <w:b/>
                <w:sz w:val="20"/>
                <w:szCs w:val="20"/>
                <w:vertAlign w:val="superscript"/>
              </w:rPr>
              <w:t>1</w:t>
            </w:r>
          </w:p>
        </w:tc>
        <w:tc>
          <w:tcPr>
            <w:tcW w:w="1470" w:type="dxa"/>
            <w:tcBorders>
              <w:top w:val="single" w:sz="8" w:space="0" w:color="000000"/>
              <w:left w:val="single" w:sz="8" w:space="0" w:color="000000"/>
              <w:bottom w:val="nil"/>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Low</w:t>
            </w:r>
          </w:p>
        </w:tc>
        <w:tc>
          <w:tcPr>
            <w:tcW w:w="1275" w:type="dxa"/>
            <w:tcBorders>
              <w:top w:val="single" w:sz="8" w:space="0" w:color="000000"/>
              <w:left w:val="single" w:sz="8" w:space="0" w:color="000000"/>
              <w:bottom w:val="nil"/>
              <w:right w:val="nil"/>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36% (5)</w:t>
            </w:r>
          </w:p>
        </w:tc>
        <w:tc>
          <w:tcPr>
            <w:tcW w:w="1470" w:type="dxa"/>
            <w:tcBorders>
              <w:top w:val="single" w:sz="8" w:space="0" w:color="000000"/>
              <w:left w:val="nil"/>
              <w:bottom w:val="nil"/>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41% (9)</w:t>
            </w:r>
          </w:p>
        </w:tc>
        <w:tc>
          <w:tcPr>
            <w:tcW w:w="1365" w:type="dxa"/>
            <w:vMerge w:val="restart"/>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spacing w:line="240" w:lineRule="auto"/>
              <w:jc w:val="center"/>
              <w:rPr>
                <w:sz w:val="20"/>
                <w:szCs w:val="20"/>
              </w:rPr>
            </w:pPr>
            <w:r>
              <w:rPr>
                <w:i/>
                <w:sz w:val="20"/>
                <w:szCs w:val="20"/>
              </w:rPr>
              <w:t>p=0.59</w:t>
            </w:r>
          </w:p>
        </w:tc>
      </w:tr>
      <w:tr w:rsidR="00C91B09" w:rsidTr="00A44585">
        <w:trPr>
          <w:trHeight w:val="561"/>
          <w:jc w:val="center"/>
        </w:trPr>
        <w:tc>
          <w:tcPr>
            <w:tcW w:w="2205" w:type="dxa"/>
            <w:vMerge/>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widowControl w:val="0"/>
              <w:spacing w:line="240" w:lineRule="auto"/>
            </w:pPr>
          </w:p>
        </w:tc>
        <w:tc>
          <w:tcPr>
            <w:tcW w:w="1470" w:type="dxa"/>
            <w:tcBorders>
              <w:top w:val="nil"/>
              <w:left w:val="single" w:sz="8" w:space="0" w:color="000000"/>
              <w:bottom w:val="nil"/>
              <w:right w:val="single" w:sz="8" w:space="0" w:color="000000"/>
            </w:tcBorders>
            <w:shd w:val="clear" w:color="auto" w:fill="auto"/>
            <w:tcMar>
              <w:top w:w="20" w:type="dxa"/>
              <w:left w:w="20" w:type="dxa"/>
              <w:bottom w:w="100" w:type="dxa"/>
              <w:right w:w="20" w:type="dxa"/>
            </w:tcMar>
            <w:vAlign w:val="center"/>
          </w:tcPr>
          <w:p w:rsidR="00C91B09" w:rsidRDefault="00C91B09" w:rsidP="00A44585">
            <w:pPr>
              <w:widowControl w:val="0"/>
              <w:spacing w:line="240" w:lineRule="auto"/>
              <w:jc w:val="center"/>
              <w:rPr>
                <w:sz w:val="20"/>
                <w:szCs w:val="20"/>
                <w:vertAlign w:val="superscript"/>
              </w:rPr>
            </w:pPr>
            <w:r>
              <w:rPr>
                <w:sz w:val="20"/>
                <w:szCs w:val="20"/>
              </w:rPr>
              <w:t>Intermediate</w:t>
            </w:r>
          </w:p>
        </w:tc>
        <w:tc>
          <w:tcPr>
            <w:tcW w:w="1275" w:type="dxa"/>
            <w:tcBorders>
              <w:top w:val="nil"/>
              <w:left w:val="single" w:sz="8" w:space="0" w:color="000000"/>
              <w:bottom w:val="nil"/>
              <w:right w:val="nil"/>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50% (7)</w:t>
            </w:r>
          </w:p>
        </w:tc>
        <w:tc>
          <w:tcPr>
            <w:tcW w:w="1470" w:type="dxa"/>
            <w:tcBorders>
              <w:top w:val="nil"/>
              <w:left w:val="nil"/>
              <w:bottom w:val="nil"/>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27% (6)</w:t>
            </w:r>
          </w:p>
        </w:tc>
        <w:tc>
          <w:tcPr>
            <w:tcW w:w="1365" w:type="dxa"/>
            <w:vMerge/>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widowControl w:val="0"/>
            </w:pPr>
          </w:p>
        </w:tc>
      </w:tr>
      <w:tr w:rsidR="00C91B09" w:rsidTr="00A44585">
        <w:trPr>
          <w:trHeight w:val="561"/>
          <w:jc w:val="center"/>
        </w:trPr>
        <w:tc>
          <w:tcPr>
            <w:tcW w:w="2205" w:type="dxa"/>
            <w:vMerge/>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widowControl w:val="0"/>
              <w:spacing w:line="240" w:lineRule="auto"/>
            </w:pPr>
          </w:p>
        </w:tc>
        <w:tc>
          <w:tcPr>
            <w:tcW w:w="1470" w:type="dxa"/>
            <w:tcBorders>
              <w:top w:val="nil"/>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widowControl w:val="0"/>
              <w:spacing w:line="240" w:lineRule="auto"/>
              <w:jc w:val="center"/>
              <w:rPr>
                <w:sz w:val="20"/>
                <w:szCs w:val="20"/>
              </w:rPr>
            </w:pPr>
            <w:r>
              <w:rPr>
                <w:sz w:val="20"/>
                <w:szCs w:val="20"/>
              </w:rPr>
              <w:t>High</w:t>
            </w:r>
          </w:p>
        </w:tc>
        <w:tc>
          <w:tcPr>
            <w:tcW w:w="1275" w:type="dxa"/>
            <w:tcBorders>
              <w:top w:val="nil"/>
              <w:left w:val="single" w:sz="8" w:space="0" w:color="000000"/>
              <w:bottom w:val="single" w:sz="8" w:space="0" w:color="000000"/>
              <w:right w:val="nil"/>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7% (1)</w:t>
            </w:r>
          </w:p>
        </w:tc>
        <w:tc>
          <w:tcPr>
            <w:tcW w:w="1470" w:type="dxa"/>
            <w:tcBorders>
              <w:top w:val="nil"/>
              <w:left w:val="nil"/>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9% (2)</w:t>
            </w:r>
          </w:p>
        </w:tc>
        <w:tc>
          <w:tcPr>
            <w:tcW w:w="1365" w:type="dxa"/>
            <w:vMerge/>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center"/>
          </w:tcPr>
          <w:p w:rsidR="00C91B09" w:rsidRDefault="00C91B09" w:rsidP="00A44585">
            <w:pPr>
              <w:widowControl w:val="0"/>
            </w:pPr>
          </w:p>
        </w:tc>
      </w:tr>
      <w:tr w:rsidR="00C91B09" w:rsidTr="00A44585">
        <w:trPr>
          <w:trHeight w:val="540"/>
          <w:jc w:val="center"/>
        </w:trPr>
        <w:tc>
          <w:tcPr>
            <w:tcW w:w="2205" w:type="dxa"/>
            <w:vMerge w:val="restart"/>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b/>
                <w:sz w:val="20"/>
                <w:szCs w:val="20"/>
                <w:vertAlign w:val="superscript"/>
              </w:rPr>
            </w:pPr>
            <w:r>
              <w:rPr>
                <w:b/>
                <w:sz w:val="20"/>
                <w:szCs w:val="20"/>
              </w:rPr>
              <w:t>ER status</w:t>
            </w:r>
            <w:r>
              <w:rPr>
                <w:b/>
                <w:sz w:val="20"/>
                <w:szCs w:val="20"/>
                <w:vertAlign w:val="superscript"/>
              </w:rPr>
              <w:t>1</w:t>
            </w:r>
          </w:p>
        </w:tc>
        <w:tc>
          <w:tcPr>
            <w:tcW w:w="1470" w:type="dxa"/>
            <w:tcBorders>
              <w:top w:val="single" w:sz="8" w:space="0" w:color="000000"/>
              <w:left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b/>
                <w:sz w:val="20"/>
                <w:szCs w:val="20"/>
              </w:rPr>
            </w:pPr>
            <w:r>
              <w:rPr>
                <w:b/>
                <w:sz w:val="20"/>
                <w:szCs w:val="20"/>
              </w:rPr>
              <w:t>+</w:t>
            </w:r>
          </w:p>
        </w:tc>
        <w:tc>
          <w:tcPr>
            <w:tcW w:w="1275" w:type="dxa"/>
            <w:tcBorders>
              <w:top w:val="single" w:sz="8" w:space="0" w:color="000000"/>
              <w:left w:val="single" w:sz="8" w:space="0" w:color="000000"/>
              <w:bottom w:val="nil"/>
              <w:right w:val="nil"/>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71% (10)</w:t>
            </w:r>
          </w:p>
        </w:tc>
        <w:tc>
          <w:tcPr>
            <w:tcW w:w="1470" w:type="dxa"/>
            <w:tcBorders>
              <w:top w:val="single" w:sz="8" w:space="0" w:color="000000"/>
              <w:left w:val="nil"/>
              <w:bottom w:val="nil"/>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77% (17)</w:t>
            </w:r>
          </w:p>
        </w:tc>
        <w:tc>
          <w:tcPr>
            <w:tcW w:w="1365" w:type="dxa"/>
            <w:vMerge w:val="restart"/>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i/>
                <w:sz w:val="20"/>
                <w:szCs w:val="20"/>
              </w:rPr>
            </w:pPr>
            <w:r>
              <w:rPr>
                <w:i/>
                <w:sz w:val="20"/>
                <w:szCs w:val="20"/>
              </w:rPr>
              <w:t>p=0.39</w:t>
            </w:r>
          </w:p>
        </w:tc>
      </w:tr>
      <w:tr w:rsidR="00C91B09" w:rsidTr="00A44585">
        <w:trPr>
          <w:trHeight w:val="561"/>
          <w:jc w:val="center"/>
        </w:trPr>
        <w:tc>
          <w:tcPr>
            <w:tcW w:w="220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right"/>
              <w:rPr>
                <w:b/>
                <w:sz w:val="20"/>
                <w:szCs w:val="20"/>
              </w:rPr>
            </w:pPr>
          </w:p>
        </w:tc>
        <w:tc>
          <w:tcPr>
            <w:tcW w:w="1470" w:type="dxa"/>
            <w:tcBorders>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b/>
                <w:sz w:val="20"/>
                <w:szCs w:val="20"/>
              </w:rPr>
            </w:pPr>
            <w:r>
              <w:rPr>
                <w:b/>
                <w:sz w:val="20"/>
                <w:szCs w:val="20"/>
              </w:rPr>
              <w:t>-</w:t>
            </w:r>
          </w:p>
        </w:tc>
        <w:tc>
          <w:tcPr>
            <w:tcW w:w="1275" w:type="dxa"/>
            <w:tcBorders>
              <w:top w:val="nil"/>
              <w:left w:val="single" w:sz="8" w:space="0" w:color="000000"/>
              <w:bottom w:val="single" w:sz="8" w:space="0" w:color="000000"/>
              <w:right w:val="nil"/>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7% (1)</w:t>
            </w:r>
          </w:p>
        </w:tc>
        <w:tc>
          <w:tcPr>
            <w:tcW w:w="1470" w:type="dxa"/>
            <w:tcBorders>
              <w:top w:val="nil"/>
              <w:left w:val="nil"/>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 (0)</w:t>
            </w:r>
          </w:p>
        </w:tc>
        <w:tc>
          <w:tcPr>
            <w:tcW w:w="136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i/>
                <w:sz w:val="20"/>
                <w:szCs w:val="20"/>
              </w:rPr>
            </w:pPr>
          </w:p>
        </w:tc>
      </w:tr>
      <w:tr w:rsidR="00C91B09" w:rsidTr="00A44585">
        <w:trPr>
          <w:trHeight w:val="561"/>
          <w:jc w:val="center"/>
        </w:trPr>
        <w:tc>
          <w:tcPr>
            <w:tcW w:w="2205" w:type="dxa"/>
            <w:vMerge w:val="restart"/>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widowControl w:val="0"/>
              <w:spacing w:line="240" w:lineRule="auto"/>
              <w:jc w:val="center"/>
              <w:rPr>
                <w:b/>
                <w:sz w:val="20"/>
                <w:szCs w:val="20"/>
              </w:rPr>
            </w:pPr>
            <w:r>
              <w:rPr>
                <w:b/>
                <w:sz w:val="20"/>
                <w:szCs w:val="20"/>
              </w:rPr>
              <w:t>Ethnicity</w:t>
            </w:r>
            <w:r>
              <w:rPr>
                <w:b/>
                <w:sz w:val="20"/>
                <w:szCs w:val="20"/>
                <w:vertAlign w:val="superscript"/>
              </w:rPr>
              <w:t>1</w:t>
            </w:r>
          </w:p>
        </w:tc>
        <w:tc>
          <w:tcPr>
            <w:tcW w:w="1470" w:type="dxa"/>
            <w:tcBorders>
              <w:top w:val="single" w:sz="8" w:space="0" w:color="000000"/>
              <w:left w:val="single" w:sz="8" w:space="0" w:color="000000"/>
              <w:bottom w:val="nil"/>
              <w:right w:val="single" w:sz="8" w:space="0" w:color="000000"/>
            </w:tcBorders>
            <w:shd w:val="clear" w:color="auto" w:fill="auto"/>
            <w:tcMar>
              <w:top w:w="20" w:type="dxa"/>
              <w:left w:w="20" w:type="dxa"/>
              <w:bottom w:w="100" w:type="dxa"/>
              <w:right w:w="20" w:type="dxa"/>
            </w:tcMar>
            <w:vAlign w:val="center"/>
          </w:tcPr>
          <w:p w:rsidR="00C91B09" w:rsidRDefault="00C91B09" w:rsidP="00A44585">
            <w:pPr>
              <w:widowControl w:val="0"/>
              <w:spacing w:line="240" w:lineRule="auto"/>
              <w:jc w:val="center"/>
              <w:rPr>
                <w:sz w:val="20"/>
                <w:szCs w:val="20"/>
              </w:rPr>
            </w:pPr>
            <w:r>
              <w:rPr>
                <w:sz w:val="20"/>
                <w:szCs w:val="20"/>
              </w:rPr>
              <w:t>Hispanic</w:t>
            </w:r>
          </w:p>
        </w:tc>
        <w:tc>
          <w:tcPr>
            <w:tcW w:w="1275" w:type="dxa"/>
            <w:tcBorders>
              <w:top w:val="single" w:sz="8" w:space="0" w:color="000000"/>
              <w:left w:val="single" w:sz="8" w:space="0" w:color="000000"/>
              <w:bottom w:val="nil"/>
              <w:right w:val="nil"/>
            </w:tcBorders>
            <w:shd w:val="clear" w:color="auto" w:fill="auto"/>
            <w:tcMar>
              <w:top w:w="20" w:type="dxa"/>
              <w:left w:w="20" w:type="dxa"/>
              <w:bottom w:w="100" w:type="dxa"/>
              <w:right w:w="20" w:type="dxa"/>
            </w:tcMar>
            <w:vAlign w:val="center"/>
          </w:tcPr>
          <w:p w:rsidR="00C91B09" w:rsidRDefault="00C91B09" w:rsidP="00A44585">
            <w:pPr>
              <w:widowControl w:val="0"/>
              <w:spacing w:line="240" w:lineRule="auto"/>
              <w:jc w:val="center"/>
              <w:rPr>
                <w:sz w:val="20"/>
                <w:szCs w:val="20"/>
              </w:rPr>
            </w:pPr>
            <w:r>
              <w:rPr>
                <w:sz w:val="20"/>
                <w:szCs w:val="20"/>
              </w:rPr>
              <w:t>14% (2)</w:t>
            </w:r>
          </w:p>
        </w:tc>
        <w:tc>
          <w:tcPr>
            <w:tcW w:w="1470" w:type="dxa"/>
            <w:tcBorders>
              <w:top w:val="single" w:sz="8" w:space="0" w:color="000000"/>
              <w:left w:val="nil"/>
              <w:bottom w:val="nil"/>
              <w:right w:val="single" w:sz="8" w:space="0" w:color="000000"/>
            </w:tcBorders>
            <w:shd w:val="clear" w:color="auto" w:fill="auto"/>
            <w:tcMar>
              <w:top w:w="20" w:type="dxa"/>
              <w:left w:w="20" w:type="dxa"/>
              <w:bottom w:w="100" w:type="dxa"/>
              <w:right w:w="20" w:type="dxa"/>
            </w:tcMar>
            <w:vAlign w:val="center"/>
          </w:tcPr>
          <w:p w:rsidR="00C91B09" w:rsidRDefault="00C91B09" w:rsidP="00A44585">
            <w:pPr>
              <w:widowControl w:val="0"/>
              <w:spacing w:line="240" w:lineRule="auto"/>
              <w:jc w:val="center"/>
              <w:rPr>
                <w:sz w:val="20"/>
                <w:szCs w:val="20"/>
              </w:rPr>
            </w:pPr>
            <w:r>
              <w:rPr>
                <w:sz w:val="20"/>
                <w:szCs w:val="20"/>
              </w:rPr>
              <w:t>9% (2)</w:t>
            </w:r>
          </w:p>
        </w:tc>
        <w:tc>
          <w:tcPr>
            <w:tcW w:w="1365" w:type="dxa"/>
            <w:vMerge w:val="restart"/>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i/>
                <w:sz w:val="20"/>
                <w:szCs w:val="20"/>
              </w:rPr>
              <w:t>p=0.63</w:t>
            </w:r>
          </w:p>
        </w:tc>
      </w:tr>
      <w:tr w:rsidR="00C91B09" w:rsidTr="00A44585">
        <w:trPr>
          <w:trHeight w:val="561"/>
          <w:jc w:val="center"/>
        </w:trPr>
        <w:tc>
          <w:tcPr>
            <w:tcW w:w="220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widowControl w:val="0"/>
            </w:pPr>
          </w:p>
        </w:tc>
        <w:tc>
          <w:tcPr>
            <w:tcW w:w="1470" w:type="dxa"/>
            <w:tcBorders>
              <w:top w:val="nil"/>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widowControl w:val="0"/>
              <w:spacing w:line="240" w:lineRule="auto"/>
              <w:jc w:val="center"/>
              <w:rPr>
                <w:sz w:val="20"/>
                <w:szCs w:val="20"/>
              </w:rPr>
            </w:pPr>
            <w:r>
              <w:rPr>
                <w:sz w:val="20"/>
                <w:szCs w:val="20"/>
              </w:rPr>
              <w:t>Non-Hispanic</w:t>
            </w:r>
          </w:p>
        </w:tc>
        <w:tc>
          <w:tcPr>
            <w:tcW w:w="1275" w:type="dxa"/>
            <w:tcBorders>
              <w:top w:val="nil"/>
              <w:left w:val="single" w:sz="8" w:space="0" w:color="000000"/>
              <w:bottom w:val="single" w:sz="8" w:space="0" w:color="000000"/>
              <w:right w:val="nil"/>
            </w:tcBorders>
            <w:shd w:val="clear" w:color="auto" w:fill="auto"/>
            <w:tcMar>
              <w:top w:w="20" w:type="dxa"/>
              <w:left w:w="20" w:type="dxa"/>
              <w:bottom w:w="100" w:type="dxa"/>
              <w:right w:w="20" w:type="dxa"/>
            </w:tcMar>
            <w:vAlign w:val="center"/>
          </w:tcPr>
          <w:p w:rsidR="00C91B09" w:rsidRDefault="00C91B09" w:rsidP="00A44585">
            <w:pPr>
              <w:widowControl w:val="0"/>
              <w:spacing w:line="240" w:lineRule="auto"/>
              <w:jc w:val="center"/>
              <w:rPr>
                <w:sz w:val="20"/>
                <w:szCs w:val="20"/>
              </w:rPr>
            </w:pPr>
            <w:r>
              <w:rPr>
                <w:sz w:val="20"/>
                <w:szCs w:val="20"/>
              </w:rPr>
              <w:t>86% (12)</w:t>
            </w:r>
          </w:p>
        </w:tc>
        <w:tc>
          <w:tcPr>
            <w:tcW w:w="1470" w:type="dxa"/>
            <w:tcBorders>
              <w:top w:val="nil"/>
              <w:left w:val="nil"/>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widowControl w:val="0"/>
              <w:spacing w:line="240" w:lineRule="auto"/>
              <w:jc w:val="center"/>
              <w:rPr>
                <w:sz w:val="20"/>
                <w:szCs w:val="20"/>
              </w:rPr>
            </w:pPr>
            <w:r>
              <w:rPr>
                <w:sz w:val="20"/>
                <w:szCs w:val="20"/>
              </w:rPr>
              <w:t>91% (20)</w:t>
            </w:r>
          </w:p>
        </w:tc>
        <w:tc>
          <w:tcPr>
            <w:tcW w:w="136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widowControl w:val="0"/>
            </w:pPr>
          </w:p>
        </w:tc>
      </w:tr>
      <w:tr w:rsidR="00C91B09" w:rsidTr="00A44585">
        <w:trPr>
          <w:trHeight w:val="561"/>
          <w:jc w:val="center"/>
        </w:trPr>
        <w:tc>
          <w:tcPr>
            <w:tcW w:w="2205" w:type="dxa"/>
            <w:vMerge w:val="restart"/>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b/>
                <w:sz w:val="20"/>
                <w:szCs w:val="20"/>
              </w:rPr>
            </w:pPr>
            <w:r>
              <w:rPr>
                <w:b/>
                <w:sz w:val="20"/>
                <w:szCs w:val="20"/>
              </w:rPr>
              <w:t>Race</w:t>
            </w:r>
          </w:p>
        </w:tc>
        <w:tc>
          <w:tcPr>
            <w:tcW w:w="1470" w:type="dxa"/>
            <w:tcBorders>
              <w:top w:val="single" w:sz="8" w:space="0" w:color="000000"/>
              <w:left w:val="single" w:sz="8" w:space="0" w:color="000000"/>
              <w:bottom w:val="nil"/>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Asian</w:t>
            </w:r>
          </w:p>
        </w:tc>
        <w:tc>
          <w:tcPr>
            <w:tcW w:w="1275" w:type="dxa"/>
            <w:tcBorders>
              <w:top w:val="single" w:sz="8" w:space="0" w:color="000000"/>
              <w:left w:val="single" w:sz="8" w:space="0" w:color="000000"/>
              <w:bottom w:val="nil"/>
              <w:right w:val="nil"/>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14% (2)</w:t>
            </w:r>
          </w:p>
        </w:tc>
        <w:tc>
          <w:tcPr>
            <w:tcW w:w="1470" w:type="dxa"/>
            <w:tcBorders>
              <w:top w:val="single" w:sz="8" w:space="0" w:color="000000"/>
              <w:left w:val="nil"/>
              <w:bottom w:val="nil"/>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9% (2)</w:t>
            </w:r>
          </w:p>
        </w:tc>
        <w:tc>
          <w:tcPr>
            <w:tcW w:w="1365" w:type="dxa"/>
            <w:vMerge w:val="restart"/>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i/>
                <w:sz w:val="20"/>
                <w:szCs w:val="20"/>
              </w:rPr>
              <w:t>p=0.63</w:t>
            </w:r>
          </w:p>
        </w:tc>
      </w:tr>
      <w:tr w:rsidR="00C91B09" w:rsidTr="00A44585">
        <w:trPr>
          <w:jc w:val="center"/>
        </w:trPr>
        <w:tc>
          <w:tcPr>
            <w:tcW w:w="220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widowControl w:val="0"/>
            </w:pPr>
          </w:p>
        </w:tc>
        <w:tc>
          <w:tcPr>
            <w:tcW w:w="1470" w:type="dxa"/>
            <w:tcBorders>
              <w:top w:val="nil"/>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bottom"/>
          </w:tcPr>
          <w:p w:rsidR="00C91B09" w:rsidRDefault="00C91B09" w:rsidP="00A44585">
            <w:pPr>
              <w:spacing w:line="240" w:lineRule="auto"/>
              <w:jc w:val="center"/>
              <w:rPr>
                <w:sz w:val="20"/>
                <w:szCs w:val="20"/>
              </w:rPr>
            </w:pPr>
            <w:r>
              <w:rPr>
                <w:sz w:val="20"/>
                <w:szCs w:val="20"/>
              </w:rPr>
              <w:t>White</w:t>
            </w:r>
          </w:p>
        </w:tc>
        <w:tc>
          <w:tcPr>
            <w:tcW w:w="1275" w:type="dxa"/>
            <w:tcBorders>
              <w:top w:val="nil"/>
              <w:left w:val="single" w:sz="8" w:space="0" w:color="000000"/>
              <w:bottom w:val="single" w:sz="8" w:space="0" w:color="000000"/>
              <w:right w:val="nil"/>
            </w:tcBorders>
            <w:shd w:val="clear" w:color="auto" w:fill="auto"/>
            <w:tcMar>
              <w:top w:w="20" w:type="dxa"/>
              <w:left w:w="20" w:type="dxa"/>
              <w:bottom w:w="100" w:type="dxa"/>
              <w:right w:w="20" w:type="dxa"/>
            </w:tcMar>
            <w:vAlign w:val="bottom"/>
          </w:tcPr>
          <w:p w:rsidR="00C91B09" w:rsidRDefault="00C91B09" w:rsidP="00A44585">
            <w:pPr>
              <w:spacing w:line="240" w:lineRule="auto"/>
              <w:jc w:val="center"/>
              <w:rPr>
                <w:sz w:val="20"/>
                <w:szCs w:val="20"/>
              </w:rPr>
            </w:pPr>
            <w:r>
              <w:rPr>
                <w:sz w:val="20"/>
                <w:szCs w:val="20"/>
              </w:rPr>
              <w:t>86% (12)</w:t>
            </w:r>
          </w:p>
        </w:tc>
        <w:tc>
          <w:tcPr>
            <w:tcW w:w="1470" w:type="dxa"/>
            <w:tcBorders>
              <w:top w:val="nil"/>
              <w:left w:val="nil"/>
              <w:bottom w:val="single" w:sz="8" w:space="0" w:color="000000"/>
              <w:right w:val="single" w:sz="8" w:space="0" w:color="000000"/>
            </w:tcBorders>
            <w:shd w:val="clear" w:color="auto" w:fill="auto"/>
            <w:tcMar>
              <w:top w:w="20" w:type="dxa"/>
              <w:left w:w="20" w:type="dxa"/>
              <w:bottom w:w="100" w:type="dxa"/>
              <w:right w:w="20" w:type="dxa"/>
            </w:tcMar>
            <w:vAlign w:val="bottom"/>
          </w:tcPr>
          <w:p w:rsidR="00C91B09" w:rsidRDefault="00C91B09" w:rsidP="00A44585">
            <w:pPr>
              <w:spacing w:line="240" w:lineRule="auto"/>
              <w:jc w:val="center"/>
              <w:rPr>
                <w:sz w:val="20"/>
                <w:szCs w:val="20"/>
              </w:rPr>
            </w:pPr>
            <w:r>
              <w:rPr>
                <w:sz w:val="20"/>
                <w:szCs w:val="20"/>
              </w:rPr>
              <w:t>91% (20)</w:t>
            </w:r>
          </w:p>
        </w:tc>
        <w:tc>
          <w:tcPr>
            <w:tcW w:w="1365" w:type="dxa"/>
            <w:vMerge/>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widowControl w:val="0"/>
            </w:pPr>
          </w:p>
        </w:tc>
      </w:tr>
      <w:tr w:rsidR="00C91B09" w:rsidTr="00A44585">
        <w:trPr>
          <w:trHeight w:val="561"/>
          <w:jc w:val="center"/>
        </w:trPr>
        <w:tc>
          <w:tcPr>
            <w:tcW w:w="2205" w:type="dxa"/>
            <w:tcBorders>
              <w:top w:val="single" w:sz="8" w:space="0" w:color="000000"/>
              <w:left w:val="single" w:sz="8" w:space="0" w:color="000000"/>
              <w:bottom w:val="single" w:sz="8" w:space="0" w:color="000000"/>
              <w:right w:val="nil"/>
            </w:tcBorders>
            <w:shd w:val="clear" w:color="auto" w:fill="auto"/>
            <w:tcMar>
              <w:top w:w="20" w:type="dxa"/>
              <w:left w:w="20" w:type="dxa"/>
              <w:bottom w:w="100" w:type="dxa"/>
              <w:right w:w="20" w:type="dxa"/>
            </w:tcMar>
            <w:vAlign w:val="center"/>
          </w:tcPr>
          <w:p w:rsidR="00C91B09" w:rsidRDefault="00C91B09" w:rsidP="00A44585">
            <w:pPr>
              <w:spacing w:line="240" w:lineRule="auto"/>
              <w:jc w:val="right"/>
              <w:rPr>
                <w:b/>
                <w:sz w:val="20"/>
                <w:szCs w:val="20"/>
              </w:rPr>
            </w:pPr>
            <w:r>
              <w:rPr>
                <w:b/>
                <w:sz w:val="20"/>
                <w:szCs w:val="20"/>
              </w:rPr>
              <w:t>Pathologic size (cm)</w:t>
            </w:r>
            <w:r>
              <w:rPr>
                <w:sz w:val="20"/>
                <w:szCs w:val="20"/>
                <w:vertAlign w:val="superscript"/>
              </w:rPr>
              <w:t>1</w:t>
            </w:r>
          </w:p>
        </w:tc>
        <w:tc>
          <w:tcPr>
            <w:tcW w:w="1470" w:type="dxa"/>
            <w:tcBorders>
              <w:top w:val="single" w:sz="8" w:space="0" w:color="000000"/>
              <w:left w:val="nil"/>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b/>
                <w:sz w:val="20"/>
                <w:szCs w:val="20"/>
              </w:rPr>
            </w:pPr>
          </w:p>
        </w:tc>
        <w:tc>
          <w:tcPr>
            <w:tcW w:w="1275" w:type="dxa"/>
            <w:tcBorders>
              <w:top w:val="single" w:sz="8" w:space="0" w:color="000000"/>
              <w:left w:val="single" w:sz="8" w:space="0" w:color="000000"/>
              <w:bottom w:val="single" w:sz="8" w:space="0" w:color="000000"/>
              <w:right w:val="nil"/>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1.35</w:t>
            </w:r>
          </w:p>
        </w:tc>
        <w:tc>
          <w:tcPr>
            <w:tcW w:w="1470" w:type="dxa"/>
            <w:tcBorders>
              <w:top w:val="single" w:sz="8" w:space="0" w:color="000000"/>
              <w:left w:val="nil"/>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0.85</w:t>
            </w:r>
          </w:p>
        </w:tc>
        <w:tc>
          <w:tcPr>
            <w:tcW w:w="136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i/>
                <w:sz w:val="20"/>
                <w:szCs w:val="20"/>
              </w:rPr>
              <w:t>p=0.05</w:t>
            </w:r>
          </w:p>
        </w:tc>
      </w:tr>
      <w:tr w:rsidR="00C91B09" w:rsidTr="00A44585">
        <w:trPr>
          <w:trHeight w:val="561"/>
          <w:jc w:val="center"/>
        </w:trPr>
        <w:tc>
          <w:tcPr>
            <w:tcW w:w="2205" w:type="dxa"/>
            <w:tcBorders>
              <w:top w:val="single" w:sz="8" w:space="0" w:color="000000"/>
              <w:left w:val="single" w:sz="8" w:space="0" w:color="000000"/>
              <w:bottom w:val="single" w:sz="8" w:space="0" w:color="000000"/>
              <w:right w:val="nil"/>
            </w:tcBorders>
            <w:shd w:val="clear" w:color="auto" w:fill="auto"/>
            <w:tcMar>
              <w:top w:w="20" w:type="dxa"/>
              <w:left w:w="20" w:type="dxa"/>
              <w:bottom w:w="100" w:type="dxa"/>
              <w:right w:w="20" w:type="dxa"/>
            </w:tcMar>
            <w:vAlign w:val="center"/>
          </w:tcPr>
          <w:p w:rsidR="00C91B09" w:rsidRDefault="00C91B09" w:rsidP="00A44585">
            <w:pPr>
              <w:spacing w:line="240" w:lineRule="auto"/>
              <w:jc w:val="right"/>
              <w:rPr>
                <w:b/>
                <w:sz w:val="20"/>
                <w:szCs w:val="20"/>
              </w:rPr>
            </w:pPr>
            <w:r>
              <w:rPr>
                <w:b/>
                <w:sz w:val="20"/>
                <w:szCs w:val="20"/>
              </w:rPr>
              <w:t>Age at diagnosis (</w:t>
            </w:r>
            <w:proofErr w:type="spellStart"/>
            <w:r>
              <w:rPr>
                <w:b/>
                <w:sz w:val="20"/>
                <w:szCs w:val="20"/>
              </w:rPr>
              <w:t>yrs</w:t>
            </w:r>
            <w:proofErr w:type="spellEnd"/>
            <w:r>
              <w:rPr>
                <w:b/>
                <w:sz w:val="20"/>
                <w:szCs w:val="20"/>
              </w:rPr>
              <w:t>)</w:t>
            </w:r>
          </w:p>
        </w:tc>
        <w:tc>
          <w:tcPr>
            <w:tcW w:w="1470" w:type="dxa"/>
            <w:tcBorders>
              <w:top w:val="single" w:sz="8" w:space="0" w:color="000000"/>
              <w:left w:val="nil"/>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b/>
                <w:sz w:val="20"/>
                <w:szCs w:val="20"/>
              </w:rPr>
            </w:pPr>
          </w:p>
        </w:tc>
        <w:tc>
          <w:tcPr>
            <w:tcW w:w="1275" w:type="dxa"/>
            <w:tcBorders>
              <w:top w:val="single" w:sz="8" w:space="0" w:color="000000"/>
              <w:left w:val="single" w:sz="8" w:space="0" w:color="000000"/>
              <w:bottom w:val="single" w:sz="8" w:space="0" w:color="000000"/>
              <w:right w:val="nil"/>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56.3</w:t>
            </w:r>
          </w:p>
        </w:tc>
        <w:tc>
          <w:tcPr>
            <w:tcW w:w="1470" w:type="dxa"/>
            <w:tcBorders>
              <w:top w:val="single" w:sz="8" w:space="0" w:color="000000"/>
              <w:left w:val="nil"/>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sz w:val="20"/>
                <w:szCs w:val="20"/>
              </w:rPr>
              <w:t>60.1</w:t>
            </w:r>
          </w:p>
        </w:tc>
        <w:tc>
          <w:tcPr>
            <w:tcW w:w="136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100" w:type="dxa"/>
              <w:right w:w="20" w:type="dxa"/>
            </w:tcMar>
            <w:vAlign w:val="center"/>
          </w:tcPr>
          <w:p w:rsidR="00C91B09" w:rsidRDefault="00C91B09" w:rsidP="00A44585">
            <w:pPr>
              <w:spacing w:line="240" w:lineRule="auto"/>
              <w:jc w:val="center"/>
              <w:rPr>
                <w:sz w:val="20"/>
                <w:szCs w:val="20"/>
              </w:rPr>
            </w:pPr>
            <w:r>
              <w:rPr>
                <w:i/>
                <w:sz w:val="20"/>
                <w:szCs w:val="20"/>
              </w:rPr>
              <w:t>p=0.27</w:t>
            </w:r>
          </w:p>
        </w:tc>
      </w:tr>
    </w:tbl>
    <w:p w:rsidR="00C91B09" w:rsidRDefault="00C91B09" w:rsidP="00C91B09">
      <w:pPr>
        <w:numPr>
          <w:ilvl w:val="0"/>
          <w:numId w:val="4"/>
        </w:numPr>
        <w:spacing w:after="0" w:line="240" w:lineRule="auto"/>
        <w:jc w:val="both"/>
        <w:rPr>
          <w:sz w:val="20"/>
          <w:szCs w:val="20"/>
        </w:rPr>
      </w:pPr>
      <w:r>
        <w:rPr>
          <w:sz w:val="20"/>
          <w:szCs w:val="20"/>
        </w:rPr>
        <w:t>Missing values not represented here, but can be found in Table S2.</w:t>
      </w:r>
    </w:p>
    <w:p w:rsidR="00C91B09" w:rsidRDefault="00C91B09" w:rsidP="00C91B09">
      <w:pPr>
        <w:numPr>
          <w:ilvl w:val="0"/>
          <w:numId w:val="4"/>
        </w:numPr>
        <w:spacing w:after="0" w:line="240" w:lineRule="auto"/>
        <w:jc w:val="both"/>
        <w:rPr>
          <w:sz w:val="20"/>
          <w:szCs w:val="20"/>
        </w:rPr>
      </w:pPr>
      <w:r>
        <w:rPr>
          <w:sz w:val="20"/>
          <w:szCs w:val="20"/>
        </w:rPr>
        <w:t>BCSE: Breast cancer subsequent event.</w:t>
      </w:r>
    </w:p>
    <w:p w:rsidR="00C91B09" w:rsidRDefault="00C91B09" w:rsidP="00C91B09">
      <w:pPr>
        <w:numPr>
          <w:ilvl w:val="0"/>
          <w:numId w:val="4"/>
        </w:numPr>
        <w:spacing w:after="0" w:line="240" w:lineRule="auto"/>
        <w:jc w:val="both"/>
        <w:rPr>
          <w:sz w:val="20"/>
          <w:szCs w:val="20"/>
        </w:rPr>
      </w:pPr>
      <w:r>
        <w:rPr>
          <w:sz w:val="20"/>
          <w:szCs w:val="20"/>
        </w:rPr>
        <w:t xml:space="preserve">P-values were computed using Fisher Exact test for ER status, Race, Ethnicity and Chi-square test for Grade. For continuous features, size and age, Mann-Whitney U test was used to compare groups. </w:t>
      </w:r>
    </w:p>
    <w:p w:rsidR="00C91B09" w:rsidRDefault="00C91B09" w:rsidP="00C91B09">
      <w:pPr>
        <w:pStyle w:val="Heading3"/>
      </w:pPr>
      <w:bookmarkStart w:id="28" w:name="_5cugtgxdk0jc" w:colFirst="0" w:colLast="0"/>
      <w:bookmarkEnd w:id="28"/>
    </w:p>
    <w:p w:rsidR="00C91B09" w:rsidRDefault="00C91B09" w:rsidP="00C91B09"/>
    <w:p w:rsidR="00C91B09" w:rsidRDefault="00C91B09">
      <w:bookmarkStart w:id="29" w:name="_GoBack"/>
      <w:bookmarkEnd w:id="29"/>
    </w:p>
    <w:sectPr w:rsidR="00C91B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742EA"/>
    <w:multiLevelType w:val="multilevel"/>
    <w:tmpl w:val="BF2685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0157DE3"/>
    <w:multiLevelType w:val="multilevel"/>
    <w:tmpl w:val="97E6C6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66B4889"/>
    <w:multiLevelType w:val="multilevel"/>
    <w:tmpl w:val="EEFE19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1593EC8"/>
    <w:multiLevelType w:val="multilevel"/>
    <w:tmpl w:val="690A3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B09"/>
    <w:rsid w:val="00045D6F"/>
    <w:rsid w:val="000964FE"/>
    <w:rsid w:val="000D5275"/>
    <w:rsid w:val="001069F0"/>
    <w:rsid w:val="00107D58"/>
    <w:rsid w:val="001604D8"/>
    <w:rsid w:val="001804AE"/>
    <w:rsid w:val="00184DF0"/>
    <w:rsid w:val="001979C8"/>
    <w:rsid w:val="001A23A6"/>
    <w:rsid w:val="001D4BB3"/>
    <w:rsid w:val="001F6C45"/>
    <w:rsid w:val="002373A2"/>
    <w:rsid w:val="002432EC"/>
    <w:rsid w:val="002A39BD"/>
    <w:rsid w:val="002E6C10"/>
    <w:rsid w:val="003031CF"/>
    <w:rsid w:val="00303BD7"/>
    <w:rsid w:val="003476C3"/>
    <w:rsid w:val="003A6C28"/>
    <w:rsid w:val="003D3934"/>
    <w:rsid w:val="003F23C8"/>
    <w:rsid w:val="00402681"/>
    <w:rsid w:val="00410EE1"/>
    <w:rsid w:val="004143A2"/>
    <w:rsid w:val="00427220"/>
    <w:rsid w:val="004B6A48"/>
    <w:rsid w:val="004C753F"/>
    <w:rsid w:val="004E6BD8"/>
    <w:rsid w:val="004E6E1E"/>
    <w:rsid w:val="00504A7E"/>
    <w:rsid w:val="005907D1"/>
    <w:rsid w:val="00593D47"/>
    <w:rsid w:val="00594BE7"/>
    <w:rsid w:val="005C5816"/>
    <w:rsid w:val="005E208F"/>
    <w:rsid w:val="00627455"/>
    <w:rsid w:val="00642B4F"/>
    <w:rsid w:val="00677D4C"/>
    <w:rsid w:val="00696939"/>
    <w:rsid w:val="006F1F21"/>
    <w:rsid w:val="006F2765"/>
    <w:rsid w:val="00701DB2"/>
    <w:rsid w:val="0072124C"/>
    <w:rsid w:val="00731262"/>
    <w:rsid w:val="00746435"/>
    <w:rsid w:val="007533F6"/>
    <w:rsid w:val="00754C10"/>
    <w:rsid w:val="007559B9"/>
    <w:rsid w:val="00797072"/>
    <w:rsid w:val="007A0CEB"/>
    <w:rsid w:val="007A6814"/>
    <w:rsid w:val="007C5891"/>
    <w:rsid w:val="008209F5"/>
    <w:rsid w:val="00842580"/>
    <w:rsid w:val="00843DDF"/>
    <w:rsid w:val="008801E2"/>
    <w:rsid w:val="00881E87"/>
    <w:rsid w:val="008B4C6E"/>
    <w:rsid w:val="008C354B"/>
    <w:rsid w:val="00901784"/>
    <w:rsid w:val="00906C2F"/>
    <w:rsid w:val="00935BAC"/>
    <w:rsid w:val="00937824"/>
    <w:rsid w:val="00A032BF"/>
    <w:rsid w:val="00A824D6"/>
    <w:rsid w:val="00AA00D3"/>
    <w:rsid w:val="00B056E8"/>
    <w:rsid w:val="00B17D4B"/>
    <w:rsid w:val="00B23D40"/>
    <w:rsid w:val="00B615A1"/>
    <w:rsid w:val="00BA3033"/>
    <w:rsid w:val="00BB2BB1"/>
    <w:rsid w:val="00BB3EC8"/>
    <w:rsid w:val="00BC629B"/>
    <w:rsid w:val="00BE2EB3"/>
    <w:rsid w:val="00BE4418"/>
    <w:rsid w:val="00C77D93"/>
    <w:rsid w:val="00C91B09"/>
    <w:rsid w:val="00CF470D"/>
    <w:rsid w:val="00D033D8"/>
    <w:rsid w:val="00D1157F"/>
    <w:rsid w:val="00D2064A"/>
    <w:rsid w:val="00D24C74"/>
    <w:rsid w:val="00D331A3"/>
    <w:rsid w:val="00DB4AC2"/>
    <w:rsid w:val="00DC5166"/>
    <w:rsid w:val="00ED74EA"/>
    <w:rsid w:val="00F63E33"/>
    <w:rsid w:val="00F73B6C"/>
    <w:rsid w:val="00F85DE3"/>
    <w:rsid w:val="00FA1832"/>
    <w:rsid w:val="00FB1A58"/>
    <w:rsid w:val="00FB484B"/>
    <w:rsid w:val="00FB633E"/>
    <w:rsid w:val="00FE04F2"/>
    <w:rsid w:val="00FF0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235FF6-4F8F-4850-A552-BCBB4192E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1B09"/>
    <w:pPr>
      <w:keepNext/>
      <w:keepLines/>
      <w:spacing w:before="400" w:after="120" w:line="480" w:lineRule="auto"/>
      <w:jc w:val="both"/>
      <w:outlineLvl w:val="0"/>
    </w:pPr>
    <w:rPr>
      <w:rFonts w:ascii="Times New Roman" w:eastAsia="Times New Roman" w:hAnsi="Times New Roman" w:cs="Times New Roman"/>
      <w:sz w:val="40"/>
      <w:szCs w:val="40"/>
      <w:highlight w:val="white"/>
      <w:lang w:val="en-CA"/>
    </w:rPr>
  </w:style>
  <w:style w:type="paragraph" w:styleId="Heading2">
    <w:name w:val="heading 2"/>
    <w:basedOn w:val="Normal"/>
    <w:next w:val="Normal"/>
    <w:link w:val="Heading2Char"/>
    <w:uiPriority w:val="9"/>
    <w:unhideWhenUsed/>
    <w:qFormat/>
    <w:rsid w:val="00C91B09"/>
    <w:pPr>
      <w:keepNext/>
      <w:keepLines/>
      <w:spacing w:after="0" w:line="276" w:lineRule="auto"/>
      <w:jc w:val="center"/>
      <w:outlineLvl w:val="1"/>
    </w:pPr>
    <w:rPr>
      <w:rFonts w:ascii="Times New Roman" w:eastAsia="Times New Roman" w:hAnsi="Times New Roman" w:cs="Times New Roman"/>
      <w:b/>
      <w:sz w:val="24"/>
      <w:szCs w:val="24"/>
      <w:highlight w:val="white"/>
      <w:lang w:val="en-CA"/>
    </w:rPr>
  </w:style>
  <w:style w:type="paragraph" w:styleId="Heading3">
    <w:name w:val="heading 3"/>
    <w:basedOn w:val="Normal"/>
    <w:next w:val="Normal"/>
    <w:link w:val="Heading3Char"/>
    <w:uiPriority w:val="9"/>
    <w:unhideWhenUsed/>
    <w:qFormat/>
    <w:rsid w:val="00C91B09"/>
    <w:pPr>
      <w:keepNext/>
      <w:keepLines/>
      <w:spacing w:after="0" w:line="480" w:lineRule="auto"/>
      <w:jc w:val="both"/>
      <w:outlineLvl w:val="2"/>
    </w:pPr>
    <w:rPr>
      <w:rFonts w:ascii="Times New Roman" w:eastAsia="Times New Roman" w:hAnsi="Times New Roman" w:cs="Times New Roman"/>
      <w:b/>
      <w:sz w:val="24"/>
      <w:szCs w:val="24"/>
      <w:highlight w:val="white"/>
      <w:lang w:val="en-CA"/>
    </w:rPr>
  </w:style>
  <w:style w:type="paragraph" w:styleId="Heading4">
    <w:name w:val="heading 4"/>
    <w:basedOn w:val="Normal"/>
    <w:next w:val="Normal"/>
    <w:link w:val="Heading4Char"/>
    <w:uiPriority w:val="9"/>
    <w:semiHidden/>
    <w:unhideWhenUsed/>
    <w:qFormat/>
    <w:rsid w:val="00C91B09"/>
    <w:pPr>
      <w:keepNext/>
      <w:keepLines/>
      <w:spacing w:after="0" w:line="480" w:lineRule="auto"/>
      <w:jc w:val="both"/>
      <w:outlineLvl w:val="3"/>
    </w:pPr>
    <w:rPr>
      <w:rFonts w:ascii="Times New Roman" w:eastAsia="Times New Roman" w:hAnsi="Times New Roman" w:cs="Times New Roman"/>
      <w:b/>
      <w:sz w:val="24"/>
      <w:szCs w:val="24"/>
      <w:highlight w:val="white"/>
      <w:lang w:val="en-CA"/>
    </w:rPr>
  </w:style>
  <w:style w:type="paragraph" w:styleId="Heading5">
    <w:name w:val="heading 5"/>
    <w:basedOn w:val="Normal"/>
    <w:next w:val="Normal"/>
    <w:link w:val="Heading5Char"/>
    <w:uiPriority w:val="9"/>
    <w:semiHidden/>
    <w:unhideWhenUsed/>
    <w:qFormat/>
    <w:rsid w:val="00C91B09"/>
    <w:pPr>
      <w:keepNext/>
      <w:keepLines/>
      <w:spacing w:before="240" w:after="80" w:line="480" w:lineRule="auto"/>
      <w:jc w:val="both"/>
      <w:outlineLvl w:val="4"/>
    </w:pPr>
    <w:rPr>
      <w:rFonts w:ascii="Times New Roman" w:eastAsia="Times New Roman" w:hAnsi="Times New Roman" w:cs="Times New Roman"/>
      <w:color w:val="666666"/>
      <w:highlight w:val="white"/>
      <w:lang w:val="en-CA"/>
    </w:rPr>
  </w:style>
  <w:style w:type="paragraph" w:styleId="Heading6">
    <w:name w:val="heading 6"/>
    <w:basedOn w:val="Normal"/>
    <w:next w:val="Normal"/>
    <w:link w:val="Heading6Char"/>
    <w:uiPriority w:val="9"/>
    <w:semiHidden/>
    <w:unhideWhenUsed/>
    <w:qFormat/>
    <w:rsid w:val="00C91B09"/>
    <w:pPr>
      <w:keepNext/>
      <w:keepLines/>
      <w:spacing w:before="240" w:after="80" w:line="480" w:lineRule="auto"/>
      <w:jc w:val="both"/>
      <w:outlineLvl w:val="5"/>
    </w:pPr>
    <w:rPr>
      <w:rFonts w:ascii="Times New Roman" w:eastAsia="Times New Roman" w:hAnsi="Times New Roman" w:cs="Times New Roman"/>
      <w:i/>
      <w:color w:val="666666"/>
      <w:highlight w:val="whit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B09"/>
    <w:rPr>
      <w:rFonts w:ascii="Times New Roman" w:eastAsia="Times New Roman" w:hAnsi="Times New Roman" w:cs="Times New Roman"/>
      <w:sz w:val="40"/>
      <w:szCs w:val="40"/>
      <w:highlight w:val="white"/>
      <w:lang w:val="en-CA"/>
    </w:rPr>
  </w:style>
  <w:style w:type="character" w:customStyle="1" w:styleId="Heading2Char">
    <w:name w:val="Heading 2 Char"/>
    <w:basedOn w:val="DefaultParagraphFont"/>
    <w:link w:val="Heading2"/>
    <w:uiPriority w:val="9"/>
    <w:rsid w:val="00C91B09"/>
    <w:rPr>
      <w:rFonts w:ascii="Times New Roman" w:eastAsia="Times New Roman" w:hAnsi="Times New Roman" w:cs="Times New Roman"/>
      <w:b/>
      <w:sz w:val="24"/>
      <w:szCs w:val="24"/>
      <w:highlight w:val="white"/>
      <w:lang w:val="en-CA"/>
    </w:rPr>
  </w:style>
  <w:style w:type="character" w:customStyle="1" w:styleId="Heading3Char">
    <w:name w:val="Heading 3 Char"/>
    <w:basedOn w:val="DefaultParagraphFont"/>
    <w:link w:val="Heading3"/>
    <w:uiPriority w:val="9"/>
    <w:rsid w:val="00C91B09"/>
    <w:rPr>
      <w:rFonts w:ascii="Times New Roman" w:eastAsia="Times New Roman" w:hAnsi="Times New Roman" w:cs="Times New Roman"/>
      <w:b/>
      <w:sz w:val="24"/>
      <w:szCs w:val="24"/>
      <w:highlight w:val="white"/>
      <w:lang w:val="en-CA"/>
    </w:rPr>
  </w:style>
  <w:style w:type="character" w:customStyle="1" w:styleId="Heading4Char">
    <w:name w:val="Heading 4 Char"/>
    <w:basedOn w:val="DefaultParagraphFont"/>
    <w:link w:val="Heading4"/>
    <w:uiPriority w:val="9"/>
    <w:semiHidden/>
    <w:rsid w:val="00C91B09"/>
    <w:rPr>
      <w:rFonts w:ascii="Times New Roman" w:eastAsia="Times New Roman" w:hAnsi="Times New Roman" w:cs="Times New Roman"/>
      <w:b/>
      <w:sz w:val="24"/>
      <w:szCs w:val="24"/>
      <w:highlight w:val="white"/>
      <w:lang w:val="en-CA"/>
    </w:rPr>
  </w:style>
  <w:style w:type="character" w:customStyle="1" w:styleId="Heading5Char">
    <w:name w:val="Heading 5 Char"/>
    <w:basedOn w:val="DefaultParagraphFont"/>
    <w:link w:val="Heading5"/>
    <w:uiPriority w:val="9"/>
    <w:semiHidden/>
    <w:rsid w:val="00C91B09"/>
    <w:rPr>
      <w:rFonts w:ascii="Times New Roman" w:eastAsia="Times New Roman" w:hAnsi="Times New Roman" w:cs="Times New Roman"/>
      <w:color w:val="666666"/>
      <w:highlight w:val="white"/>
      <w:lang w:val="en-CA"/>
    </w:rPr>
  </w:style>
  <w:style w:type="character" w:customStyle="1" w:styleId="Heading6Char">
    <w:name w:val="Heading 6 Char"/>
    <w:basedOn w:val="DefaultParagraphFont"/>
    <w:link w:val="Heading6"/>
    <w:uiPriority w:val="9"/>
    <w:semiHidden/>
    <w:rsid w:val="00C91B09"/>
    <w:rPr>
      <w:rFonts w:ascii="Times New Roman" w:eastAsia="Times New Roman" w:hAnsi="Times New Roman" w:cs="Times New Roman"/>
      <w:i/>
      <w:color w:val="666666"/>
      <w:highlight w:val="white"/>
      <w:lang w:val="en-CA"/>
    </w:rPr>
  </w:style>
  <w:style w:type="paragraph" w:styleId="Title">
    <w:name w:val="Title"/>
    <w:basedOn w:val="Normal"/>
    <w:next w:val="Normal"/>
    <w:link w:val="TitleChar"/>
    <w:uiPriority w:val="10"/>
    <w:qFormat/>
    <w:rsid w:val="00C91B09"/>
    <w:pPr>
      <w:keepNext/>
      <w:keepLines/>
      <w:spacing w:after="60" w:line="480" w:lineRule="auto"/>
      <w:jc w:val="both"/>
    </w:pPr>
    <w:rPr>
      <w:rFonts w:ascii="Times New Roman" w:eastAsia="Times New Roman" w:hAnsi="Times New Roman" w:cs="Times New Roman"/>
      <w:sz w:val="52"/>
      <w:szCs w:val="52"/>
      <w:highlight w:val="white"/>
      <w:lang w:val="en-CA"/>
    </w:rPr>
  </w:style>
  <w:style w:type="character" w:customStyle="1" w:styleId="TitleChar">
    <w:name w:val="Title Char"/>
    <w:basedOn w:val="DefaultParagraphFont"/>
    <w:link w:val="Title"/>
    <w:uiPriority w:val="10"/>
    <w:rsid w:val="00C91B09"/>
    <w:rPr>
      <w:rFonts w:ascii="Times New Roman" w:eastAsia="Times New Roman" w:hAnsi="Times New Roman" w:cs="Times New Roman"/>
      <w:sz w:val="52"/>
      <w:szCs w:val="52"/>
      <w:highlight w:val="white"/>
      <w:lang w:val="en-CA"/>
    </w:rPr>
  </w:style>
  <w:style w:type="paragraph" w:styleId="Subtitle">
    <w:name w:val="Subtitle"/>
    <w:basedOn w:val="Normal"/>
    <w:next w:val="Normal"/>
    <w:link w:val="SubtitleChar"/>
    <w:uiPriority w:val="11"/>
    <w:qFormat/>
    <w:rsid w:val="00C91B09"/>
    <w:pPr>
      <w:keepNext/>
      <w:keepLines/>
      <w:spacing w:after="320" w:line="480" w:lineRule="auto"/>
      <w:jc w:val="both"/>
    </w:pPr>
    <w:rPr>
      <w:rFonts w:ascii="Arial" w:eastAsia="Arial" w:hAnsi="Arial" w:cs="Arial"/>
      <w:color w:val="666666"/>
      <w:sz w:val="30"/>
      <w:szCs w:val="30"/>
      <w:highlight w:val="white"/>
      <w:lang w:val="en-CA"/>
    </w:rPr>
  </w:style>
  <w:style w:type="character" w:customStyle="1" w:styleId="SubtitleChar">
    <w:name w:val="Subtitle Char"/>
    <w:basedOn w:val="DefaultParagraphFont"/>
    <w:link w:val="Subtitle"/>
    <w:uiPriority w:val="11"/>
    <w:rsid w:val="00C91B09"/>
    <w:rPr>
      <w:rFonts w:ascii="Arial" w:eastAsia="Arial" w:hAnsi="Arial" w:cs="Arial"/>
      <w:color w:val="666666"/>
      <w:sz w:val="30"/>
      <w:szCs w:val="30"/>
      <w:highlight w:val="white"/>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https://www.pgscatalog.org/score/PGS000001" TargetMode="Externa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1301</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Jini Mol</dc:creator>
  <cp:keywords/>
  <dc:description/>
  <cp:lastModifiedBy>Jini Mol</cp:lastModifiedBy>
  <cp:revision>2</cp:revision>
  <dcterms:created xsi:type="dcterms:W3CDTF">2022-12-08T07:28:00Z</dcterms:created>
  <dcterms:modified xsi:type="dcterms:W3CDTF">2022-12-08T07:30:00Z</dcterms:modified>
</cp:coreProperties>
</file>