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3DB8F" w14:textId="08B2B817" w:rsidR="008B34F2" w:rsidRPr="008B34F2" w:rsidRDefault="008B34F2" w:rsidP="008B34F2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8B34F2">
        <w:rPr>
          <w:rFonts w:ascii="Times New Roman" w:hAnsi="Times New Roman" w:cs="Times New Roman"/>
          <w:b/>
          <w:bCs/>
          <w:sz w:val="24"/>
          <w:szCs w:val="28"/>
        </w:rPr>
        <w:t>Figure S1. Functional enrichment analysis of cytokine antibody array.</w:t>
      </w:r>
    </w:p>
    <w:p w14:paraId="467E1534" w14:textId="2E3D2126" w:rsidR="008B2103" w:rsidRDefault="005F23F3">
      <w:r>
        <w:rPr>
          <w:noProof/>
        </w:rPr>
        <w:drawing>
          <wp:inline distT="0" distB="0" distL="0" distR="0" wp14:anchorId="78D6AFED" wp14:editId="791C586F">
            <wp:extent cx="5274310" cy="408178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8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53306" w14:textId="34C36C8F" w:rsidR="00D61F6B" w:rsidRDefault="00D61F6B"/>
    <w:p w14:paraId="62164D15" w14:textId="77777777" w:rsidR="00D61F6B" w:rsidRDefault="00D61F6B" w:rsidP="00D61F6B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3CDEE85F" w14:textId="77777777" w:rsidR="00D61F6B" w:rsidRDefault="00D61F6B" w:rsidP="00D61F6B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14:paraId="6B035113" w14:textId="794A3FCF" w:rsidR="00D61F6B" w:rsidRDefault="00D61F6B">
      <w:pPr>
        <w:widowControl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51D9B27A" w14:textId="655ACB27" w:rsidR="007153AB" w:rsidRDefault="00D61F6B" w:rsidP="00AD4DAD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 w:rsidRPr="008B34F2">
        <w:rPr>
          <w:rFonts w:ascii="Times New Roman" w:hAnsi="Times New Roman" w:cs="Times New Roman"/>
          <w:b/>
          <w:bCs/>
          <w:sz w:val="24"/>
          <w:szCs w:val="28"/>
        </w:rPr>
        <w:lastRenderedPageBreak/>
        <w:t>Figure S</w:t>
      </w:r>
      <w:r>
        <w:rPr>
          <w:rFonts w:ascii="Times New Roman" w:hAnsi="Times New Roman" w:cs="Times New Roman"/>
          <w:b/>
          <w:bCs/>
          <w:sz w:val="24"/>
          <w:szCs w:val="28"/>
        </w:rPr>
        <w:t>2</w:t>
      </w:r>
      <w:r w:rsidRPr="008B34F2">
        <w:rPr>
          <w:rFonts w:ascii="Times New Roman" w:hAnsi="Times New Roman" w:cs="Times New Roman"/>
          <w:b/>
          <w:bCs/>
          <w:sz w:val="24"/>
          <w:szCs w:val="28"/>
        </w:rPr>
        <w:t>.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7153AB" w:rsidRPr="007153AB">
        <w:rPr>
          <w:rFonts w:ascii="Times New Roman" w:hAnsi="Times New Roman" w:cs="Times New Roman"/>
          <w:b/>
          <w:bCs/>
          <w:sz w:val="24"/>
          <w:szCs w:val="28"/>
        </w:rPr>
        <w:t xml:space="preserve">Validation of </w:t>
      </w:r>
      <w:r w:rsidR="007153AB">
        <w:rPr>
          <w:rFonts w:ascii="Times New Roman" w:hAnsi="Times New Roman" w:cs="Times New Roman"/>
          <w:b/>
          <w:bCs/>
          <w:sz w:val="24"/>
          <w:szCs w:val="28"/>
        </w:rPr>
        <w:t>VIRMA</w:t>
      </w:r>
      <w:r w:rsidR="007153AB" w:rsidRPr="007153AB">
        <w:rPr>
          <w:rFonts w:ascii="Times New Roman" w:hAnsi="Times New Roman" w:cs="Times New Roman"/>
          <w:b/>
          <w:bCs/>
          <w:sz w:val="24"/>
          <w:szCs w:val="28"/>
        </w:rPr>
        <w:t xml:space="preserve"> knockdown and overexpression in </w:t>
      </w:r>
      <w:r w:rsidR="007153AB">
        <w:rPr>
          <w:rFonts w:ascii="Times New Roman" w:hAnsi="Times New Roman" w:cs="Times New Roman"/>
          <w:b/>
          <w:bCs/>
          <w:sz w:val="24"/>
          <w:szCs w:val="28"/>
        </w:rPr>
        <w:t>ICC</w:t>
      </w:r>
      <w:r w:rsidR="007153AB" w:rsidRPr="007153AB">
        <w:rPr>
          <w:rFonts w:ascii="Times New Roman" w:hAnsi="Times New Roman" w:cs="Times New Roman"/>
          <w:b/>
          <w:bCs/>
          <w:sz w:val="24"/>
          <w:szCs w:val="28"/>
        </w:rPr>
        <w:t xml:space="preserve"> cells. (</w:t>
      </w:r>
      <w:r w:rsidR="007153AB" w:rsidRPr="0028258B">
        <w:rPr>
          <w:rFonts w:ascii="Times New Roman" w:hAnsi="Times New Roman" w:cs="Times New Roman"/>
          <w:b/>
          <w:bCs/>
          <w:sz w:val="24"/>
          <w:szCs w:val="28"/>
        </w:rPr>
        <w:t>a</w:t>
      </w:r>
      <w:r w:rsidR="007153AB" w:rsidRPr="007153AB">
        <w:rPr>
          <w:rFonts w:ascii="Times New Roman" w:hAnsi="Times New Roman" w:cs="Times New Roman"/>
          <w:b/>
          <w:bCs/>
          <w:sz w:val="24"/>
          <w:szCs w:val="28"/>
        </w:rPr>
        <w:t>)</w:t>
      </w:r>
      <w:r w:rsidR="007153AB" w:rsidRPr="0028258B">
        <w:rPr>
          <w:rFonts w:ascii="Times New Roman" w:hAnsi="Times New Roman" w:cs="Times New Roman"/>
          <w:sz w:val="24"/>
          <w:szCs w:val="28"/>
        </w:rPr>
        <w:t xml:space="preserve"> qRT-PCR (up) and western blot (down) analysis of VIRMA expression in VIRMA-knockdown ICC cells. siVIRMA-1 and siVIRMA-2 indicate</w:t>
      </w:r>
      <w:r w:rsidR="007153AB">
        <w:rPr>
          <w:rFonts w:ascii="Times New Roman" w:hAnsi="Times New Roman" w:cs="Times New Roman"/>
          <w:sz w:val="24"/>
          <w:szCs w:val="28"/>
        </w:rPr>
        <w:t>d</w:t>
      </w:r>
      <w:r w:rsidR="007153AB" w:rsidRPr="0028258B">
        <w:rPr>
          <w:rFonts w:ascii="Times New Roman" w:hAnsi="Times New Roman" w:cs="Times New Roman"/>
          <w:sz w:val="24"/>
          <w:szCs w:val="28"/>
        </w:rPr>
        <w:t xml:space="preserve"> VIRMA knockdown in both RBE and HuCCT1 cells. </w:t>
      </w:r>
      <w:r w:rsidR="007153AB" w:rsidRPr="007153AB">
        <w:rPr>
          <w:rFonts w:ascii="Times New Roman" w:hAnsi="Times New Roman" w:cs="Times New Roman"/>
          <w:b/>
          <w:bCs/>
          <w:sz w:val="24"/>
          <w:szCs w:val="28"/>
        </w:rPr>
        <w:t>(</w:t>
      </w:r>
      <w:r w:rsidR="007153AB" w:rsidRPr="0028258B">
        <w:rPr>
          <w:rFonts w:ascii="Times New Roman" w:hAnsi="Times New Roman" w:cs="Times New Roman"/>
          <w:b/>
          <w:bCs/>
          <w:sz w:val="24"/>
          <w:szCs w:val="28"/>
        </w:rPr>
        <w:t>b</w:t>
      </w:r>
      <w:r w:rsidR="007153AB" w:rsidRPr="007153AB">
        <w:rPr>
          <w:rFonts w:ascii="Times New Roman" w:hAnsi="Times New Roman" w:cs="Times New Roman"/>
          <w:b/>
          <w:bCs/>
          <w:sz w:val="24"/>
          <w:szCs w:val="28"/>
        </w:rPr>
        <w:t>)</w:t>
      </w:r>
      <w:r w:rsidR="007153AB" w:rsidRPr="0028258B">
        <w:rPr>
          <w:rFonts w:ascii="Times New Roman" w:hAnsi="Times New Roman" w:cs="Times New Roman"/>
          <w:sz w:val="24"/>
          <w:szCs w:val="28"/>
        </w:rPr>
        <w:t xml:space="preserve"> qRT-PCR (up) and western blot (down) analysis of VIRMA expression in VIRMA-overexpression ICC cells. oeVIRMA indicate</w:t>
      </w:r>
      <w:r w:rsidR="007153AB">
        <w:rPr>
          <w:rFonts w:ascii="Times New Roman" w:hAnsi="Times New Roman" w:cs="Times New Roman"/>
          <w:sz w:val="24"/>
          <w:szCs w:val="28"/>
        </w:rPr>
        <w:t>d</w:t>
      </w:r>
      <w:r w:rsidR="007153AB" w:rsidRPr="0028258B">
        <w:rPr>
          <w:rFonts w:ascii="Times New Roman" w:hAnsi="Times New Roman" w:cs="Times New Roman"/>
          <w:sz w:val="24"/>
          <w:szCs w:val="28"/>
        </w:rPr>
        <w:t xml:space="preserve"> RBE cells and HuCCT1 cells transfected with an overexpressing plasmid. The relative quantification was calculated using the 2</w:t>
      </w:r>
      <w:r w:rsidR="007153AB" w:rsidRPr="0028258B">
        <w:rPr>
          <w:rFonts w:ascii="Times New Roman" w:hAnsi="Times New Roman" w:cs="Times New Roman"/>
          <w:sz w:val="24"/>
          <w:szCs w:val="28"/>
          <w:vertAlign w:val="superscript"/>
        </w:rPr>
        <w:t>−ΔΔCt</w:t>
      </w:r>
      <w:r w:rsidR="007153AB" w:rsidRPr="0028258B">
        <w:rPr>
          <w:rFonts w:ascii="Times New Roman" w:hAnsi="Times New Roman" w:cs="Times New Roman"/>
          <w:sz w:val="24"/>
          <w:szCs w:val="28"/>
        </w:rPr>
        <w:t xml:space="preserve"> method and normalized based on GAPDH.</w:t>
      </w:r>
      <w:r w:rsidR="007153AB" w:rsidRPr="007153AB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</w:p>
    <w:p w14:paraId="7C0EB9AE" w14:textId="64157195" w:rsidR="006A2EAA" w:rsidRDefault="007153AB" w:rsidP="00AD4DAD">
      <w:pPr>
        <w:spacing w:line="360" w:lineRule="auto"/>
        <w:jc w:val="left"/>
      </w:pPr>
      <w:r>
        <w:rPr>
          <w:rFonts w:ascii="Times New Roman" w:hAnsi="Times New Roman" w:cs="Times New Roman" w:hint="eastAsia"/>
          <w:b/>
          <w:bCs/>
          <w:noProof/>
          <w:sz w:val="24"/>
          <w:szCs w:val="28"/>
        </w:rPr>
        <w:drawing>
          <wp:inline distT="0" distB="0" distL="0" distR="0" wp14:anchorId="48C00E72" wp14:editId="5D956095">
            <wp:extent cx="4684776" cy="3368040"/>
            <wp:effectExtent l="0" t="0" r="1905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4776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2EAA" w:rsidRPr="006A2EAA">
        <w:t xml:space="preserve"> </w:t>
      </w:r>
    </w:p>
    <w:p w14:paraId="13A66C6D" w14:textId="77777777" w:rsidR="006A2EAA" w:rsidRDefault="006A2EAA">
      <w:pPr>
        <w:widowControl/>
        <w:jc w:val="left"/>
      </w:pPr>
      <w:r>
        <w:br w:type="page"/>
      </w:r>
    </w:p>
    <w:p w14:paraId="243E0134" w14:textId="47FB75C6" w:rsidR="00CB159E" w:rsidRDefault="006A2EAA" w:rsidP="00AD4DAD">
      <w:pPr>
        <w:spacing w:line="360" w:lineRule="auto"/>
        <w:jc w:val="left"/>
        <w:rPr>
          <w:rFonts w:ascii="Times New Roman" w:hAnsi="Times New Roman"/>
        </w:rPr>
      </w:pPr>
      <w:r w:rsidRPr="006A2EAA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Figure S3. </w:t>
      </w:r>
      <w:proofErr w:type="spellStart"/>
      <w:r w:rsidRPr="006A2EAA">
        <w:rPr>
          <w:rFonts w:ascii="Times New Roman" w:hAnsi="Times New Roman" w:cs="Times New Roman"/>
          <w:b/>
          <w:bCs/>
          <w:sz w:val="24"/>
          <w:szCs w:val="28"/>
        </w:rPr>
        <w:t>MeRIP</w:t>
      </w:r>
      <w:proofErr w:type="spellEnd"/>
      <w:r w:rsidRPr="006A2EAA">
        <w:rPr>
          <w:rFonts w:ascii="Times New Roman" w:hAnsi="Times New Roman" w:cs="Times New Roman"/>
          <w:b/>
          <w:bCs/>
          <w:sz w:val="24"/>
          <w:szCs w:val="28"/>
        </w:rPr>
        <w:t>-seq and RNA-seq analysis.</w:t>
      </w:r>
      <w:r w:rsidR="002B69B8" w:rsidRPr="002B69B8">
        <w:rPr>
          <w:rFonts w:ascii="Times New Roman" w:hAnsi="Times New Roman"/>
        </w:rPr>
        <w:t xml:space="preserve"> </w:t>
      </w:r>
      <w:r w:rsidR="00072199" w:rsidRPr="007153AB">
        <w:rPr>
          <w:rFonts w:ascii="Times New Roman" w:hAnsi="Times New Roman" w:cs="Times New Roman"/>
          <w:b/>
          <w:bCs/>
          <w:sz w:val="24"/>
          <w:szCs w:val="28"/>
        </w:rPr>
        <w:t>(</w:t>
      </w:r>
      <w:r w:rsidR="00072199" w:rsidRPr="0083626B">
        <w:rPr>
          <w:rFonts w:ascii="Times New Roman" w:hAnsi="Times New Roman" w:cs="Times New Roman"/>
          <w:b/>
          <w:bCs/>
          <w:sz w:val="24"/>
          <w:szCs w:val="28"/>
        </w:rPr>
        <w:t>a</w:t>
      </w:r>
      <w:r w:rsidR="00072199" w:rsidRPr="007153AB">
        <w:rPr>
          <w:rFonts w:ascii="Times New Roman" w:hAnsi="Times New Roman" w:cs="Times New Roman"/>
          <w:b/>
          <w:bCs/>
          <w:sz w:val="24"/>
          <w:szCs w:val="28"/>
        </w:rPr>
        <w:t>)</w:t>
      </w:r>
      <w:r w:rsidR="0007219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2B69B8">
        <w:rPr>
          <w:rFonts w:ascii="Times New Roman" w:hAnsi="Times New Roman"/>
        </w:rPr>
        <w:t xml:space="preserve">GO analysis of down-regulated genes identified for </w:t>
      </w:r>
      <w:proofErr w:type="spellStart"/>
      <w:r w:rsidR="002B69B8">
        <w:rPr>
          <w:rFonts w:ascii="Times New Roman" w:hAnsi="Times New Roman"/>
        </w:rPr>
        <w:t>MeRIP</w:t>
      </w:r>
      <w:proofErr w:type="spellEnd"/>
      <w:r w:rsidR="002B69B8">
        <w:rPr>
          <w:rFonts w:ascii="Times New Roman" w:hAnsi="Times New Roman"/>
        </w:rPr>
        <w:t>-seq.</w:t>
      </w:r>
      <w:r w:rsidR="002B69B8" w:rsidRPr="002B69B8">
        <w:t xml:space="preserve"> </w:t>
      </w:r>
      <w:r w:rsidR="00072199" w:rsidRPr="007153AB">
        <w:rPr>
          <w:rFonts w:ascii="Times New Roman" w:hAnsi="Times New Roman" w:cs="Times New Roman"/>
          <w:b/>
          <w:bCs/>
          <w:sz w:val="24"/>
          <w:szCs w:val="28"/>
        </w:rPr>
        <w:t>(</w:t>
      </w:r>
      <w:r w:rsidR="00072199">
        <w:rPr>
          <w:rFonts w:ascii="Times New Roman" w:hAnsi="Times New Roman" w:cs="Times New Roman"/>
          <w:b/>
          <w:bCs/>
          <w:sz w:val="24"/>
          <w:szCs w:val="28"/>
        </w:rPr>
        <w:t>b</w:t>
      </w:r>
      <w:r w:rsidR="00072199" w:rsidRPr="007153AB">
        <w:rPr>
          <w:rFonts w:ascii="Times New Roman" w:hAnsi="Times New Roman" w:cs="Times New Roman"/>
          <w:b/>
          <w:bCs/>
          <w:sz w:val="24"/>
          <w:szCs w:val="28"/>
        </w:rPr>
        <w:t>)</w:t>
      </w:r>
      <w:r w:rsidR="0007219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072199">
        <w:rPr>
          <w:rFonts w:ascii="Times New Roman" w:hAnsi="Times New Roman"/>
        </w:rPr>
        <w:t xml:space="preserve">Motif analysis. </w:t>
      </w:r>
      <w:r w:rsidR="00072199" w:rsidRPr="007153AB">
        <w:rPr>
          <w:rFonts w:ascii="Times New Roman" w:hAnsi="Times New Roman" w:cs="Times New Roman"/>
          <w:b/>
          <w:bCs/>
          <w:sz w:val="24"/>
          <w:szCs w:val="28"/>
        </w:rPr>
        <w:t>(</w:t>
      </w:r>
      <w:r w:rsidR="00072199">
        <w:rPr>
          <w:rFonts w:ascii="Times New Roman" w:hAnsi="Times New Roman" w:cs="Times New Roman"/>
          <w:b/>
          <w:bCs/>
          <w:sz w:val="24"/>
          <w:szCs w:val="28"/>
        </w:rPr>
        <w:t>c</w:t>
      </w:r>
      <w:r w:rsidR="00072199" w:rsidRPr="007153AB">
        <w:rPr>
          <w:rFonts w:ascii="Times New Roman" w:hAnsi="Times New Roman" w:cs="Times New Roman"/>
          <w:b/>
          <w:bCs/>
          <w:sz w:val="24"/>
          <w:szCs w:val="28"/>
        </w:rPr>
        <w:t>)</w:t>
      </w:r>
      <w:r w:rsidR="0007219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2B69B8" w:rsidRPr="002B69B8">
        <w:rPr>
          <w:rFonts w:ascii="Times New Roman" w:hAnsi="Times New Roman"/>
        </w:rPr>
        <w:t>The p</w:t>
      </w:r>
      <w:r w:rsidR="002B69B8">
        <w:rPr>
          <w:rFonts w:ascii="Times New Roman" w:hAnsi="Times New Roman"/>
        </w:rPr>
        <w:t>eak</w:t>
      </w:r>
      <w:r w:rsidR="002B69B8" w:rsidRPr="002B69B8">
        <w:rPr>
          <w:rFonts w:ascii="Times New Roman" w:hAnsi="Times New Roman"/>
        </w:rPr>
        <w:t xml:space="preserve"> annotation for m</w:t>
      </w:r>
      <w:r w:rsidR="002B69B8" w:rsidRPr="0028258B">
        <w:rPr>
          <w:rFonts w:ascii="Times New Roman" w:hAnsi="Times New Roman"/>
          <w:vertAlign w:val="superscript"/>
        </w:rPr>
        <w:t>6</w:t>
      </w:r>
      <w:r w:rsidR="002B69B8" w:rsidRPr="002B69B8">
        <w:rPr>
          <w:rFonts w:ascii="Times New Roman" w:hAnsi="Times New Roman"/>
        </w:rPr>
        <w:t xml:space="preserve">A </w:t>
      </w:r>
      <w:r w:rsidR="005F64E1">
        <w:rPr>
          <w:rFonts w:ascii="Times New Roman" w:hAnsi="Times New Roman"/>
        </w:rPr>
        <w:t>signal enrichment</w:t>
      </w:r>
      <w:r w:rsidR="002B69B8" w:rsidRPr="002B69B8">
        <w:rPr>
          <w:rFonts w:ascii="Times New Roman" w:hAnsi="Times New Roman"/>
        </w:rPr>
        <w:t xml:space="preserve"> in </w:t>
      </w:r>
      <w:proofErr w:type="spellStart"/>
      <w:r w:rsidR="002B69B8" w:rsidRPr="002B69B8">
        <w:rPr>
          <w:rFonts w:ascii="Times New Roman" w:hAnsi="Times New Roman"/>
        </w:rPr>
        <w:t>MeRIP</w:t>
      </w:r>
      <w:proofErr w:type="spellEnd"/>
      <w:r w:rsidR="002B69B8" w:rsidRPr="002B69B8">
        <w:rPr>
          <w:rFonts w:ascii="Times New Roman" w:hAnsi="Times New Roman"/>
        </w:rPr>
        <w:t>-seq.</w:t>
      </w:r>
      <w:r w:rsidR="003B26E7">
        <w:rPr>
          <w:rFonts w:ascii="Times New Roman" w:hAnsi="Times New Roman"/>
        </w:rPr>
        <w:t xml:space="preserve"> </w:t>
      </w:r>
      <w:r w:rsidR="00072199" w:rsidRPr="007153AB">
        <w:rPr>
          <w:rFonts w:ascii="Times New Roman" w:hAnsi="Times New Roman" w:cs="Times New Roman"/>
          <w:b/>
          <w:bCs/>
          <w:sz w:val="24"/>
          <w:szCs w:val="28"/>
        </w:rPr>
        <w:t>(</w:t>
      </w:r>
      <w:r w:rsidR="00072199">
        <w:rPr>
          <w:rFonts w:ascii="Times New Roman" w:hAnsi="Times New Roman" w:cs="Times New Roman"/>
          <w:b/>
          <w:bCs/>
          <w:sz w:val="24"/>
          <w:szCs w:val="28"/>
        </w:rPr>
        <w:t>d</w:t>
      </w:r>
      <w:r w:rsidR="00072199" w:rsidRPr="007153AB">
        <w:rPr>
          <w:rFonts w:ascii="Times New Roman" w:hAnsi="Times New Roman" w:cs="Times New Roman"/>
          <w:b/>
          <w:bCs/>
          <w:sz w:val="24"/>
          <w:szCs w:val="28"/>
        </w:rPr>
        <w:t>)</w:t>
      </w:r>
      <w:r w:rsidR="00072199">
        <w:rPr>
          <w:rFonts w:ascii="Times New Roman" w:hAnsi="Times New Roman" w:hint="eastAsia"/>
        </w:rPr>
        <w:t xml:space="preserve"> </w:t>
      </w:r>
      <w:r w:rsidR="00CB159E">
        <w:rPr>
          <w:rFonts w:ascii="Times New Roman" w:hAnsi="Times New Roman"/>
        </w:rPr>
        <w:t>GO analysis of down-regulated genes identified for RNA-seq.</w:t>
      </w:r>
      <w:r w:rsidR="00072199" w:rsidRPr="0007219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072199" w:rsidRPr="007153AB">
        <w:rPr>
          <w:rFonts w:ascii="Times New Roman" w:hAnsi="Times New Roman" w:cs="Times New Roman"/>
          <w:b/>
          <w:bCs/>
          <w:sz w:val="24"/>
          <w:szCs w:val="28"/>
        </w:rPr>
        <w:t>(</w:t>
      </w:r>
      <w:r w:rsidR="00072199">
        <w:rPr>
          <w:rFonts w:ascii="Times New Roman" w:hAnsi="Times New Roman" w:cs="Times New Roman"/>
          <w:b/>
          <w:bCs/>
          <w:sz w:val="24"/>
          <w:szCs w:val="28"/>
        </w:rPr>
        <w:t>e</w:t>
      </w:r>
      <w:r w:rsidR="00072199" w:rsidRPr="007153AB">
        <w:rPr>
          <w:rFonts w:ascii="Times New Roman" w:hAnsi="Times New Roman" w:cs="Times New Roman"/>
          <w:b/>
          <w:bCs/>
          <w:sz w:val="24"/>
          <w:szCs w:val="28"/>
        </w:rPr>
        <w:t>)</w:t>
      </w:r>
      <w:r w:rsidR="00072199">
        <w:rPr>
          <w:rFonts w:ascii="Times New Roman" w:hAnsi="Times New Roman" w:hint="eastAsia"/>
        </w:rPr>
        <w:t xml:space="preserve"> </w:t>
      </w:r>
      <w:r w:rsidR="00072199">
        <w:rPr>
          <w:rFonts w:ascii="Times New Roman" w:hAnsi="Times New Roman"/>
        </w:rPr>
        <w:t>KEGG analysis of down-regulated genes identified for RNA-seq.</w:t>
      </w:r>
      <w:r w:rsidR="00072199" w:rsidRPr="0007219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072199" w:rsidRPr="007153AB">
        <w:rPr>
          <w:rFonts w:ascii="Times New Roman" w:hAnsi="Times New Roman" w:cs="Times New Roman"/>
          <w:b/>
          <w:bCs/>
          <w:sz w:val="24"/>
          <w:szCs w:val="28"/>
        </w:rPr>
        <w:t>(</w:t>
      </w:r>
      <w:r w:rsidR="00072199">
        <w:rPr>
          <w:rFonts w:ascii="Times New Roman" w:hAnsi="Times New Roman" w:cs="Times New Roman"/>
          <w:b/>
          <w:bCs/>
          <w:sz w:val="24"/>
          <w:szCs w:val="28"/>
        </w:rPr>
        <w:t>f</w:t>
      </w:r>
      <w:r w:rsidR="00072199" w:rsidRPr="007153AB">
        <w:rPr>
          <w:rFonts w:ascii="Times New Roman" w:hAnsi="Times New Roman" w:cs="Times New Roman"/>
          <w:b/>
          <w:bCs/>
          <w:sz w:val="24"/>
          <w:szCs w:val="28"/>
        </w:rPr>
        <w:t>)</w:t>
      </w:r>
      <w:r w:rsidR="00072199">
        <w:rPr>
          <w:rFonts w:ascii="Times New Roman" w:hAnsi="Times New Roman" w:hint="eastAsia"/>
        </w:rPr>
        <w:t xml:space="preserve"> </w:t>
      </w:r>
      <w:r w:rsidR="00072199">
        <w:rPr>
          <w:rFonts w:ascii="Times New Roman" w:hAnsi="Times New Roman"/>
        </w:rPr>
        <w:t>GO analysis of up-regulated genes identified for RNA-seq.</w:t>
      </w:r>
      <w:r w:rsidR="00072199" w:rsidRPr="0007219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072199" w:rsidRPr="007153AB">
        <w:rPr>
          <w:rFonts w:ascii="Times New Roman" w:hAnsi="Times New Roman" w:cs="Times New Roman"/>
          <w:b/>
          <w:bCs/>
          <w:sz w:val="24"/>
          <w:szCs w:val="28"/>
        </w:rPr>
        <w:t>(</w:t>
      </w:r>
      <w:r w:rsidR="00072199">
        <w:rPr>
          <w:rFonts w:ascii="Times New Roman" w:hAnsi="Times New Roman" w:cs="Times New Roman"/>
          <w:b/>
          <w:bCs/>
          <w:sz w:val="24"/>
          <w:szCs w:val="28"/>
        </w:rPr>
        <w:t>g</w:t>
      </w:r>
      <w:r w:rsidR="00072199" w:rsidRPr="007153AB">
        <w:rPr>
          <w:rFonts w:ascii="Times New Roman" w:hAnsi="Times New Roman" w:cs="Times New Roman"/>
          <w:b/>
          <w:bCs/>
          <w:sz w:val="24"/>
          <w:szCs w:val="28"/>
        </w:rPr>
        <w:t>)</w:t>
      </w:r>
      <w:r w:rsidR="00072199">
        <w:rPr>
          <w:rFonts w:ascii="Times New Roman" w:hAnsi="Times New Roman" w:hint="eastAsia"/>
        </w:rPr>
        <w:t xml:space="preserve"> </w:t>
      </w:r>
      <w:r w:rsidR="00072199">
        <w:rPr>
          <w:rFonts w:ascii="Times New Roman" w:hAnsi="Times New Roman"/>
        </w:rPr>
        <w:t>KEGG analysis of up-regulated genes identified for RNA-seq.</w:t>
      </w:r>
    </w:p>
    <w:p w14:paraId="49F482A4" w14:textId="7DF03816" w:rsidR="00E60BEF" w:rsidRDefault="00072199" w:rsidP="00AD4DAD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noProof/>
          <w:sz w:val="24"/>
          <w:szCs w:val="28"/>
        </w:rPr>
        <w:drawing>
          <wp:inline distT="0" distB="0" distL="0" distR="0" wp14:anchorId="5BA9A734" wp14:editId="51ED7F6A">
            <wp:extent cx="5274310" cy="7270115"/>
            <wp:effectExtent l="0" t="0" r="254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7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78FF3" w14:textId="03A49FDA" w:rsidR="00E60BEF" w:rsidRDefault="00E60BEF" w:rsidP="00AD4DAD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 w:rsidRPr="00E60BEF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Figure </w:t>
      </w:r>
      <w:r w:rsidR="000368A4" w:rsidRPr="00E60BEF"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="000368A4">
        <w:rPr>
          <w:rFonts w:ascii="Times New Roman" w:hAnsi="Times New Roman" w:cs="Times New Roman"/>
          <w:b/>
          <w:bCs/>
          <w:sz w:val="24"/>
          <w:szCs w:val="28"/>
        </w:rPr>
        <w:t>4</w:t>
      </w:r>
      <w:r w:rsidRPr="00E60BEF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="000368A4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E60BEF">
        <w:rPr>
          <w:rFonts w:ascii="Times New Roman" w:hAnsi="Times New Roman" w:cs="Times New Roman"/>
          <w:b/>
          <w:bCs/>
          <w:sz w:val="24"/>
          <w:szCs w:val="28"/>
        </w:rPr>
        <w:t>Quantification of rescue experiments.</w:t>
      </w:r>
    </w:p>
    <w:p w14:paraId="4F856FFE" w14:textId="5D952B69" w:rsidR="00E60BEF" w:rsidRPr="00D61F6B" w:rsidRDefault="000368A4" w:rsidP="00AD4DAD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noProof/>
          <w:sz w:val="24"/>
          <w:szCs w:val="28"/>
        </w:rPr>
        <w:drawing>
          <wp:inline distT="0" distB="0" distL="0" distR="0" wp14:anchorId="248CEB6D" wp14:editId="6B36A427">
            <wp:extent cx="5274310" cy="297307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0BEF" w:rsidRPr="00D61F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DF8A2" w14:textId="77777777" w:rsidR="005C7115" w:rsidRDefault="005C7115" w:rsidP="008B34F2">
      <w:r>
        <w:separator/>
      </w:r>
    </w:p>
  </w:endnote>
  <w:endnote w:type="continuationSeparator" w:id="0">
    <w:p w14:paraId="1A8177FE" w14:textId="77777777" w:rsidR="005C7115" w:rsidRDefault="005C7115" w:rsidP="008B3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971C1" w14:textId="77777777" w:rsidR="005C7115" w:rsidRDefault="005C7115" w:rsidP="008B34F2">
      <w:r>
        <w:separator/>
      </w:r>
    </w:p>
  </w:footnote>
  <w:footnote w:type="continuationSeparator" w:id="0">
    <w:p w14:paraId="12192AA7" w14:textId="77777777" w:rsidR="005C7115" w:rsidRDefault="005C7115" w:rsidP="008B34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CEC"/>
    <w:rsid w:val="000368A4"/>
    <w:rsid w:val="00064CC3"/>
    <w:rsid w:val="00072199"/>
    <w:rsid w:val="00172EE2"/>
    <w:rsid w:val="00187D78"/>
    <w:rsid w:val="0028258B"/>
    <w:rsid w:val="002B69B8"/>
    <w:rsid w:val="00374D7B"/>
    <w:rsid w:val="003B26E7"/>
    <w:rsid w:val="00586FEF"/>
    <w:rsid w:val="005C7115"/>
    <w:rsid w:val="005F23F3"/>
    <w:rsid w:val="005F64E1"/>
    <w:rsid w:val="00635864"/>
    <w:rsid w:val="0068738B"/>
    <w:rsid w:val="006A2EAA"/>
    <w:rsid w:val="007153AB"/>
    <w:rsid w:val="007C4D17"/>
    <w:rsid w:val="008B2103"/>
    <w:rsid w:val="008B34F2"/>
    <w:rsid w:val="00AD4DAD"/>
    <w:rsid w:val="00CB159E"/>
    <w:rsid w:val="00D61F6B"/>
    <w:rsid w:val="00E60BEF"/>
    <w:rsid w:val="00FF1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3445DF"/>
  <w15:chartTrackingRefBased/>
  <w15:docId w15:val="{245DEE1D-3ECA-4A67-AFB5-7F76BB2C2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34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34F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34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34F2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064CC3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064CC3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064CC3"/>
  </w:style>
  <w:style w:type="paragraph" w:styleId="aa">
    <w:name w:val="annotation subject"/>
    <w:basedOn w:val="a8"/>
    <w:next w:val="a8"/>
    <w:link w:val="ab"/>
    <w:uiPriority w:val="99"/>
    <w:semiHidden/>
    <w:unhideWhenUsed/>
    <w:rsid w:val="00064CC3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064CC3"/>
    <w:rPr>
      <w:b/>
      <w:bCs/>
    </w:rPr>
  </w:style>
  <w:style w:type="paragraph" w:styleId="ac">
    <w:name w:val="Revision"/>
    <w:hidden/>
    <w:uiPriority w:val="99"/>
    <w:semiHidden/>
    <w:rsid w:val="005F2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shurui</dc:creator>
  <cp:keywords/>
  <dc:description/>
  <cp:lastModifiedBy>zhou shurui</cp:lastModifiedBy>
  <cp:revision>20</cp:revision>
  <cp:lastPrinted>2022-12-31T09:11:00Z</cp:lastPrinted>
  <dcterms:created xsi:type="dcterms:W3CDTF">2022-10-12T04:05:00Z</dcterms:created>
  <dcterms:modified xsi:type="dcterms:W3CDTF">2022-12-31T09:12:00Z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b6d5b7a3e8fbc631cc9b41188b30a73467bd882c71fee647511895f08145d816</vt:lpwstr>
  </property>
</Properties>
</file>