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2B5F2" w14:textId="54ADF40A" w:rsidR="00852A4B" w:rsidRPr="00852A4B" w:rsidRDefault="00852A4B" w:rsidP="00852A4B">
      <w:pPr>
        <w:keepNext/>
        <w:keepLines/>
        <w:spacing w:before="260" w:after="260" w:line="480" w:lineRule="auto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852A4B">
        <w:rPr>
          <w:rFonts w:ascii="Times New Roman" w:hAnsi="Times New Roman" w:cs="Times New Roman"/>
          <w:b/>
          <w:sz w:val="24"/>
          <w:szCs w:val="24"/>
        </w:rPr>
        <w:t>Cell counting kit-8 (CCK-8) assays</w:t>
      </w:r>
    </w:p>
    <w:p w14:paraId="69948D90" w14:textId="77777777" w:rsidR="00CC0479" w:rsidRPr="00CC0479" w:rsidRDefault="00852A4B" w:rsidP="002527B2">
      <w:pPr>
        <w:spacing w:line="360" w:lineRule="auto"/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2527B2">
        <w:rPr>
          <w:rFonts w:ascii="Times New Roman" w:hAnsi="Times New Roman" w:cs="Times New Roman"/>
          <w:sz w:val="24"/>
          <w:szCs w:val="24"/>
        </w:rPr>
        <w:t>CCK8 assays were performed to evaluate cell proliferation in vitro using the CCK8 Kit (</w:t>
      </w:r>
      <w:proofErr w:type="spellStart"/>
      <w:r w:rsidRPr="002527B2">
        <w:rPr>
          <w:rFonts w:ascii="Times New Roman" w:hAnsi="Times New Roman" w:cs="Times New Roman"/>
          <w:sz w:val="24"/>
          <w:szCs w:val="24"/>
        </w:rPr>
        <w:t>Beyotime</w:t>
      </w:r>
      <w:proofErr w:type="spellEnd"/>
      <w:r w:rsidRPr="002527B2">
        <w:rPr>
          <w:rFonts w:ascii="Times New Roman" w:hAnsi="Times New Roman" w:cs="Times New Roman"/>
          <w:sz w:val="24"/>
          <w:szCs w:val="24"/>
        </w:rPr>
        <w:t xml:space="preserve"> Biotechnology, China) on the basis of the manufacturer’s manual. In brief, cells were seeded in 96-well plates with 2 × 10</w:t>
      </w:r>
      <w:r w:rsidRPr="002527B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2527B2">
        <w:rPr>
          <w:rFonts w:ascii="Times New Roman" w:hAnsi="Times New Roman" w:cs="Times New Roman"/>
          <w:sz w:val="24"/>
          <w:szCs w:val="24"/>
        </w:rPr>
        <w:t xml:space="preserve"> cells per well. Then 10μl CCK8 solution was added to each well for incubation at 37 °C for 2 h. Finally, the absorbance was measured at 450 nm by a microplate reader.</w:t>
      </w:r>
    </w:p>
    <w:p w14:paraId="0DD837F4" w14:textId="73A654FC" w:rsidR="00CC0479" w:rsidRPr="002527B2" w:rsidRDefault="00852A4B" w:rsidP="002527B2">
      <w:pPr>
        <w:keepNext/>
        <w:keepLines/>
        <w:spacing w:before="260" w:after="260" w:line="480" w:lineRule="auto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CC0479">
        <w:rPr>
          <w:rFonts w:ascii="Times New Roman" w:hAnsi="Times New Roman" w:cs="Times New Roman"/>
          <w:b/>
          <w:sz w:val="24"/>
          <w:szCs w:val="24"/>
        </w:rPr>
        <w:t>Western blotting (WB)</w:t>
      </w:r>
    </w:p>
    <w:p w14:paraId="38C8249F" w14:textId="1354FBD7" w:rsidR="00BB06B5" w:rsidRDefault="00852A4B" w:rsidP="002527B2">
      <w:pPr>
        <w:spacing w:line="360" w:lineRule="auto"/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2527B2">
        <w:rPr>
          <w:rFonts w:ascii="Times New Roman" w:hAnsi="Times New Roman" w:cs="Times New Roman"/>
          <w:sz w:val="24"/>
          <w:szCs w:val="24"/>
        </w:rPr>
        <w:t>After extraction of total protein by using RIPA lysate (</w:t>
      </w:r>
      <w:proofErr w:type="spellStart"/>
      <w:r w:rsidRPr="002527B2">
        <w:rPr>
          <w:rFonts w:ascii="Times New Roman" w:hAnsi="Times New Roman" w:cs="Times New Roman"/>
          <w:sz w:val="24"/>
          <w:szCs w:val="24"/>
        </w:rPr>
        <w:t>Solarbio</w:t>
      </w:r>
      <w:proofErr w:type="spellEnd"/>
      <w:r w:rsidRPr="002527B2">
        <w:rPr>
          <w:rFonts w:ascii="Times New Roman" w:hAnsi="Times New Roman" w:cs="Times New Roman"/>
          <w:sz w:val="24"/>
          <w:szCs w:val="24"/>
        </w:rPr>
        <w:t>, China), the BCA Protein Assay Kit (</w:t>
      </w:r>
      <w:proofErr w:type="spellStart"/>
      <w:r w:rsidRPr="002527B2">
        <w:rPr>
          <w:rFonts w:ascii="Times New Roman" w:hAnsi="Times New Roman" w:cs="Times New Roman"/>
          <w:sz w:val="24"/>
          <w:szCs w:val="24"/>
        </w:rPr>
        <w:t>Thermo</w:t>
      </w:r>
      <w:proofErr w:type="spellEnd"/>
      <w:r w:rsidRPr="002527B2">
        <w:rPr>
          <w:rFonts w:ascii="Times New Roman" w:hAnsi="Times New Roman" w:cs="Times New Roman"/>
          <w:sz w:val="24"/>
          <w:szCs w:val="24"/>
        </w:rPr>
        <w:t xml:space="preserve"> Fisher Scientific, USA) was utilized to measure the protein concentrations. Equal amounts of proteins (20 </w:t>
      </w:r>
      <w:proofErr w:type="spellStart"/>
      <w:r w:rsidRPr="002527B2">
        <w:rPr>
          <w:rFonts w:ascii="Times New Roman" w:hAnsi="Times New Roman" w:cs="Times New Roman"/>
          <w:sz w:val="24"/>
          <w:szCs w:val="24"/>
        </w:rPr>
        <w:t>μg</w:t>
      </w:r>
      <w:proofErr w:type="spellEnd"/>
      <w:r w:rsidRPr="002527B2">
        <w:rPr>
          <w:rFonts w:ascii="Times New Roman" w:hAnsi="Times New Roman" w:cs="Times New Roman"/>
          <w:sz w:val="24"/>
          <w:szCs w:val="24"/>
        </w:rPr>
        <w:t xml:space="preserve">) were separated on a 10% SDS/PAGE gel and </w:t>
      </w:r>
      <w:proofErr w:type="spellStart"/>
      <w:r w:rsidRPr="002527B2">
        <w:rPr>
          <w:rFonts w:ascii="Times New Roman" w:hAnsi="Times New Roman" w:cs="Times New Roman"/>
          <w:sz w:val="24"/>
          <w:szCs w:val="24"/>
        </w:rPr>
        <w:t>electrotransferred</w:t>
      </w:r>
      <w:proofErr w:type="spellEnd"/>
      <w:r w:rsidRPr="002527B2">
        <w:rPr>
          <w:rFonts w:ascii="Times New Roman" w:hAnsi="Times New Roman" w:cs="Times New Roman"/>
          <w:sz w:val="24"/>
          <w:szCs w:val="24"/>
        </w:rPr>
        <w:t xml:space="preserve"> (100 V, 2 h) to nitrocellulose membranes. The membranes were blocked with 5% BSA for 1 h and then were incubated with primary antibody overnight at 4 °C. The corresponding secondary antibodies were applied on the following day. The blots containing target bands were exposed </w:t>
      </w:r>
      <w:r w:rsidR="00187FB2">
        <w:rPr>
          <w:rFonts w:ascii="Times New Roman" w:hAnsi="Times New Roman" w:cs="Times New Roman"/>
          <w:sz w:val="24"/>
          <w:szCs w:val="24"/>
        </w:rPr>
        <w:t>to</w:t>
      </w:r>
      <w:r w:rsidRPr="002527B2">
        <w:rPr>
          <w:rFonts w:ascii="Times New Roman" w:hAnsi="Times New Roman" w:cs="Times New Roman"/>
          <w:sz w:val="24"/>
          <w:szCs w:val="24"/>
        </w:rPr>
        <w:t xml:space="preserve"> enhanced chemiluminescence (ECL) reagent (</w:t>
      </w:r>
      <w:proofErr w:type="spellStart"/>
      <w:r w:rsidRPr="002527B2">
        <w:rPr>
          <w:rFonts w:ascii="Times New Roman" w:hAnsi="Times New Roman" w:cs="Times New Roman"/>
          <w:sz w:val="24"/>
          <w:szCs w:val="24"/>
        </w:rPr>
        <w:t>Solarbio</w:t>
      </w:r>
      <w:proofErr w:type="spellEnd"/>
      <w:r w:rsidRPr="002527B2">
        <w:rPr>
          <w:rFonts w:ascii="Times New Roman" w:hAnsi="Times New Roman" w:cs="Times New Roman"/>
          <w:sz w:val="24"/>
          <w:szCs w:val="24"/>
        </w:rPr>
        <w:t>, China) on the Exposure meter. The densitometry readings of each band were detected by ImageJ software 1.8.0 in the gray value analysis, and the relative expression was calculated as intensity ratio = target protein gray density/GAPDH gray density</w:t>
      </w:r>
      <w:r w:rsidR="00BB06B5">
        <w:rPr>
          <w:rFonts w:ascii="Times New Roman" w:hAnsi="Times New Roman" w:cs="Times New Roman"/>
          <w:sz w:val="24"/>
          <w:szCs w:val="24"/>
        </w:rPr>
        <w:t>.</w:t>
      </w:r>
    </w:p>
    <w:p w14:paraId="11A51787" w14:textId="4E3DD4FF" w:rsidR="00CC0479" w:rsidRPr="00B046DD" w:rsidRDefault="00852A4B" w:rsidP="002527B2">
      <w:pPr>
        <w:keepNext/>
        <w:keepLines/>
        <w:spacing w:before="260" w:after="260" w:line="480" w:lineRule="auto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B046DD">
        <w:rPr>
          <w:rFonts w:ascii="Times New Roman" w:hAnsi="Times New Roman" w:cs="Times New Roman"/>
          <w:b/>
          <w:sz w:val="24"/>
          <w:szCs w:val="24"/>
        </w:rPr>
        <w:t>Immunohistochemistry (IHC</w:t>
      </w:r>
      <w:r w:rsidR="00B046DD">
        <w:rPr>
          <w:rFonts w:ascii="Times New Roman" w:hAnsi="Times New Roman" w:cs="Times New Roman"/>
          <w:b/>
          <w:sz w:val="24"/>
          <w:szCs w:val="24"/>
        </w:rPr>
        <w:t>)</w:t>
      </w:r>
    </w:p>
    <w:p w14:paraId="232A0CC0" w14:textId="74F23E96" w:rsidR="00852A4B" w:rsidRPr="002527B2" w:rsidRDefault="00852A4B" w:rsidP="002527B2">
      <w:pPr>
        <w:spacing w:line="360" w:lineRule="auto"/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2527B2">
        <w:rPr>
          <w:rFonts w:ascii="Times New Roman" w:hAnsi="Times New Roman" w:cs="Times New Roman"/>
          <w:sz w:val="24"/>
          <w:szCs w:val="24"/>
        </w:rPr>
        <w:t xml:space="preserve">Tissue samples from </w:t>
      </w:r>
      <w:r w:rsidR="00B046DD">
        <w:rPr>
          <w:rFonts w:ascii="Times New Roman" w:hAnsi="Times New Roman" w:cs="Times New Roman"/>
          <w:sz w:val="24"/>
          <w:szCs w:val="24"/>
        </w:rPr>
        <w:t>ICC</w:t>
      </w:r>
      <w:r w:rsidRPr="002527B2">
        <w:rPr>
          <w:rFonts w:ascii="Times New Roman" w:hAnsi="Times New Roman" w:cs="Times New Roman" w:hint="eastAsia"/>
          <w:sz w:val="24"/>
          <w:szCs w:val="24"/>
        </w:rPr>
        <w:t xml:space="preserve"> patients as previously mentioned were fixed in formalin, embedded in paraffin, and cut into 4</w:t>
      </w:r>
      <w:r w:rsidRPr="002527B2">
        <w:rPr>
          <w:rFonts w:ascii="Times New Roman" w:hAnsi="Times New Roman" w:cs="Times New Roman" w:hint="eastAsia"/>
          <w:sz w:val="24"/>
          <w:szCs w:val="24"/>
        </w:rPr>
        <w:t>‐μ</w:t>
      </w:r>
      <w:r w:rsidRPr="002527B2">
        <w:rPr>
          <w:rFonts w:ascii="Times New Roman" w:hAnsi="Times New Roman" w:cs="Times New Roman" w:hint="eastAsia"/>
          <w:sz w:val="24"/>
          <w:szCs w:val="24"/>
        </w:rPr>
        <w:t xml:space="preserve">m sections. The paraffin-embedded sections were deparaffinized, hydrated, and blocked. And then the sections were incubated with primary antibodies overnight, followed by secondary antibodies for 2h. Finally, DAB+ chromogen was used for color development and hematoxylin was applied to counterstain. </w:t>
      </w:r>
      <w:r w:rsidR="00187FB2">
        <w:rPr>
          <w:rFonts w:ascii="Times New Roman" w:hAnsi="Times New Roman" w:cs="Times New Roman"/>
          <w:sz w:val="24"/>
          <w:szCs w:val="24"/>
        </w:rPr>
        <w:t xml:space="preserve">The </w:t>
      </w:r>
      <w:r w:rsidRPr="002527B2">
        <w:rPr>
          <w:rFonts w:ascii="Times New Roman" w:hAnsi="Times New Roman" w:cs="Times New Roman"/>
          <w:sz w:val="24"/>
          <w:szCs w:val="24"/>
        </w:rPr>
        <w:t xml:space="preserve">IHC score for each case was calculated by the following formula: </w:t>
      </w:r>
      <w:r w:rsidRPr="002527B2">
        <w:rPr>
          <w:rFonts w:ascii="Times New Roman" w:hAnsi="Times New Roman" w:cs="Times New Roman"/>
          <w:sz w:val="24"/>
          <w:szCs w:val="24"/>
        </w:rPr>
        <w:lastRenderedPageBreak/>
        <w:t xml:space="preserve">IHC score = positive percentage score × intensity score. </w:t>
      </w:r>
      <w:r w:rsidR="00187FB2">
        <w:rPr>
          <w:rFonts w:ascii="Times New Roman" w:hAnsi="Times New Roman" w:cs="Times New Roman"/>
          <w:sz w:val="24"/>
          <w:szCs w:val="24"/>
        </w:rPr>
        <w:t>The staining</w:t>
      </w:r>
      <w:r w:rsidRPr="002527B2">
        <w:rPr>
          <w:rFonts w:ascii="Times New Roman" w:hAnsi="Times New Roman" w:cs="Times New Roman"/>
          <w:sz w:val="24"/>
          <w:szCs w:val="24"/>
        </w:rPr>
        <w:t xml:space="preserve"> percentage score was graded as follows: 0; 0-25% of positively staining cells = 1; 25-50% of positively staining cells = 2; 50-75% of positively staining cells = 3; &gt;75% of positively staining cells = 4. </w:t>
      </w:r>
      <w:r w:rsidR="00187FB2">
        <w:rPr>
          <w:rFonts w:ascii="Times New Roman" w:hAnsi="Times New Roman" w:cs="Times New Roman"/>
          <w:sz w:val="24"/>
          <w:szCs w:val="24"/>
        </w:rPr>
        <w:t>The staining</w:t>
      </w:r>
      <w:r w:rsidRPr="002527B2">
        <w:rPr>
          <w:rFonts w:ascii="Times New Roman" w:hAnsi="Times New Roman" w:cs="Times New Roman"/>
          <w:sz w:val="24"/>
          <w:szCs w:val="24"/>
        </w:rPr>
        <w:t xml:space="preserve"> intensity score was graded as follows: negative = 0; low positive = 1; positive = 2; high positive = 3. </w:t>
      </w:r>
    </w:p>
    <w:p w14:paraId="79513A83" w14:textId="01FCDF2E" w:rsidR="001520D5" w:rsidRPr="001520D5" w:rsidRDefault="001520D5" w:rsidP="001520D5">
      <w:pPr>
        <w:keepNext/>
        <w:keepLines/>
        <w:spacing w:before="260" w:after="260" w:line="480" w:lineRule="auto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1520D5">
        <w:rPr>
          <w:rFonts w:ascii="Times New Roman" w:hAnsi="Times New Roman" w:cs="Times New Roman"/>
          <w:b/>
          <w:sz w:val="24"/>
          <w:szCs w:val="24"/>
        </w:rPr>
        <w:t>RNA pull-down assay</w:t>
      </w:r>
    </w:p>
    <w:p w14:paraId="3C3EB810" w14:textId="77777777" w:rsidR="001520D5" w:rsidRPr="001520D5" w:rsidRDefault="001520D5" w:rsidP="001520D5">
      <w:pPr>
        <w:spacing w:line="480" w:lineRule="auto"/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1520D5">
        <w:rPr>
          <w:rFonts w:ascii="Times New Roman" w:hAnsi="Times New Roman" w:cs="Times New Roman"/>
          <w:sz w:val="24"/>
          <w:szCs w:val="24"/>
        </w:rPr>
        <w:t xml:space="preserve">RNA was first transcribed by the </w:t>
      </w:r>
      <w:proofErr w:type="spellStart"/>
      <w:r w:rsidRPr="001520D5">
        <w:rPr>
          <w:rFonts w:ascii="Times New Roman" w:hAnsi="Times New Roman" w:cs="Times New Roman"/>
          <w:sz w:val="24"/>
          <w:szCs w:val="24"/>
        </w:rPr>
        <w:t>MEGAscript</w:t>
      </w:r>
      <w:proofErr w:type="spellEnd"/>
      <w:r w:rsidRPr="001520D5">
        <w:rPr>
          <w:rFonts w:ascii="Times New Roman" w:hAnsi="Times New Roman" w:cs="Times New Roman"/>
          <w:sz w:val="24"/>
          <w:szCs w:val="24"/>
        </w:rPr>
        <w:t xml:space="preserve"> T7 Transcription Kit (AM1334, </w:t>
      </w:r>
      <w:proofErr w:type="spellStart"/>
      <w:r w:rsidRPr="001520D5">
        <w:rPr>
          <w:rFonts w:ascii="Times New Roman" w:hAnsi="Times New Roman" w:cs="Times New Roman"/>
          <w:sz w:val="24"/>
          <w:szCs w:val="24"/>
        </w:rPr>
        <w:t>Thermo</w:t>
      </w:r>
      <w:proofErr w:type="spellEnd"/>
      <w:r w:rsidRPr="001520D5">
        <w:rPr>
          <w:rFonts w:ascii="Times New Roman" w:hAnsi="Times New Roman" w:cs="Times New Roman"/>
          <w:sz w:val="24"/>
          <w:szCs w:val="24"/>
        </w:rPr>
        <w:t xml:space="preserve"> Scientific). The</w:t>
      </w:r>
      <w:r w:rsidRPr="001520D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520D5">
        <w:rPr>
          <w:rFonts w:ascii="Times New Roman" w:hAnsi="Times New Roman" w:cs="Times New Roman"/>
          <w:sz w:val="24"/>
          <w:szCs w:val="24"/>
        </w:rPr>
        <w:t xml:space="preserve">amplified RNA was then end-labeled with </w:t>
      </w:r>
      <w:proofErr w:type="spellStart"/>
      <w:r w:rsidRPr="001520D5">
        <w:rPr>
          <w:rFonts w:ascii="Times New Roman" w:hAnsi="Times New Roman" w:cs="Times New Roman"/>
          <w:sz w:val="24"/>
          <w:szCs w:val="24"/>
        </w:rPr>
        <w:t>desthiobiotin</w:t>
      </w:r>
      <w:proofErr w:type="spellEnd"/>
      <w:r w:rsidRPr="001520D5">
        <w:rPr>
          <w:rFonts w:ascii="Times New Roman" w:hAnsi="Times New Roman" w:cs="Times New Roman"/>
          <w:sz w:val="24"/>
          <w:szCs w:val="24"/>
        </w:rPr>
        <w:t xml:space="preserve"> </w:t>
      </w:r>
      <w:r w:rsidRPr="001520D5">
        <w:rPr>
          <w:rFonts w:ascii="Times New Roman" w:hAnsi="Times New Roman" w:cs="Times New Roman" w:hint="eastAsia"/>
          <w:sz w:val="24"/>
          <w:szCs w:val="24"/>
        </w:rPr>
        <w:t>using Pierce RNA</w:t>
      </w:r>
      <w:r w:rsidRPr="001520D5">
        <w:rPr>
          <w:rFonts w:ascii="Times New Roman" w:hAnsi="Times New Roman" w:cs="Times New Roman"/>
          <w:sz w:val="24"/>
          <w:szCs w:val="24"/>
        </w:rPr>
        <w:t xml:space="preserve"> </w:t>
      </w:r>
      <w:r w:rsidRPr="001520D5">
        <w:rPr>
          <w:rFonts w:ascii="Times New Roman" w:hAnsi="Times New Roman" w:cs="Times New Roman" w:hint="eastAsia"/>
          <w:sz w:val="24"/>
          <w:szCs w:val="24"/>
        </w:rPr>
        <w:t>3</w:t>
      </w:r>
      <w:r w:rsidRPr="001520D5">
        <w:rPr>
          <w:rFonts w:ascii="Times New Roman" w:hAnsi="Times New Roman" w:cs="Times New Roman" w:hint="eastAsia"/>
          <w:sz w:val="24"/>
          <w:szCs w:val="24"/>
        </w:rPr>
        <w:t>′</w:t>
      </w:r>
      <w:r w:rsidRPr="001520D5">
        <w:rPr>
          <w:rFonts w:ascii="Times New Roman" w:hAnsi="Times New Roman" w:cs="Times New Roman" w:hint="eastAsia"/>
          <w:sz w:val="24"/>
          <w:szCs w:val="24"/>
        </w:rPr>
        <w:t xml:space="preserve">End </w:t>
      </w:r>
      <w:proofErr w:type="spellStart"/>
      <w:r w:rsidRPr="001520D5">
        <w:rPr>
          <w:rFonts w:ascii="Times New Roman" w:hAnsi="Times New Roman" w:cs="Times New Roman" w:hint="eastAsia"/>
          <w:sz w:val="24"/>
          <w:szCs w:val="24"/>
        </w:rPr>
        <w:t>Desthiobiotinylation</w:t>
      </w:r>
      <w:proofErr w:type="spellEnd"/>
      <w:r w:rsidRPr="001520D5">
        <w:rPr>
          <w:rFonts w:ascii="Times New Roman" w:hAnsi="Times New Roman" w:cs="Times New Roman" w:hint="eastAsia"/>
          <w:sz w:val="24"/>
          <w:szCs w:val="24"/>
        </w:rPr>
        <w:t xml:space="preserve"> Kit (20, </w:t>
      </w:r>
      <w:r w:rsidRPr="001520D5">
        <w:rPr>
          <w:rFonts w:ascii="Times New Roman" w:hAnsi="Times New Roman" w:cs="Times New Roman"/>
          <w:sz w:val="24"/>
          <w:szCs w:val="24"/>
        </w:rPr>
        <w:t xml:space="preserve">163, </w:t>
      </w:r>
      <w:proofErr w:type="spellStart"/>
      <w:r w:rsidRPr="001520D5">
        <w:rPr>
          <w:rFonts w:ascii="Times New Roman" w:hAnsi="Times New Roman" w:cs="Times New Roman"/>
          <w:sz w:val="24"/>
          <w:szCs w:val="24"/>
        </w:rPr>
        <w:t>Thermo</w:t>
      </w:r>
      <w:proofErr w:type="spellEnd"/>
      <w:r w:rsidRPr="001520D5">
        <w:rPr>
          <w:rFonts w:ascii="Times New Roman" w:hAnsi="Times New Roman" w:cs="Times New Roman"/>
          <w:sz w:val="24"/>
          <w:szCs w:val="24"/>
        </w:rPr>
        <w:t xml:space="preserve"> Scientific), following the manufacturer</w:t>
      </w:r>
      <w:proofErr w:type="gramStart"/>
      <w:r w:rsidRPr="001520D5">
        <w:rPr>
          <w:rFonts w:ascii="Times New Roman" w:hAnsi="Times New Roman" w:cs="Times New Roman"/>
          <w:sz w:val="24"/>
          <w:szCs w:val="24"/>
        </w:rPr>
        <w:t>’</w:t>
      </w:r>
      <w:proofErr w:type="gramEnd"/>
      <w:r w:rsidRPr="001520D5">
        <w:rPr>
          <w:rFonts w:ascii="Times New Roman" w:hAnsi="Times New Roman" w:cs="Times New Roman"/>
          <w:sz w:val="24"/>
          <w:szCs w:val="24"/>
        </w:rPr>
        <w:t>s instructions. RNA pull-down assays</w:t>
      </w:r>
      <w:r w:rsidRPr="001520D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520D5">
        <w:rPr>
          <w:rFonts w:ascii="Times New Roman" w:hAnsi="Times New Roman" w:cs="Times New Roman"/>
          <w:sz w:val="24"/>
          <w:szCs w:val="24"/>
        </w:rPr>
        <w:t>were conducted using the Pierce Magnetic RNA-Protein</w:t>
      </w:r>
      <w:r w:rsidRPr="001520D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520D5">
        <w:rPr>
          <w:rFonts w:ascii="Times New Roman" w:hAnsi="Times New Roman" w:cs="Times New Roman"/>
          <w:sz w:val="24"/>
          <w:szCs w:val="24"/>
        </w:rPr>
        <w:t xml:space="preserve">Pull-Down Kit (20164, </w:t>
      </w:r>
      <w:proofErr w:type="spellStart"/>
      <w:r w:rsidRPr="001520D5">
        <w:rPr>
          <w:rFonts w:ascii="Times New Roman" w:hAnsi="Times New Roman" w:cs="Times New Roman"/>
          <w:sz w:val="24"/>
          <w:szCs w:val="24"/>
        </w:rPr>
        <w:t>Thermo</w:t>
      </w:r>
      <w:proofErr w:type="spellEnd"/>
      <w:r w:rsidRPr="001520D5">
        <w:rPr>
          <w:rFonts w:ascii="Times New Roman" w:hAnsi="Times New Roman" w:cs="Times New Roman"/>
          <w:sz w:val="24"/>
          <w:szCs w:val="24"/>
        </w:rPr>
        <w:t xml:space="preserve"> Scientific). Up to 50</w:t>
      </w:r>
      <w:r w:rsidRPr="001520D5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1520D5">
        <w:rPr>
          <w:rFonts w:ascii="Times New Roman" w:hAnsi="Times New Roman" w:cs="Times New Roman"/>
          <w:sz w:val="24"/>
          <w:szCs w:val="24"/>
        </w:rPr>
        <w:t>pmol</w:t>
      </w:r>
      <w:proofErr w:type="spellEnd"/>
      <w:r w:rsidRPr="001520D5">
        <w:rPr>
          <w:rFonts w:ascii="Times New Roman" w:hAnsi="Times New Roman" w:cs="Times New Roman"/>
          <w:sz w:val="24"/>
          <w:szCs w:val="24"/>
        </w:rPr>
        <w:t xml:space="preserve"> of biotinylated RNAs were mixed with 2 mg of protein lysate and 50 </w:t>
      </w:r>
      <w:proofErr w:type="spellStart"/>
      <w:r w:rsidRPr="001520D5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1520D5">
        <w:rPr>
          <w:rFonts w:ascii="Times New Roman" w:hAnsi="Times New Roman" w:cs="Times New Roman"/>
          <w:sz w:val="24"/>
          <w:szCs w:val="24"/>
        </w:rPr>
        <w:t xml:space="preserve"> of streptavidin beads. The mixture was incubated and washed three times, and then the streptavidin beads were</w:t>
      </w:r>
      <w:r w:rsidRPr="001520D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520D5">
        <w:rPr>
          <w:rFonts w:ascii="Times New Roman" w:hAnsi="Times New Roman" w:cs="Times New Roman"/>
          <w:sz w:val="24"/>
          <w:szCs w:val="24"/>
        </w:rPr>
        <w:t>boiled and used for the immunoblotting assay.</w:t>
      </w:r>
    </w:p>
    <w:p w14:paraId="4D281D0C" w14:textId="395813D5" w:rsidR="001520D5" w:rsidRPr="001520D5" w:rsidRDefault="001520D5" w:rsidP="001520D5">
      <w:pPr>
        <w:keepNext/>
        <w:keepLines/>
        <w:spacing w:before="260" w:after="260" w:line="480" w:lineRule="auto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1520D5">
        <w:rPr>
          <w:rFonts w:ascii="Times New Roman" w:hAnsi="Times New Roman" w:cs="Times New Roman"/>
          <w:b/>
          <w:sz w:val="24"/>
          <w:szCs w:val="24"/>
        </w:rPr>
        <w:t>RNA immunoprecipitation (RIP) assay</w:t>
      </w:r>
    </w:p>
    <w:p w14:paraId="16EF2A08" w14:textId="7316B5DA" w:rsidR="001520D5" w:rsidRPr="001520D5" w:rsidRDefault="001520D5" w:rsidP="001520D5">
      <w:pPr>
        <w:spacing w:line="480" w:lineRule="auto"/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1520D5">
        <w:rPr>
          <w:rFonts w:ascii="Times New Roman" w:hAnsi="Times New Roman" w:cs="Times New Roman"/>
          <w:sz w:val="24"/>
          <w:szCs w:val="24"/>
        </w:rPr>
        <w:t>RIP was performed using the Magna RIP RNA-Binding</w:t>
      </w:r>
      <w:r w:rsidRPr="001520D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520D5">
        <w:rPr>
          <w:rFonts w:ascii="Times New Roman" w:hAnsi="Times New Roman" w:cs="Times New Roman"/>
          <w:sz w:val="24"/>
          <w:szCs w:val="24"/>
        </w:rPr>
        <w:t xml:space="preserve">Protein Immunoprecipitation Kit (17–700, Millipore), following the manufacturer’s instructions. Briefly, magnetic beads coated with 5 </w:t>
      </w:r>
      <w:proofErr w:type="spellStart"/>
      <w:r w:rsidRPr="001520D5">
        <w:rPr>
          <w:rFonts w:ascii="Times New Roman" w:hAnsi="Times New Roman" w:cs="Times New Roman"/>
          <w:sz w:val="24"/>
          <w:szCs w:val="24"/>
        </w:rPr>
        <w:t>μg</w:t>
      </w:r>
      <w:proofErr w:type="spellEnd"/>
      <w:r w:rsidRPr="001520D5">
        <w:rPr>
          <w:rFonts w:ascii="Times New Roman" w:hAnsi="Times New Roman" w:cs="Times New Roman"/>
          <w:sz w:val="24"/>
          <w:szCs w:val="24"/>
        </w:rPr>
        <w:t xml:space="preserve"> of specific antibodies</w:t>
      </w:r>
      <w:r w:rsidRPr="001520D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520D5">
        <w:rPr>
          <w:rFonts w:ascii="Times New Roman" w:hAnsi="Times New Roman" w:cs="Times New Roman"/>
          <w:sz w:val="24"/>
          <w:szCs w:val="24"/>
        </w:rPr>
        <w:t>against mouse immunoglobulin G (17–700, Millipore),</w:t>
      </w:r>
      <w:r w:rsidRPr="001520D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520D5">
        <w:rPr>
          <w:rFonts w:ascii="Times New Roman" w:hAnsi="Times New Roman" w:cs="Times New Roman"/>
          <w:sz w:val="24"/>
          <w:szCs w:val="24"/>
        </w:rPr>
        <w:t xml:space="preserve">or </w:t>
      </w:r>
      <w:r>
        <w:rPr>
          <w:rFonts w:ascii="Times New Roman" w:hAnsi="Times New Roman" w:cs="Times New Roman"/>
          <w:sz w:val="24"/>
          <w:szCs w:val="24"/>
        </w:rPr>
        <w:t>VIRMA</w:t>
      </w:r>
      <w:r w:rsidRPr="001520D5">
        <w:rPr>
          <w:rFonts w:ascii="Times New Roman" w:hAnsi="Times New Roman" w:cs="Times New Roman"/>
          <w:sz w:val="24"/>
          <w:szCs w:val="24"/>
        </w:rPr>
        <w:t xml:space="preserve"> (25712-1-AP,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 w:hint="eastAsia"/>
          <w:sz w:val="24"/>
          <w:szCs w:val="24"/>
        </w:rPr>
        <w:t>rotein</w:t>
      </w:r>
      <w:r>
        <w:rPr>
          <w:rFonts w:ascii="Times New Roman" w:hAnsi="Times New Roman" w:cs="Times New Roman"/>
          <w:sz w:val="24"/>
          <w:szCs w:val="24"/>
        </w:rPr>
        <w:t>tech</w:t>
      </w:r>
      <w:proofErr w:type="spellEnd"/>
      <w:r w:rsidRPr="001520D5">
        <w:rPr>
          <w:rFonts w:ascii="Times New Roman" w:hAnsi="Times New Roman" w:cs="Times New Roman"/>
          <w:sz w:val="24"/>
          <w:szCs w:val="24"/>
        </w:rPr>
        <w:t>) were incubated with</w:t>
      </w:r>
      <w:r w:rsidRPr="001520D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520D5">
        <w:rPr>
          <w:rFonts w:ascii="Times New Roman" w:hAnsi="Times New Roman" w:cs="Times New Roman"/>
          <w:sz w:val="24"/>
          <w:szCs w:val="24"/>
        </w:rPr>
        <w:t>prepared cell lysates at 4°C overnight. Thereafter, the RNA-protein complexes were washed 6 times and incubated</w:t>
      </w:r>
      <w:r w:rsidRPr="001520D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520D5">
        <w:rPr>
          <w:rFonts w:ascii="Times New Roman" w:hAnsi="Times New Roman" w:cs="Times New Roman"/>
          <w:sz w:val="24"/>
          <w:szCs w:val="24"/>
        </w:rPr>
        <w:t>with proteinase K. Finally, RNA was extracted by the phenol-chloroform RNA extraction method.</w:t>
      </w:r>
      <w:r w:rsidRPr="001520D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520D5">
        <w:rPr>
          <w:rFonts w:ascii="Times New Roman" w:hAnsi="Times New Roman" w:cs="Times New Roman"/>
          <w:sz w:val="24"/>
          <w:szCs w:val="24"/>
        </w:rPr>
        <w:t xml:space="preserve">The relative interaction </w:t>
      </w:r>
      <w:r w:rsidRPr="001520D5">
        <w:rPr>
          <w:rFonts w:ascii="Times New Roman" w:hAnsi="Times New Roman" w:cs="Times New Roman"/>
          <w:sz w:val="24"/>
          <w:szCs w:val="24"/>
        </w:rPr>
        <w:lastRenderedPageBreak/>
        <w:t xml:space="preserve">between </w:t>
      </w:r>
      <w:r>
        <w:rPr>
          <w:rFonts w:ascii="Times New Roman" w:hAnsi="Times New Roman" w:cs="Times New Roman"/>
          <w:sz w:val="24"/>
          <w:szCs w:val="24"/>
        </w:rPr>
        <w:t>VIRMA</w:t>
      </w:r>
      <w:r w:rsidRPr="001520D5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SIRT1</w:t>
      </w:r>
      <w:r w:rsidRPr="001520D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520D5">
        <w:rPr>
          <w:rFonts w:ascii="Times New Roman" w:hAnsi="Times New Roman" w:cs="Times New Roman"/>
          <w:sz w:val="24"/>
          <w:szCs w:val="24"/>
        </w:rPr>
        <w:t>transcripts was determined by qPCR.</w:t>
      </w:r>
    </w:p>
    <w:p w14:paraId="438E12AD" w14:textId="38FC1255" w:rsidR="001520D5" w:rsidRPr="001520D5" w:rsidRDefault="001520D5" w:rsidP="001520D5">
      <w:pPr>
        <w:keepNext/>
        <w:keepLines/>
        <w:spacing w:before="260" w:after="260" w:line="480" w:lineRule="auto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1520D5">
        <w:rPr>
          <w:rFonts w:ascii="Times New Roman" w:hAnsi="Times New Roman" w:cs="Times New Roman"/>
          <w:b/>
          <w:sz w:val="24"/>
          <w:szCs w:val="24"/>
        </w:rPr>
        <w:t xml:space="preserve">Statistical analysis </w:t>
      </w:r>
    </w:p>
    <w:p w14:paraId="3C6F4992" w14:textId="77777777" w:rsidR="001520D5" w:rsidRPr="00885F63" w:rsidRDefault="001520D5" w:rsidP="001520D5">
      <w:pPr>
        <w:spacing w:line="480" w:lineRule="auto"/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1520D5">
        <w:rPr>
          <w:rFonts w:ascii="Times New Roman" w:hAnsi="Times New Roman" w:cs="Times New Roman"/>
          <w:sz w:val="24"/>
          <w:szCs w:val="24"/>
        </w:rPr>
        <w:t>T</w:t>
      </w:r>
      <w:r w:rsidRPr="00885F63">
        <w:rPr>
          <w:rFonts w:ascii="Times New Roman" w:hAnsi="Times New Roman" w:cs="Times New Roman"/>
          <w:sz w:val="24"/>
          <w:szCs w:val="24"/>
        </w:rPr>
        <w:t xml:space="preserve">he study results were presented as a mean ± SD, from at least three independent experiments. Statistical analysis was conducted with SPSS 22.0 software (SPSS, Chicago, </w:t>
      </w:r>
      <w:r w:rsidRPr="00885F63">
        <w:rPr>
          <w:rFonts w:ascii="Times New Roman" w:hAnsi="Times New Roman" w:cs="Times New Roman" w:hint="eastAsia"/>
          <w:sz w:val="24"/>
          <w:szCs w:val="24"/>
        </w:rPr>
        <w:t>Ⅱ</w:t>
      </w:r>
      <w:r w:rsidRPr="00885F63">
        <w:rPr>
          <w:rFonts w:ascii="Times New Roman" w:hAnsi="Times New Roman" w:cs="Times New Roman"/>
          <w:sz w:val="24"/>
          <w:szCs w:val="24"/>
        </w:rPr>
        <w:t xml:space="preserve">, USA) and GraphPad Prism Version 9 (GraphPad, Software, Inc., La Jolla, USA). The </w:t>
      </w:r>
      <w:proofErr w:type="gramStart"/>
      <w:r w:rsidRPr="00885F63">
        <w:rPr>
          <w:rFonts w:ascii="Times New Roman" w:hAnsi="Times New Roman" w:cs="Times New Roman"/>
          <w:sz w:val="24"/>
          <w:szCs w:val="24"/>
        </w:rPr>
        <w:t>Student’s</w:t>
      </w:r>
      <w:proofErr w:type="gramEnd"/>
      <w:r w:rsidRPr="00885F63">
        <w:rPr>
          <w:rFonts w:ascii="Times New Roman" w:hAnsi="Times New Roman" w:cs="Times New Roman"/>
          <w:sz w:val="24"/>
          <w:szCs w:val="24"/>
        </w:rPr>
        <w:t xml:space="preserve"> t-test was used to compare differences between two independent groups. Overall survival (OS) and disease-free survival (DFS) analysis were assessed by the Kaplan-Meier method and compared by the log-rank test. A </w:t>
      </w:r>
      <w:r w:rsidRPr="00885F63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885F63">
        <w:rPr>
          <w:rFonts w:ascii="Times New Roman" w:hAnsi="Times New Roman" w:cs="Times New Roman"/>
          <w:sz w:val="24"/>
          <w:szCs w:val="24"/>
        </w:rPr>
        <w:t xml:space="preserve"> value &lt; 0.05 was considered to indicate a statistically significant difference.</w:t>
      </w:r>
    </w:p>
    <w:p w14:paraId="2A138D84" w14:textId="77777777" w:rsidR="00042B3C" w:rsidRPr="001520D5" w:rsidRDefault="00042B3C"/>
    <w:sectPr w:rsidR="00042B3C" w:rsidRPr="001520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B6C18B" w14:textId="77777777" w:rsidR="00D062E4" w:rsidRDefault="00D062E4" w:rsidP="001520D5">
      <w:r>
        <w:separator/>
      </w:r>
    </w:p>
  </w:endnote>
  <w:endnote w:type="continuationSeparator" w:id="0">
    <w:p w14:paraId="0D494FB5" w14:textId="77777777" w:rsidR="00D062E4" w:rsidRDefault="00D062E4" w:rsidP="00152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7973BF" w14:textId="77777777" w:rsidR="00D062E4" w:rsidRDefault="00D062E4" w:rsidP="001520D5">
      <w:r>
        <w:separator/>
      </w:r>
    </w:p>
  </w:footnote>
  <w:footnote w:type="continuationSeparator" w:id="0">
    <w:p w14:paraId="3C6AF044" w14:textId="77777777" w:rsidR="00D062E4" w:rsidRDefault="00D062E4" w:rsidP="001520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81B"/>
    <w:rsid w:val="00042B3C"/>
    <w:rsid w:val="00093C92"/>
    <w:rsid w:val="001520D5"/>
    <w:rsid w:val="00187FB2"/>
    <w:rsid w:val="002527B2"/>
    <w:rsid w:val="0028781B"/>
    <w:rsid w:val="00545F8E"/>
    <w:rsid w:val="00852A4B"/>
    <w:rsid w:val="00885F63"/>
    <w:rsid w:val="00B046DD"/>
    <w:rsid w:val="00BB06B5"/>
    <w:rsid w:val="00CC0479"/>
    <w:rsid w:val="00D062E4"/>
    <w:rsid w:val="00E54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218BC7"/>
  <w15:chartTrackingRefBased/>
  <w15:docId w15:val="{1ABADE65-9703-441A-9EDF-5993AED4F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20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520D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520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520D5"/>
    <w:rPr>
      <w:sz w:val="18"/>
      <w:szCs w:val="18"/>
    </w:rPr>
  </w:style>
  <w:style w:type="paragraph" w:styleId="a7">
    <w:name w:val="Revision"/>
    <w:hidden/>
    <w:uiPriority w:val="99"/>
    <w:semiHidden/>
    <w:rsid w:val="00093C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8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604</Words>
  <Characters>3476</Characters>
  <Application>Microsoft Office Word</Application>
  <DocSecurity>0</DocSecurity>
  <Lines>56</Lines>
  <Paragraphs>12</Paragraphs>
  <ScaleCrop>false</ScaleCrop>
  <Company/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zhou shurui</dc:creator>
  <cp:keywords/>
  <dc:description/>
  <cp:lastModifiedBy>zhou shurui</cp:lastModifiedBy>
  <cp:revision>12</cp:revision>
  <dcterms:created xsi:type="dcterms:W3CDTF">2022-10-16T08:45:00Z</dcterms:created>
  <dcterms:modified xsi:type="dcterms:W3CDTF">2022-12-31T11:13:00Z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b37c9d447a974bfb61675851e339f66e5f52919f7c8fc4458ef9423c4efdad21</vt:lpwstr>
  </property>
</Properties>
</file>