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B2" w:rsidRDefault="00191AFE">
      <w:pPr>
        <w:autoSpaceDE w:val="0"/>
        <w:autoSpaceDN w:val="0"/>
        <w:adjustRightInd w:val="0"/>
        <w:snapToGrid w:val="0"/>
        <w:spacing w:line="480" w:lineRule="auto"/>
        <w:jc w:val="center"/>
        <w:outlineLvl w:val="0"/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</w:pPr>
      <w:bookmarkStart w:id="0" w:name="OLE_LINK80"/>
      <w:bookmarkStart w:id="1" w:name="OLE_LINK60"/>
      <w:bookmarkStart w:id="2" w:name="_Hlk77773448"/>
      <w:bookmarkStart w:id="3" w:name="OLE_LINK79"/>
      <w:bookmarkStart w:id="4" w:name="OLE_LINK61"/>
      <w:bookmarkStart w:id="5" w:name="OLE_LINK81"/>
      <w:r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Genetic dissection of the impact of lncRNA AI662270 during the development of atherosclerosis</w:t>
      </w:r>
    </w:p>
    <w:bookmarkEnd w:id="0"/>
    <w:bookmarkEnd w:id="1"/>
    <w:bookmarkEnd w:id="2"/>
    <w:bookmarkEnd w:id="3"/>
    <w:bookmarkEnd w:id="4"/>
    <w:bookmarkEnd w:id="5"/>
    <w:p w:rsidR="001578B2" w:rsidRDefault="001578B2">
      <w:pPr>
        <w:adjustRightInd w:val="0"/>
        <w:snapToGrid w:val="0"/>
        <w:spacing w:line="480" w:lineRule="auto"/>
        <w:outlineLvl w:val="1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1578B2" w:rsidRDefault="00710365">
      <w:pPr>
        <w:adjustRightInd w:val="0"/>
        <w:snapToGrid w:val="0"/>
        <w:spacing w:line="480" w:lineRule="auto"/>
        <w:outlineLvl w:val="1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Additional file 1. M</w:t>
      </w:r>
      <w:r w:rsidR="00191AFE">
        <w:rPr>
          <w:rFonts w:ascii="Times New Roman" w:hAnsi="Times New Roman" w:cs="Times New Roman"/>
          <w:b/>
          <w:kern w:val="0"/>
          <w:sz w:val="24"/>
          <w:szCs w:val="24"/>
        </w:rPr>
        <w:t>ethods</w:t>
      </w:r>
    </w:p>
    <w:p w:rsidR="001578B2" w:rsidRDefault="00191AF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Lipoprotein profile and lipid measurements </w:t>
      </w:r>
    </w:p>
    <w:p w:rsidR="001578B2" w:rsidRDefault="00191AF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Mice were fasted for 12-14 h before blood samples were obtained by retro-orbital venous plexus puncture. Plasma was separated by centrifugation and stored at -80 °C. Total plasma cholesterol (TC), triglyceride (TG),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high-density lipoprotein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(HDL)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>low-</w:t>
      </w:r>
      <w:r>
        <w:rPr>
          <w:rFonts w:ascii="Times New Roman" w:hAnsi="Times New Roman" w:cs="Times New Roman"/>
          <w:sz w:val="24"/>
          <w:szCs w:val="24"/>
        </w:rPr>
        <w:t>density lipoprotein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LDL) were enzymatically detected according to the manufacturer’s instructions (Nanjing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Jiancheng Bioengineering Institute, China). </w:t>
      </w:r>
    </w:p>
    <w:p w:rsidR="001578B2" w:rsidRDefault="00191AFE">
      <w:pPr>
        <w:adjustRightInd w:val="0"/>
        <w:snapToGrid w:val="0"/>
        <w:spacing w:line="480" w:lineRule="auto"/>
        <w:outlineLvl w:val="1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Insulin tolerance test (ITT) and glucose tolerance test (GTT)</w:t>
      </w:r>
    </w:p>
    <w:p w:rsidR="001578B2" w:rsidRDefault="00191AF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ITT in mice was performed following 6 h 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asting by </w:t>
      </w:r>
      <w:hyperlink r:id="rId6" w:anchor="/javascript:;" w:history="1">
        <w:r>
          <w:rPr>
            <w:rFonts w:ascii="Times New Roman" w:hAnsi="Times New Roman" w:cs="Times New Roman"/>
            <w:kern w:val="0"/>
            <w:sz w:val="24"/>
            <w:szCs w:val="24"/>
          </w:rPr>
          <w:t>intraperitoneal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(i.p.) injection of 0.75 U/kg insulin. Blood glucose measurements were performed using a Contour Ultra blood glucose meter before and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15, 30, 60, and 120 min after insulin injection. GTT was conducted by i.p. injection of 1.5 g/kg glucose. Blood glucose was monitored at 8:00 am after feeding and after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fasting for 16 h, and measured at 0, 15, 30, 60, and 120 min after injection. </w:t>
      </w:r>
    </w:p>
    <w:p w:rsidR="001578B2" w:rsidRDefault="00191AFE">
      <w:pPr>
        <w:adjustRightInd w:val="0"/>
        <w:snapToGrid w:val="0"/>
        <w:spacing w:line="480" w:lineRule="auto"/>
        <w:outlineLvl w:val="1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Western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blot analysis</w:t>
      </w:r>
    </w:p>
    <w:p w:rsidR="001578B2" w:rsidRDefault="00191AF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on primary antibodies</w:t>
      </w:r>
      <w:r>
        <w:rPr>
          <w:rFonts w:ascii="Times New Roman" w:hAnsi="Times New Roman" w:cs="Times New Roman" w:hint="eastAsia"/>
          <w:sz w:val="24"/>
          <w:szCs w:val="24"/>
        </w:rPr>
        <w:t xml:space="preserve"> as follows,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endothelial NOS (eNOS)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bookmarkStart w:id="6" w:name="OLE_LINK2"/>
      <w:r>
        <w:rPr>
          <w:rFonts w:ascii="Times New Roman" w:hAnsi="Times New Roman" w:hint="eastAsia"/>
          <w:sz w:val="24"/>
        </w:rPr>
        <w:t>32027</w:t>
      </w:r>
      <w:r>
        <w:rPr>
          <w:rFonts w:ascii="Times New Roman" w:hAnsi="Times New Roman"/>
          <w:sz w:val="24"/>
        </w:rPr>
        <w:t>S</w:t>
      </w:r>
      <w:bookmarkEnd w:id="6"/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>1:500, Cell Signaling Technology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eastAsia="SimSun" w:hAnsi="Times New Roman" w:cs="Times New Roman" w:hint="eastAsia"/>
          <w:sz w:val="24"/>
        </w:rPr>
        <w:t xml:space="preserve">Boston, </w:t>
      </w:r>
      <w:r>
        <w:rPr>
          <w:rFonts w:ascii="Times New Roman" w:hAnsi="Times New Roman" w:hint="eastAsia"/>
          <w:sz w:val="24"/>
        </w:rPr>
        <w:t>MA, USA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 inducible nitric oxide synthase (iNOS)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bookmarkStart w:id="7" w:name="OLE_LINK3"/>
      <w:r>
        <w:rPr>
          <w:rFonts w:ascii="Times New Roman" w:hAnsi="Times New Roman" w:cs="Times New Roman"/>
          <w:kern w:val="0"/>
          <w:sz w:val="24"/>
          <w:szCs w:val="24"/>
        </w:rPr>
        <w:t>ab1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78945</w:t>
      </w:r>
      <w:bookmarkEnd w:id="7"/>
      <w:r>
        <w:rPr>
          <w:rFonts w:ascii="Times New Roman" w:hAnsi="Times New Roman" w:cs="Times New Roman"/>
          <w:kern w:val="0"/>
          <w:sz w:val="24"/>
          <w:szCs w:val="24"/>
        </w:rPr>
        <w:t>, 1:1000; Abcam, Cambridge, MA, USA)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1578B2" w:rsidRDefault="001578B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78B2" w:rsidRDefault="001578B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78B2" w:rsidRDefault="001578B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78B2" w:rsidRDefault="001578B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78B2" w:rsidRDefault="00710365">
      <w:pPr>
        <w:autoSpaceDE w:val="0"/>
        <w:autoSpaceDN w:val="0"/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1, R</w:t>
      </w:r>
      <w:r w:rsidR="00191AFE">
        <w:rPr>
          <w:rFonts w:ascii="Times New Roman" w:hAnsi="Times New Roman" w:cs="Times New Roman"/>
          <w:b/>
          <w:kern w:val="0"/>
          <w:sz w:val="24"/>
          <w:szCs w:val="24"/>
        </w:rPr>
        <w:t>esults</w:t>
      </w:r>
    </w:p>
    <w:p w:rsidR="001578B2" w:rsidRDefault="00191AFE">
      <w:pPr>
        <w:pStyle w:val="Default"/>
        <w:snapToGrid w:val="0"/>
        <w:spacing w:line="480" w:lineRule="auto"/>
        <w:jc w:val="both"/>
        <w:outlineLvl w:val="1"/>
        <w:rPr>
          <w:rFonts w:eastAsia="SimSun"/>
          <w:b/>
          <w:bCs/>
          <w:color w:val="auto"/>
        </w:rPr>
      </w:pPr>
      <w:r>
        <w:rPr>
          <w:rFonts w:eastAsia="SimSun" w:hint="eastAsia"/>
          <w:b/>
          <w:bCs/>
          <w:color w:val="auto"/>
        </w:rPr>
        <w:t>AI662270 is highly expressed in macrophages and has no effect on endothelial cell function</w:t>
      </w:r>
    </w:p>
    <w:p w:rsidR="001578B2" w:rsidRDefault="00191AFE">
      <w:pPr>
        <w:pStyle w:val="Default"/>
        <w:snapToGrid w:val="0"/>
        <w:spacing w:line="480" w:lineRule="auto"/>
        <w:jc w:val="both"/>
        <w:outlineLvl w:val="1"/>
        <w:rPr>
          <w:rFonts w:eastAsia="SimSun"/>
          <w:color w:val="auto"/>
        </w:rPr>
      </w:pPr>
      <w:r>
        <w:rPr>
          <w:rFonts w:eastAsia="SimSun"/>
          <w:color w:val="auto"/>
        </w:rPr>
        <w:t>We found that AI662270 expression was not significantly changed in other cell types, including mouse aortic endothelial cells (MAEC), mouse aortic vascular smooth m</w:t>
      </w:r>
      <w:r>
        <w:rPr>
          <w:rFonts w:eastAsia="SimSun"/>
          <w:color w:val="auto"/>
        </w:rPr>
        <w:t xml:space="preserve">uscle cells (MOVAS), and mouse fibroblasts L929, except in macrophages after treatment with 100 </w:t>
      </w:r>
      <w:r>
        <w:rPr>
          <w:color w:val="auto"/>
          <w:kern w:val="2"/>
          <w:szCs w:val="28"/>
        </w:rPr>
        <w:t>μ</w:t>
      </w:r>
      <w:r>
        <w:rPr>
          <w:rFonts w:eastAsia="SimSun"/>
          <w:color w:val="auto"/>
        </w:rPr>
        <w:t xml:space="preserve">g/mL ox-LDL for </w:t>
      </w:r>
      <w:r>
        <w:rPr>
          <w:rFonts w:eastAsia="SimSun" w:hint="eastAsia"/>
          <w:color w:val="auto"/>
        </w:rPr>
        <w:t>12</w:t>
      </w:r>
      <w:r>
        <w:rPr>
          <w:rFonts w:eastAsia="SimSun"/>
          <w:color w:val="auto"/>
        </w:rPr>
        <w:t xml:space="preserve"> h. At the same time, compared with macrophages, the expression level of AI662270 in other cell types was quite low (Additional file </w:t>
      </w:r>
      <w:r>
        <w:rPr>
          <w:rFonts w:eastAsia="SimSun" w:hint="eastAsia"/>
          <w:color w:val="auto"/>
        </w:rPr>
        <w:t>2</w:t>
      </w:r>
      <w:r>
        <w:rPr>
          <w:rFonts w:eastAsia="SimSun"/>
          <w:color w:val="auto"/>
        </w:rPr>
        <w:t xml:space="preserve">: Fig. </w:t>
      </w:r>
      <w:r>
        <w:rPr>
          <w:rFonts w:eastAsia="SimSun"/>
          <w:color w:val="auto"/>
        </w:rPr>
        <w:t>S</w:t>
      </w:r>
      <w:r>
        <w:rPr>
          <w:rFonts w:eastAsia="SimSun" w:hint="eastAsia"/>
          <w:color w:val="auto"/>
        </w:rPr>
        <w:t>1</w:t>
      </w:r>
      <w:r>
        <w:rPr>
          <w:rFonts w:eastAsia="SimSun"/>
          <w:color w:val="auto"/>
        </w:rPr>
        <w:t xml:space="preserve">A). </w:t>
      </w:r>
      <w:r>
        <w:rPr>
          <w:rFonts w:eastAsia="SimSun" w:hint="eastAsia"/>
          <w:color w:val="auto"/>
        </w:rPr>
        <w:t xml:space="preserve">To further verify the effect of AI662270 on endothelial cell function, the protein expression levels of </w:t>
      </w:r>
      <w:r>
        <w:rPr>
          <w:rFonts w:eastAsia="SimSun"/>
          <w:color w:val="auto"/>
        </w:rPr>
        <w:t xml:space="preserve">eNOS and </w:t>
      </w:r>
      <w:r>
        <w:rPr>
          <w:rFonts w:eastAsia="MinionPro-Regular"/>
          <w:color w:val="auto"/>
        </w:rPr>
        <w:t>iNOS</w:t>
      </w:r>
      <w:r>
        <w:rPr>
          <w:rFonts w:eastAsia="SimSun" w:hint="eastAsia"/>
          <w:color w:val="auto"/>
        </w:rPr>
        <w:t xml:space="preserve"> were detected </w:t>
      </w:r>
      <w:r>
        <w:rPr>
          <w:rFonts w:eastAsia="SimSun" w:hint="eastAsia"/>
          <w:i/>
          <w:iCs/>
          <w:color w:val="auto"/>
        </w:rPr>
        <w:t>in</w:t>
      </w:r>
      <w:r>
        <w:rPr>
          <w:rFonts w:eastAsia="SimSun" w:hint="eastAsia"/>
          <w:color w:val="auto"/>
        </w:rPr>
        <w:t xml:space="preserve"> </w:t>
      </w:r>
      <w:r>
        <w:rPr>
          <w:rFonts w:eastAsia="SimSun" w:hint="eastAsia"/>
          <w:i/>
          <w:iCs/>
          <w:color w:val="auto"/>
        </w:rPr>
        <w:t>vivo</w:t>
      </w:r>
      <w:r>
        <w:rPr>
          <w:rFonts w:eastAsia="SimSun" w:hint="eastAsia"/>
          <w:color w:val="auto"/>
        </w:rPr>
        <w:t xml:space="preserve"> and </w:t>
      </w:r>
      <w:r>
        <w:rPr>
          <w:rFonts w:eastAsia="SimSun" w:hint="eastAsia"/>
          <w:i/>
          <w:iCs/>
          <w:color w:val="auto"/>
        </w:rPr>
        <w:t>in vitro</w:t>
      </w:r>
      <w:r>
        <w:rPr>
          <w:rFonts w:eastAsia="SimSun" w:hint="eastAsia"/>
          <w:color w:val="auto"/>
        </w:rPr>
        <w:t xml:space="preserve">, and it was found that their expression levels were not affected by AI662270 </w:t>
      </w:r>
      <w:r>
        <w:rPr>
          <w:rFonts w:eastAsia="SimSun" w:hint="eastAsia"/>
          <w:color w:val="auto"/>
        </w:rPr>
        <w:t xml:space="preserve">in </w:t>
      </w:r>
      <w:r>
        <w:rPr>
          <w:rFonts w:eastAsia="SimSun" w:hint="eastAsia"/>
          <w:color w:val="auto"/>
        </w:rPr>
        <w:t xml:space="preserve">vascular </w:t>
      </w:r>
      <w:r>
        <w:rPr>
          <w:rFonts w:eastAsia="SimSun" w:hint="eastAsia"/>
          <w:color w:val="auto"/>
        </w:rPr>
        <w:t>endothelium</w:t>
      </w:r>
      <w:r>
        <w:rPr>
          <w:rFonts w:eastAsia="SimSun" w:hint="eastAsia"/>
          <w:color w:val="auto"/>
        </w:rPr>
        <w:t xml:space="preserve"> of mice fed with HFD </w:t>
      </w:r>
      <w:r>
        <w:rPr>
          <w:rFonts w:eastAsia="SimSun"/>
          <w:color w:val="auto"/>
        </w:rPr>
        <w:t>(Additional file 2</w:t>
      </w:r>
      <w:r>
        <w:rPr>
          <w:rFonts w:eastAsia="SimSun"/>
          <w:color w:val="auto"/>
        </w:rPr>
        <w:t>: Fig. S1</w:t>
      </w:r>
      <w:r>
        <w:rPr>
          <w:rFonts w:eastAsia="SimSun" w:hint="eastAsia"/>
          <w:color w:val="auto"/>
        </w:rPr>
        <w:t>B</w:t>
      </w:r>
      <w:r>
        <w:rPr>
          <w:rFonts w:eastAsia="SimSun"/>
          <w:color w:val="auto"/>
        </w:rPr>
        <w:t>-</w:t>
      </w:r>
      <w:r>
        <w:rPr>
          <w:rFonts w:eastAsia="SimSun" w:hint="eastAsia"/>
          <w:color w:val="auto"/>
        </w:rPr>
        <w:t>C</w:t>
      </w:r>
      <w:r>
        <w:rPr>
          <w:rFonts w:eastAsia="SimSun"/>
          <w:color w:val="auto"/>
        </w:rPr>
        <w:t>)</w:t>
      </w:r>
      <w:r>
        <w:rPr>
          <w:rFonts w:eastAsia="SimSun" w:hint="eastAsia"/>
          <w:color w:val="auto"/>
        </w:rPr>
        <w:t xml:space="preserve"> a</w:t>
      </w:r>
      <w:r>
        <w:rPr>
          <w:rFonts w:eastAsia="SimSun" w:hint="eastAsia"/>
          <w:color w:val="auto"/>
        </w:rPr>
        <w:t xml:space="preserve">nd </w:t>
      </w:r>
      <w:r>
        <w:rPr>
          <w:rFonts w:eastAsia="SimSun" w:hint="eastAsia"/>
          <w:color w:val="auto"/>
        </w:rPr>
        <w:t xml:space="preserve">in </w:t>
      </w:r>
      <w:r>
        <w:rPr>
          <w:rFonts w:eastAsia="SimSun" w:hint="eastAsia"/>
          <w:color w:val="auto"/>
        </w:rPr>
        <w:t>MAEC treated with</w:t>
      </w:r>
      <w:r>
        <w:rPr>
          <w:rFonts w:eastAsia="SimSun"/>
          <w:color w:val="auto"/>
        </w:rPr>
        <w:t xml:space="preserve"> </w:t>
      </w:r>
      <w:r>
        <w:rPr>
          <w:rFonts w:eastAsia="SimSun" w:hint="eastAsia"/>
          <w:color w:val="auto"/>
        </w:rPr>
        <w:t>ox-LDL</w:t>
      </w:r>
      <w:r>
        <w:rPr>
          <w:rFonts w:eastAsia="SimSun"/>
          <w:color w:val="auto"/>
        </w:rPr>
        <w:t xml:space="preserve"> (Additional file </w:t>
      </w:r>
      <w:r>
        <w:rPr>
          <w:rFonts w:eastAsia="SimSun" w:hint="eastAsia"/>
          <w:color w:val="auto"/>
        </w:rPr>
        <w:t>2</w:t>
      </w:r>
      <w:r>
        <w:rPr>
          <w:rFonts w:eastAsia="SimSun"/>
          <w:color w:val="auto"/>
        </w:rPr>
        <w:t>: Fig. S</w:t>
      </w:r>
      <w:r>
        <w:rPr>
          <w:rFonts w:eastAsia="SimSun" w:hint="eastAsia"/>
          <w:color w:val="auto"/>
        </w:rPr>
        <w:t>1</w:t>
      </w:r>
      <w:r>
        <w:rPr>
          <w:rFonts w:eastAsia="SimSun" w:hint="eastAsia"/>
          <w:color w:val="auto"/>
        </w:rPr>
        <w:t>D</w:t>
      </w:r>
      <w:r>
        <w:rPr>
          <w:rFonts w:eastAsia="SimSun"/>
          <w:color w:val="auto"/>
        </w:rPr>
        <w:t>-</w:t>
      </w:r>
      <w:r>
        <w:rPr>
          <w:rFonts w:eastAsia="SimSun" w:hint="eastAsia"/>
          <w:color w:val="auto"/>
        </w:rPr>
        <w:t>E</w:t>
      </w:r>
      <w:r>
        <w:rPr>
          <w:rFonts w:eastAsia="SimSun"/>
          <w:color w:val="auto"/>
        </w:rPr>
        <w:t xml:space="preserve">), indicating that AI662270 had no significant effect on </w:t>
      </w:r>
      <w:r>
        <w:rPr>
          <w:rFonts w:eastAsia="SimSun" w:hint="eastAsia"/>
          <w:color w:val="auto"/>
        </w:rPr>
        <w:t xml:space="preserve">the function of vascular </w:t>
      </w:r>
      <w:r>
        <w:rPr>
          <w:rFonts w:eastAsia="SimSun"/>
          <w:color w:val="auto"/>
        </w:rPr>
        <w:t>endothelial cell</w:t>
      </w:r>
      <w:r>
        <w:rPr>
          <w:rFonts w:eastAsia="SimSun" w:hint="eastAsia"/>
          <w:color w:val="auto"/>
        </w:rPr>
        <w:t>s</w:t>
      </w:r>
      <w:r>
        <w:rPr>
          <w:rFonts w:eastAsia="SimSun"/>
          <w:color w:val="auto"/>
        </w:rPr>
        <w:t xml:space="preserve"> </w:t>
      </w:r>
      <w:r>
        <w:rPr>
          <w:rFonts w:eastAsia="SimSun" w:hint="eastAsia"/>
          <w:color w:val="auto"/>
        </w:rPr>
        <w:t>in atherosclerotic mice</w:t>
      </w:r>
      <w:r>
        <w:rPr>
          <w:rFonts w:eastAsia="SimSun"/>
          <w:color w:val="auto"/>
        </w:rPr>
        <w:t>. In c</w:t>
      </w:r>
      <w:r>
        <w:rPr>
          <w:rFonts w:eastAsia="SimSun"/>
          <w:color w:val="auto"/>
        </w:rPr>
        <w:t>onclusion, AI662270 regulates atherosclerosis progression by affecting macrophage function.</w:t>
      </w:r>
    </w:p>
    <w:p w:rsidR="001578B2" w:rsidRDefault="001578B2">
      <w:pPr>
        <w:pStyle w:val="Default"/>
        <w:snapToGrid w:val="0"/>
        <w:spacing w:line="480" w:lineRule="auto"/>
        <w:jc w:val="both"/>
        <w:outlineLvl w:val="1"/>
        <w:rPr>
          <w:rFonts w:eastAsia="SimSun"/>
          <w:color w:val="C00000"/>
        </w:rPr>
      </w:pPr>
    </w:p>
    <w:p w:rsidR="001578B2" w:rsidRDefault="00191AFE">
      <w:pPr>
        <w:pStyle w:val="Default"/>
        <w:snapToGrid w:val="0"/>
        <w:spacing w:line="480" w:lineRule="auto"/>
        <w:jc w:val="both"/>
        <w:outlineLvl w:val="1"/>
      </w:pPr>
      <w:r>
        <w:rPr>
          <w:b/>
        </w:rPr>
        <w:t xml:space="preserve">Forced expression of AI662270 alters lipid profiles </w:t>
      </w:r>
      <w:r>
        <w:rPr>
          <w:b/>
          <w:i/>
          <w:iCs/>
        </w:rPr>
        <w:t>in vivo</w:t>
      </w:r>
      <w:r>
        <w:rPr>
          <w:b/>
        </w:rPr>
        <w:t xml:space="preserve"> </w:t>
      </w:r>
    </w:p>
    <w:p w:rsidR="001578B2" w:rsidRDefault="00191AF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Anomalies in circulating lipid and lipoprotein levels are a critical cause of cardiovascular diseases,</w:t>
      </w:r>
      <w:r>
        <w:rPr>
          <w:rFonts w:ascii="Times New Roman" w:hAnsi="Times New Roman" w:cs="Times New Roman"/>
          <w:sz w:val="24"/>
          <w:szCs w:val="24"/>
        </w:rPr>
        <w:t xml:space="preserve"> especially atherosclerosis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PEVuZE5vdGU+PENpdGU+PEF1dGhvcj5Lb250dXNoPC9BdXRob3I+PFllYXI+MjAwNjwvWWVhcj48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PEVuZE5vdGU+PENpdGU+PEF1dGhvcj5Lb250dXNoPC9BdXRob3I+PFllYXI+MjAwNjwvWWVhcj48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[</w:t>
      </w:r>
      <w:hyperlink w:anchor="_ENREF_1" w:tooltip="Kontush, 2006 #1351" w:history="1"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_ENREF_2" w:tooltip="Fernandez-Hernando, 2007 #1352" w:history="1"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Lv-AI662270 infection obviously increased the plasma levels of TC and LDL, and reduced HDL, with no significant effect on TG in </w:t>
      </w:r>
      <w:r>
        <w:rPr>
          <w:rFonts w:ascii="Times New Roman" w:hAnsi="Times New Roman" w:cs="Times New Roman"/>
          <w:i/>
          <w:sz w:val="24"/>
          <w:szCs w:val="24"/>
        </w:rPr>
        <w:t>ApoE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/-</w:t>
      </w:r>
      <w:r>
        <w:rPr>
          <w:rFonts w:ascii="Times New Roman" w:hAnsi="Times New Roman" w:cs="Times New Roman"/>
          <w:sz w:val="24"/>
          <w:szCs w:val="24"/>
        </w:rPr>
        <w:t xml:space="preserve"> mice fed with HFD. However, Lv-AI662270 infecti</w:t>
      </w:r>
      <w:r>
        <w:rPr>
          <w:rFonts w:ascii="Times New Roman" w:hAnsi="Times New Roman" w:cs="Times New Roman"/>
          <w:sz w:val="24"/>
          <w:szCs w:val="24"/>
        </w:rPr>
        <w:t xml:space="preserve">on had no statistically significant influence on lipid profiles and TG in </w:t>
      </w:r>
      <w:r>
        <w:rPr>
          <w:rFonts w:ascii="Times New Roman" w:hAnsi="Times New Roman" w:cs="Times New Roman"/>
          <w:i/>
          <w:sz w:val="24"/>
          <w:szCs w:val="24"/>
        </w:rPr>
        <w:t>ApoE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/-</w:t>
      </w:r>
      <w:r>
        <w:rPr>
          <w:rFonts w:ascii="Times New Roman" w:hAnsi="Times New Roman" w:cs="Times New Roman"/>
          <w:sz w:val="24"/>
          <w:szCs w:val="24"/>
        </w:rPr>
        <w:t xml:space="preserve"> mice fed with CD (Additional file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Fig.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A-D). Moreover, although the results indicated that AI662270 overexpression slightly increased body weight, there was no </w:t>
      </w:r>
      <w:r>
        <w:rPr>
          <w:rFonts w:ascii="Times New Roman" w:hAnsi="Times New Roman" w:cs="Times New Roman"/>
          <w:sz w:val="24"/>
          <w:szCs w:val="24"/>
        </w:rPr>
        <w:lastRenderedPageBreak/>
        <w:t>obvious d</w:t>
      </w:r>
      <w:r>
        <w:rPr>
          <w:rFonts w:ascii="Times New Roman" w:hAnsi="Times New Roman" w:cs="Times New Roman"/>
          <w:sz w:val="24"/>
          <w:szCs w:val="24"/>
        </w:rPr>
        <w:t xml:space="preserve">ifference between Lv-AI662270 and Lv-null treated mice throughout the study Additional file 2: Fig. S1E). On the other hand, as revealed by ITT,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 w:hint="eastAsia"/>
          <w:sz w:val="24"/>
          <w:szCs w:val="24"/>
        </w:rPr>
        <w:t xml:space="preserve"> mice </w:t>
      </w:r>
      <w:r>
        <w:rPr>
          <w:rFonts w:ascii="Times New Roman" w:hAnsi="Times New Roman" w:cs="Times New Roman"/>
          <w:sz w:val="24"/>
          <w:szCs w:val="24"/>
        </w:rPr>
        <w:t>infect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Lv-AI662270 </w:t>
      </w:r>
      <w:r>
        <w:rPr>
          <w:rFonts w:ascii="Times New Roman" w:hAnsi="Times New Roman" w:cs="Times New Roman" w:hint="eastAsia"/>
          <w:sz w:val="24"/>
          <w:szCs w:val="24"/>
        </w:rPr>
        <w:t xml:space="preserve">and fed with HFD </w:t>
      </w:r>
      <w:r>
        <w:rPr>
          <w:rFonts w:ascii="Times New Roman" w:hAnsi="Times New Roman" w:cs="Times New Roman"/>
          <w:sz w:val="24"/>
          <w:szCs w:val="24"/>
        </w:rPr>
        <w:t xml:space="preserve">for 16 weeks </w:t>
      </w:r>
      <w:r>
        <w:rPr>
          <w:rFonts w:ascii="Times New Roman" w:hAnsi="Times New Roman" w:cs="Times New Roman" w:hint="eastAsia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elevated glucose concentration and blunted the responsiveness to insulin, suggesting impaired insulin sensitivity (Figure S1F). However, AI662270 overexpression did not significantly affect glucose homeostasis</w:t>
      </w:r>
      <w:r>
        <w:rPr>
          <w:rFonts w:ascii="Times New Roman" w:eastAsia="SimSun" w:hAnsi="Times New Roman" w:cs="Times New Roman"/>
          <w:sz w:val="24"/>
          <w:szCs w:val="24"/>
        </w:rPr>
        <w:t xml:space="preserve"> in GTT (</w:t>
      </w: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Fig.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G, H). Furt</w:t>
      </w:r>
      <w:r>
        <w:rPr>
          <w:rFonts w:ascii="Times New Roman" w:hAnsi="Times New Roman" w:cs="Times New Roman"/>
          <w:sz w:val="24"/>
          <w:szCs w:val="24"/>
        </w:rPr>
        <w:t>hermore, we found that overexpression of AI662270 decreased the level of scavenger receptor class B, member I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SR-BI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while knockdown of AI662270 increased the expression of SR-BI, but had no significant effect on Abcg1 and CD36 (Additional file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Fig.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I, J). Moreover, the result revealed that AI662270 had little effect on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macrophage inflammatory status/phenotype</w:t>
      </w:r>
      <w:r>
        <w:rPr>
          <w:rFonts w:ascii="Times New Roman" w:hAnsi="Times New Roman" w:cs="Times New Roman"/>
          <w:sz w:val="24"/>
          <w:szCs w:val="24"/>
        </w:rPr>
        <w:t xml:space="preserve">s and the development of atherosclerosis in CD-fed </w:t>
      </w:r>
      <w:r>
        <w:rPr>
          <w:rFonts w:ascii="Times New Roman" w:hAnsi="Times New Roman" w:cs="Times New Roman"/>
          <w:i/>
          <w:sz w:val="24"/>
          <w:szCs w:val="24"/>
        </w:rPr>
        <w:t>ApoE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mice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Additional file 2: Fig. S1K-M).</w:t>
      </w:r>
    </w:p>
    <w:p w:rsidR="001578B2" w:rsidRDefault="001578B2">
      <w:pPr>
        <w:pStyle w:val="Default"/>
        <w:snapToGrid w:val="0"/>
        <w:spacing w:line="480" w:lineRule="auto"/>
        <w:jc w:val="both"/>
        <w:outlineLvl w:val="1"/>
        <w:rPr>
          <w:b/>
        </w:rPr>
      </w:pPr>
    </w:p>
    <w:p w:rsidR="001578B2" w:rsidRDefault="00191AFE">
      <w:pPr>
        <w:pStyle w:val="Default"/>
        <w:snapToGrid w:val="0"/>
        <w:spacing w:line="480" w:lineRule="auto"/>
        <w:jc w:val="both"/>
        <w:outlineLvl w:val="1"/>
        <w:rPr>
          <w:b/>
        </w:rPr>
      </w:pPr>
      <w:r>
        <w:rPr>
          <w:b/>
        </w:rPr>
        <w:t>Computational analysis for RNA:protein bindin</w:t>
      </w:r>
      <w:r>
        <w:rPr>
          <w:b/>
        </w:rPr>
        <w:t xml:space="preserve">g </w:t>
      </w:r>
    </w:p>
    <w:p w:rsidR="001578B2" w:rsidRDefault="00191AF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Computational analysis for RNA:protein binding using RNA-Protein Interaction Prediction (</w:t>
      </w:r>
      <w:bookmarkStart w:id="8" w:name="OLE_LINK1"/>
      <w:r>
        <w:rPr>
          <w:rFonts w:ascii="Times New Roman" w:hAnsi="Times New Roman" w:cs="Times New Roman"/>
          <w:sz w:val="24"/>
          <w:szCs w:val="24"/>
        </w:rPr>
        <w:t>RPIS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</w:rPr>
        <w:t>eq</w:t>
      </w:r>
      <w:bookmarkEnd w:id="8"/>
      <w:r>
        <w:rPr>
          <w:rFonts w:ascii="Times New Roman" w:hAnsi="Times New Roman" w:cs="Times New Roman"/>
          <w:sz w:val="24"/>
          <w:szCs w:val="24"/>
        </w:rPr>
        <w:t>) database suggested a high probability of AI662270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Abca1 interaction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 Fig.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 Moreover, computational analysis for RNA:protein binding u</w:t>
      </w:r>
      <w:r>
        <w:rPr>
          <w:rFonts w:ascii="Times New Roman" w:hAnsi="Times New Roman" w:cs="Times New Roman"/>
          <w:sz w:val="24"/>
          <w:szCs w:val="24"/>
        </w:rPr>
        <w:t xml:space="preserve">sing the catRAPID database to design the probe sequence of AI662270-1/-2/-3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 Fig. 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578B2" w:rsidRDefault="00191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References:</w:t>
      </w:r>
    </w:p>
    <w:p w:rsidR="001578B2" w:rsidRDefault="00191AF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0" w:name="_ENREF_1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KONTUSH A, CHAPMAN M J. Functionally defective high-density lipoprotein: a new therapeutic target at the crossroads </w:t>
      </w:r>
      <w:r>
        <w:rPr>
          <w:rFonts w:ascii="Times New Roman" w:hAnsi="Times New Roman" w:cs="Times New Roman"/>
          <w:sz w:val="24"/>
          <w:szCs w:val="24"/>
        </w:rPr>
        <w:t>of dyslipidemia, inflammation, and atherosclerosis [J]. Pharmacol Rev, 2006; 58(3): 342-74.</w:t>
      </w:r>
      <w:bookmarkEnd w:id="10"/>
    </w:p>
    <w:p w:rsidR="001578B2" w:rsidRDefault="00191AF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1" w:name="_ENREF_2"/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FERNANDEZ-HERNANDO C, ACKAH E, YU J, SUAREZ Y, MURATA T, IWAKIRI Y, et al. Loss of Akt1 leads to severe atherosclerosis and occlusive coronary artery disease [J]</w:t>
      </w:r>
      <w:r>
        <w:rPr>
          <w:rFonts w:ascii="Times New Roman" w:hAnsi="Times New Roman" w:cs="Times New Roman"/>
          <w:sz w:val="24"/>
          <w:szCs w:val="24"/>
        </w:rPr>
        <w:t>. Cell Metab, 2007; 6(6): 446-57.</w:t>
      </w:r>
      <w:bookmarkEnd w:id="11"/>
    </w:p>
    <w:p w:rsidR="001578B2" w:rsidRDefault="00191AFE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578B2" w:rsidSect="00191A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1AFE">
      <w:r>
        <w:separator/>
      </w:r>
    </w:p>
  </w:endnote>
  <w:endnote w:type="continuationSeparator" w:id="0">
    <w:p w:rsidR="00000000" w:rsidRDefault="0019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-Bold">
    <w:altName w:val="SimSun"/>
    <w:charset w:val="86"/>
    <w:family w:val="roman"/>
    <w:pitch w:val="default"/>
    <w:sig w:usb0="00000000" w:usb1="00000000" w:usb2="00000010" w:usb3="00000000" w:csb0="00040001" w:csb1="00000000"/>
  </w:font>
  <w:font w:name="MinionPro-Regular">
    <w:altName w:val="Arial Unicode MS"/>
    <w:charset w:val="86"/>
    <w:family w:val="roman"/>
    <w:pitch w:val="default"/>
    <w:sig w:usb0="00000000" w:usb1="00000000" w:usb2="00000010" w:usb3="00000000" w:csb0="00040000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034245"/>
    </w:sdtPr>
    <w:sdtEndPr/>
    <w:sdtContent>
      <w:p w:rsidR="001578B2" w:rsidRDefault="00191A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365" w:rsidRPr="00710365">
          <w:rPr>
            <w:noProof/>
            <w:lang w:val="zh-CN"/>
          </w:rPr>
          <w:t>4</w:t>
        </w:r>
        <w:r>
          <w:fldChar w:fldCharType="end"/>
        </w:r>
      </w:p>
    </w:sdtContent>
  </w:sdt>
  <w:p w:rsidR="001578B2" w:rsidRDefault="001578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1AFE">
      <w:r>
        <w:separator/>
      </w:r>
    </w:p>
  </w:footnote>
  <w:footnote w:type="continuationSeparator" w:id="0">
    <w:p w:rsidR="00000000" w:rsidRDefault="00191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5"/>
  <w:doNotDisplayPageBoundari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TM 20220725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96282"/>
    <w:rsid w:val="0003017C"/>
    <w:rsid w:val="000519C2"/>
    <w:rsid w:val="0006286B"/>
    <w:rsid w:val="00071568"/>
    <w:rsid w:val="000A0BEB"/>
    <w:rsid w:val="0010340C"/>
    <w:rsid w:val="00106B82"/>
    <w:rsid w:val="0011418F"/>
    <w:rsid w:val="001578B2"/>
    <w:rsid w:val="0016428E"/>
    <w:rsid w:val="0017780E"/>
    <w:rsid w:val="00191AFE"/>
    <w:rsid w:val="001A1735"/>
    <w:rsid w:val="001A77A7"/>
    <w:rsid w:val="001C60FD"/>
    <w:rsid w:val="001E58D0"/>
    <w:rsid w:val="00220A80"/>
    <w:rsid w:val="002B34D4"/>
    <w:rsid w:val="002E7631"/>
    <w:rsid w:val="00305B5A"/>
    <w:rsid w:val="00315D04"/>
    <w:rsid w:val="003251E7"/>
    <w:rsid w:val="00332D3F"/>
    <w:rsid w:val="00347FA3"/>
    <w:rsid w:val="00453F4F"/>
    <w:rsid w:val="00486DF1"/>
    <w:rsid w:val="0049690F"/>
    <w:rsid w:val="004D646E"/>
    <w:rsid w:val="0050583E"/>
    <w:rsid w:val="00542244"/>
    <w:rsid w:val="00574610"/>
    <w:rsid w:val="0058035C"/>
    <w:rsid w:val="00586C36"/>
    <w:rsid w:val="005927F4"/>
    <w:rsid w:val="005B6DEB"/>
    <w:rsid w:val="006266DA"/>
    <w:rsid w:val="006A1572"/>
    <w:rsid w:val="006A4B77"/>
    <w:rsid w:val="006C1795"/>
    <w:rsid w:val="00710365"/>
    <w:rsid w:val="00731602"/>
    <w:rsid w:val="007440C4"/>
    <w:rsid w:val="00746508"/>
    <w:rsid w:val="007675F2"/>
    <w:rsid w:val="0077798B"/>
    <w:rsid w:val="0078790A"/>
    <w:rsid w:val="00790DB9"/>
    <w:rsid w:val="00796282"/>
    <w:rsid w:val="007D17A8"/>
    <w:rsid w:val="007F4087"/>
    <w:rsid w:val="00890C95"/>
    <w:rsid w:val="008A0FB1"/>
    <w:rsid w:val="008D51CA"/>
    <w:rsid w:val="008D525D"/>
    <w:rsid w:val="008E0B76"/>
    <w:rsid w:val="00901A10"/>
    <w:rsid w:val="009128C6"/>
    <w:rsid w:val="009359EA"/>
    <w:rsid w:val="0095167A"/>
    <w:rsid w:val="00980D71"/>
    <w:rsid w:val="00980F5A"/>
    <w:rsid w:val="00987DA7"/>
    <w:rsid w:val="0099767B"/>
    <w:rsid w:val="009A574D"/>
    <w:rsid w:val="009B4680"/>
    <w:rsid w:val="009C1530"/>
    <w:rsid w:val="009F2993"/>
    <w:rsid w:val="00A13EE8"/>
    <w:rsid w:val="00A23736"/>
    <w:rsid w:val="00A27565"/>
    <w:rsid w:val="00A90401"/>
    <w:rsid w:val="00AB3CA1"/>
    <w:rsid w:val="00B942F1"/>
    <w:rsid w:val="00BB4027"/>
    <w:rsid w:val="00BC52BD"/>
    <w:rsid w:val="00BD357F"/>
    <w:rsid w:val="00BD6E03"/>
    <w:rsid w:val="00C060B6"/>
    <w:rsid w:val="00C47FF2"/>
    <w:rsid w:val="00C72D44"/>
    <w:rsid w:val="00C865C9"/>
    <w:rsid w:val="00C94E41"/>
    <w:rsid w:val="00CB394E"/>
    <w:rsid w:val="00CC473E"/>
    <w:rsid w:val="00CD7667"/>
    <w:rsid w:val="00D0067F"/>
    <w:rsid w:val="00D46610"/>
    <w:rsid w:val="00D95D76"/>
    <w:rsid w:val="00DA2EBE"/>
    <w:rsid w:val="00DE512A"/>
    <w:rsid w:val="00EC608C"/>
    <w:rsid w:val="00F743A7"/>
    <w:rsid w:val="00F83F36"/>
    <w:rsid w:val="00F936BF"/>
    <w:rsid w:val="00F9384E"/>
    <w:rsid w:val="00F96D3C"/>
    <w:rsid w:val="00FA5C80"/>
    <w:rsid w:val="00FB2A91"/>
    <w:rsid w:val="00FE2E32"/>
    <w:rsid w:val="00FF1DAA"/>
    <w:rsid w:val="02445957"/>
    <w:rsid w:val="0265792B"/>
    <w:rsid w:val="03EF4481"/>
    <w:rsid w:val="041800B5"/>
    <w:rsid w:val="06927A7D"/>
    <w:rsid w:val="07B260F7"/>
    <w:rsid w:val="083503EB"/>
    <w:rsid w:val="09581E0B"/>
    <w:rsid w:val="0B204882"/>
    <w:rsid w:val="0B3136C9"/>
    <w:rsid w:val="0E3F6E26"/>
    <w:rsid w:val="0F6D4A33"/>
    <w:rsid w:val="141D3B70"/>
    <w:rsid w:val="16C120D4"/>
    <w:rsid w:val="17983597"/>
    <w:rsid w:val="17C2508C"/>
    <w:rsid w:val="183879D7"/>
    <w:rsid w:val="1B666D3D"/>
    <w:rsid w:val="1F2C310A"/>
    <w:rsid w:val="1F4A1268"/>
    <w:rsid w:val="1F793D88"/>
    <w:rsid w:val="1FED1017"/>
    <w:rsid w:val="202550B5"/>
    <w:rsid w:val="21465E32"/>
    <w:rsid w:val="221E7471"/>
    <w:rsid w:val="24C6441A"/>
    <w:rsid w:val="263670E6"/>
    <w:rsid w:val="294855A0"/>
    <w:rsid w:val="29966F74"/>
    <w:rsid w:val="29B6075C"/>
    <w:rsid w:val="2A493BCF"/>
    <w:rsid w:val="2A665068"/>
    <w:rsid w:val="2A922D05"/>
    <w:rsid w:val="2EEB3D71"/>
    <w:rsid w:val="2F6847A7"/>
    <w:rsid w:val="2FFC34D2"/>
    <w:rsid w:val="30947C89"/>
    <w:rsid w:val="35215623"/>
    <w:rsid w:val="3F93536F"/>
    <w:rsid w:val="3F9B3684"/>
    <w:rsid w:val="3FB469D6"/>
    <w:rsid w:val="40EA0376"/>
    <w:rsid w:val="42DD3CE7"/>
    <w:rsid w:val="43D50475"/>
    <w:rsid w:val="43E0709D"/>
    <w:rsid w:val="444F55DD"/>
    <w:rsid w:val="44C45AAC"/>
    <w:rsid w:val="45AD22D1"/>
    <w:rsid w:val="461857E1"/>
    <w:rsid w:val="46286584"/>
    <w:rsid w:val="46773569"/>
    <w:rsid w:val="473D79FA"/>
    <w:rsid w:val="48F059B7"/>
    <w:rsid w:val="496B5146"/>
    <w:rsid w:val="4BFD50A8"/>
    <w:rsid w:val="4CC65AD4"/>
    <w:rsid w:val="5041068E"/>
    <w:rsid w:val="516C3E88"/>
    <w:rsid w:val="523069EB"/>
    <w:rsid w:val="53F37618"/>
    <w:rsid w:val="5498515C"/>
    <w:rsid w:val="572107EF"/>
    <w:rsid w:val="57506F60"/>
    <w:rsid w:val="582C415B"/>
    <w:rsid w:val="591408A8"/>
    <w:rsid w:val="593B78EC"/>
    <w:rsid w:val="5B5A1360"/>
    <w:rsid w:val="5B855328"/>
    <w:rsid w:val="5B9D6A58"/>
    <w:rsid w:val="5BB3119B"/>
    <w:rsid w:val="5BDC2658"/>
    <w:rsid w:val="5C023D2D"/>
    <w:rsid w:val="5C226846"/>
    <w:rsid w:val="5C835695"/>
    <w:rsid w:val="5CD60092"/>
    <w:rsid w:val="5D031796"/>
    <w:rsid w:val="5D4A1AC3"/>
    <w:rsid w:val="5EB841EB"/>
    <w:rsid w:val="5FA874C1"/>
    <w:rsid w:val="600B3685"/>
    <w:rsid w:val="613F70CD"/>
    <w:rsid w:val="61EE44CE"/>
    <w:rsid w:val="62665870"/>
    <w:rsid w:val="648517AD"/>
    <w:rsid w:val="65B27536"/>
    <w:rsid w:val="66B912B0"/>
    <w:rsid w:val="671B57D9"/>
    <w:rsid w:val="679901B9"/>
    <w:rsid w:val="69E80843"/>
    <w:rsid w:val="6AD40E1E"/>
    <w:rsid w:val="6C1E7B4B"/>
    <w:rsid w:val="6FF937AC"/>
    <w:rsid w:val="70B947A0"/>
    <w:rsid w:val="71D46E74"/>
    <w:rsid w:val="727F3EB5"/>
    <w:rsid w:val="766C3614"/>
    <w:rsid w:val="77310C8D"/>
    <w:rsid w:val="788475A5"/>
    <w:rsid w:val="79717F43"/>
    <w:rsid w:val="79780B57"/>
    <w:rsid w:val="7A6B47FD"/>
    <w:rsid w:val="7AAD21FD"/>
    <w:rsid w:val="7AF04167"/>
    <w:rsid w:val="7C7F30C1"/>
    <w:rsid w:val="7D0B3820"/>
    <w:rsid w:val="7FC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C5B073-C3E0-4D40-AE7C-2E4AF2A9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uiPriority w:val="9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zh-CN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SimSun" w:eastAsia="SimSun" w:hAnsi="SimSun" w:cs="SimSun"/>
      <w:b/>
      <w:bCs/>
      <w:kern w:val="0"/>
      <w:sz w:val="36"/>
      <w:szCs w:val="36"/>
    </w:rPr>
  </w:style>
  <w:style w:type="character" w:customStyle="1" w:styleId="CommentTextChar">
    <w:name w:val="Comment Text Char"/>
    <w:basedOn w:val="DefaultParagraphFont"/>
    <w:link w:val="CommentText"/>
    <w:uiPriority w:val="99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 w:cstheme="minorBidi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 w:cstheme="minorBidi"/>
      <w:kern w:val="2"/>
      <w:szCs w:val="22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0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Users/86131/Dict/8.10.2.0/resultui/html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yuhua</dc:creator>
  <cp:lastModifiedBy>Indhumathi</cp:lastModifiedBy>
  <cp:revision>47</cp:revision>
  <dcterms:created xsi:type="dcterms:W3CDTF">2020-01-05T09:49:00Z</dcterms:created>
  <dcterms:modified xsi:type="dcterms:W3CDTF">2023-02-04T06:13:00Z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C8C57E80F429472B93F1711E41D5E1A5</vt:lpwstr>
  </property>
</Properties>
</file>