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5"/>
        <w:gridCol w:w="2883"/>
        <w:gridCol w:w="2914"/>
      </w:tblGrid>
      <w:tr w:rsidR="00694579" w:rsidRPr="0026319E" w14:paraId="62D56252" w14:textId="77777777" w:rsidTr="00694579">
        <w:tc>
          <w:tcPr>
            <w:tcW w:w="8302" w:type="dxa"/>
            <w:gridSpan w:val="3"/>
            <w:tcBorders>
              <w:bottom w:val="single" w:sz="4" w:space="0" w:color="auto"/>
            </w:tcBorders>
          </w:tcPr>
          <w:p w14:paraId="04EF13C0" w14:textId="61302F1E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33"/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Table </w:t>
            </w:r>
            <w:r w:rsidR="00835EB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F22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. Odds ratio (95% CI) for hyperfiltration according to obesity phenotype </w:t>
            </w:r>
            <w:bookmarkStart w:id="1" w:name="OLE_LINK8"/>
            <w:bookmarkStart w:id="2" w:name="OLE_LINK9"/>
            <w:r w:rsidRPr="0026319E">
              <w:rPr>
                <w:rFonts w:ascii="Times New Roman" w:hAnsi="Times New Roman" w:cs="Times New Roman"/>
                <w:sz w:val="24"/>
                <w:szCs w:val="24"/>
              </w:rPr>
              <w:t xml:space="preserve">and serum uric acid </w:t>
            </w:r>
            <w:bookmarkStart w:id="3" w:name="_GoBack"/>
            <w:bookmarkEnd w:id="3"/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bookmarkEnd w:id="1"/>
            <w:bookmarkEnd w:id="2"/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4579" w:rsidRPr="0026319E" w14:paraId="7816C261" w14:textId="77777777" w:rsidTr="00694579"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</w:tcPr>
          <w:p w14:paraId="2F29DF1F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tcBorders>
              <w:top w:val="single" w:sz="4" w:space="0" w:color="auto"/>
              <w:bottom w:val="single" w:sz="4" w:space="0" w:color="auto"/>
            </w:tcBorders>
          </w:tcPr>
          <w:p w14:paraId="74618159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Non-hyperuricemia</w:t>
            </w:r>
          </w:p>
        </w:tc>
        <w:tc>
          <w:tcPr>
            <w:tcW w:w="2914" w:type="dxa"/>
            <w:tcBorders>
              <w:top w:val="single" w:sz="4" w:space="0" w:color="auto"/>
              <w:bottom w:val="single" w:sz="4" w:space="0" w:color="auto"/>
            </w:tcBorders>
          </w:tcPr>
          <w:p w14:paraId="5BAC3269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Hyperuricemia</w:t>
            </w:r>
          </w:p>
        </w:tc>
      </w:tr>
      <w:tr w:rsidR="00694579" w:rsidRPr="0026319E" w14:paraId="204D2F06" w14:textId="77777777" w:rsidTr="00694579">
        <w:tc>
          <w:tcPr>
            <w:tcW w:w="2505" w:type="dxa"/>
            <w:tcBorders>
              <w:top w:val="single" w:sz="4" w:space="0" w:color="auto"/>
            </w:tcBorders>
          </w:tcPr>
          <w:p w14:paraId="1C2BF415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MHNO</w:t>
            </w:r>
          </w:p>
        </w:tc>
        <w:tc>
          <w:tcPr>
            <w:tcW w:w="2883" w:type="dxa"/>
            <w:tcBorders>
              <w:top w:val="single" w:sz="4" w:space="0" w:color="auto"/>
            </w:tcBorders>
          </w:tcPr>
          <w:p w14:paraId="5D3F9262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1.00 (Ref.)</w:t>
            </w:r>
          </w:p>
        </w:tc>
        <w:tc>
          <w:tcPr>
            <w:tcW w:w="2914" w:type="dxa"/>
            <w:tcBorders>
              <w:top w:val="single" w:sz="4" w:space="0" w:color="auto"/>
            </w:tcBorders>
          </w:tcPr>
          <w:p w14:paraId="6ADFA1C0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579" w:rsidRPr="0026319E" w14:paraId="6E04ABF3" w14:textId="77777777" w:rsidTr="00694579">
        <w:tc>
          <w:tcPr>
            <w:tcW w:w="2505" w:type="dxa"/>
          </w:tcPr>
          <w:p w14:paraId="4C11BECA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MHO</w:t>
            </w:r>
          </w:p>
        </w:tc>
        <w:tc>
          <w:tcPr>
            <w:tcW w:w="2883" w:type="dxa"/>
          </w:tcPr>
          <w:p w14:paraId="5FD11B68" w14:textId="77777777" w:rsidR="00694579" w:rsidRPr="00835EBF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835EBF">
              <w:rPr>
                <w:rFonts w:ascii="Times New Roman" w:hAnsi="Times New Roman" w:cs="Times New Roman"/>
                <w:sz w:val="24"/>
                <w:szCs w:val="24"/>
              </w:rPr>
              <w:t>2.39 (1.04-5.52)</w:t>
            </w:r>
          </w:p>
        </w:tc>
        <w:tc>
          <w:tcPr>
            <w:tcW w:w="2914" w:type="dxa"/>
          </w:tcPr>
          <w:p w14:paraId="74153E51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1.23 (0.24-6.16)</w:t>
            </w:r>
          </w:p>
        </w:tc>
      </w:tr>
      <w:tr w:rsidR="00694579" w:rsidRPr="0026319E" w14:paraId="315BB0E0" w14:textId="77777777" w:rsidTr="00694579">
        <w:tc>
          <w:tcPr>
            <w:tcW w:w="2505" w:type="dxa"/>
          </w:tcPr>
          <w:p w14:paraId="4445734D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MUNO</w:t>
            </w:r>
          </w:p>
        </w:tc>
        <w:tc>
          <w:tcPr>
            <w:tcW w:w="2883" w:type="dxa"/>
          </w:tcPr>
          <w:p w14:paraId="37652BB6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0.44 (0.17-1.14)</w:t>
            </w:r>
          </w:p>
        </w:tc>
        <w:tc>
          <w:tcPr>
            <w:tcW w:w="2914" w:type="dxa"/>
          </w:tcPr>
          <w:p w14:paraId="3F4ABDAF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94579" w:rsidRPr="0026319E" w14:paraId="0A86386A" w14:textId="77777777" w:rsidTr="00694579">
        <w:tc>
          <w:tcPr>
            <w:tcW w:w="2505" w:type="dxa"/>
            <w:tcBorders>
              <w:bottom w:val="single" w:sz="4" w:space="0" w:color="auto"/>
            </w:tcBorders>
          </w:tcPr>
          <w:p w14:paraId="259D5419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MUO</w:t>
            </w:r>
          </w:p>
        </w:tc>
        <w:tc>
          <w:tcPr>
            <w:tcW w:w="2883" w:type="dxa"/>
            <w:tcBorders>
              <w:bottom w:val="single" w:sz="4" w:space="0" w:color="auto"/>
            </w:tcBorders>
          </w:tcPr>
          <w:p w14:paraId="1FB00AF1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0.98 (0.44-2.15)</w:t>
            </w: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14:paraId="3FA07A72" w14:textId="77777777" w:rsidR="00694579" w:rsidRPr="0026319E" w:rsidRDefault="00694579" w:rsidP="007F2EEA">
            <w:pPr>
              <w:spacing w:line="480" w:lineRule="auto"/>
              <w:ind w:leftChars="-51" w:lef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26319E">
              <w:rPr>
                <w:rFonts w:ascii="Times New Roman" w:hAnsi="Times New Roman" w:cs="Times New Roman"/>
                <w:sz w:val="24"/>
                <w:szCs w:val="24"/>
              </w:rPr>
              <w:t>0.58 (0.18-1.91)</w:t>
            </w:r>
          </w:p>
        </w:tc>
      </w:tr>
    </w:tbl>
    <w:bookmarkEnd w:id="0"/>
    <w:p w14:paraId="5A2EFB8B" w14:textId="39B4889E" w:rsidR="00694579" w:rsidRDefault="00694579" w:rsidP="007F2E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319E">
        <w:rPr>
          <w:rFonts w:ascii="Times New Roman" w:hAnsi="Times New Roman" w:cs="Times New Roman"/>
          <w:sz w:val="24"/>
          <w:szCs w:val="24"/>
        </w:rPr>
        <w:t>Odds ratios were calculated by multivariable logistic regression adjusting for age, sex, physical activity, current smokers (yes/no), current drinking (yes/no), ALT, AST, GGT, TC and LDL-c.</w:t>
      </w:r>
    </w:p>
    <w:p w14:paraId="4FDD9FCF" w14:textId="2DE4FFA6" w:rsidR="007F2EEA" w:rsidRPr="008E1F20" w:rsidRDefault="007F2EEA" w:rsidP="007F2EEA">
      <w:pPr>
        <w:spacing w:line="480" w:lineRule="auto"/>
        <w:jc w:val="left"/>
      </w:pPr>
      <w:bookmarkStart w:id="4" w:name="_Hlk103936672"/>
      <w:r>
        <w:rPr>
          <w:rFonts w:ascii="Times New Roman" w:hAnsi="Times New Roman" w:cs="Times New Roman"/>
          <w:sz w:val="24"/>
          <w:szCs w:val="24"/>
        </w:rPr>
        <w:t>Abbreviations:</w:t>
      </w:r>
      <w:r w:rsidRPr="00C942BF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TC, total cholesterol; </w:t>
      </w:r>
      <w:r w:rsidRPr="00C942BF">
        <w:rPr>
          <w:rFonts w:ascii="Times New Roman" w:hAnsi="Times New Roman" w:cs="Times New Roman"/>
          <w:sz w:val="24"/>
          <w:szCs w:val="24"/>
        </w:rPr>
        <w:t>LDL-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C942BF">
        <w:rPr>
          <w:rFonts w:ascii="Times New Roman" w:hAnsi="Times New Roman" w:cs="Times New Roman"/>
          <w:sz w:val="24"/>
          <w:szCs w:val="24"/>
        </w:rPr>
        <w:t>, low-density lipoprotein cholesterol;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2BF">
        <w:rPr>
          <w:rFonts w:ascii="Times New Roman" w:hAnsi="Times New Roman" w:cs="Times New Roman"/>
          <w:sz w:val="24"/>
          <w:szCs w:val="24"/>
        </w:rPr>
        <w:t>AST, aspartate aminotransferase; ALT, alanine aminotransferas</w:t>
      </w:r>
      <w:r w:rsidRPr="008E1F20">
        <w:rPr>
          <w:rFonts w:ascii="Times New Roman" w:hAnsi="Times New Roman" w:cs="Times New Roman"/>
          <w:sz w:val="24"/>
          <w:szCs w:val="24"/>
        </w:rPr>
        <w:t>e; GGT, γ-glutamyltransfe</w:t>
      </w:r>
      <w:r w:rsidRPr="00C942BF">
        <w:rPr>
          <w:rFonts w:ascii="Times New Roman" w:hAnsi="Times New Roman" w:cs="Times New Roman"/>
          <w:sz w:val="24"/>
          <w:szCs w:val="24"/>
        </w:rPr>
        <w:t>rase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E9E100" w14:textId="77777777" w:rsidR="007F2EEA" w:rsidRPr="007F2EEA" w:rsidRDefault="007F2EEA" w:rsidP="0069457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255095" w14:textId="77777777" w:rsidR="003B24F3" w:rsidRPr="00694579" w:rsidRDefault="003B24F3"/>
    <w:sectPr w:rsidR="003B24F3" w:rsidRPr="006945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238A7" w14:textId="77777777" w:rsidR="00AA459D" w:rsidRDefault="00AA459D" w:rsidP="00694579">
      <w:r>
        <w:separator/>
      </w:r>
    </w:p>
  </w:endnote>
  <w:endnote w:type="continuationSeparator" w:id="0">
    <w:p w14:paraId="1E082886" w14:textId="77777777" w:rsidR="00AA459D" w:rsidRDefault="00AA459D" w:rsidP="0069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6EF52" w14:textId="77777777" w:rsidR="00AA459D" w:rsidRDefault="00AA459D" w:rsidP="00694579">
      <w:r>
        <w:separator/>
      </w:r>
    </w:p>
  </w:footnote>
  <w:footnote w:type="continuationSeparator" w:id="0">
    <w:p w14:paraId="35E3B7CB" w14:textId="77777777" w:rsidR="00AA459D" w:rsidRDefault="00AA459D" w:rsidP="00694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A97"/>
    <w:rsid w:val="000F22A3"/>
    <w:rsid w:val="0035771A"/>
    <w:rsid w:val="003B24F3"/>
    <w:rsid w:val="00694579"/>
    <w:rsid w:val="007F2EEA"/>
    <w:rsid w:val="00835EBF"/>
    <w:rsid w:val="00893421"/>
    <w:rsid w:val="00916A97"/>
    <w:rsid w:val="00AA459D"/>
    <w:rsid w:val="00DF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DD3D6"/>
  <w15:chartTrackingRefBased/>
  <w15:docId w15:val="{CF933AFD-F79A-4A5F-81BD-2754E4DA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57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5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9457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45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94579"/>
    <w:rPr>
      <w:sz w:val="18"/>
      <w:szCs w:val="18"/>
    </w:rPr>
  </w:style>
  <w:style w:type="table" w:styleId="TableGrid">
    <w:name w:val="Table Grid"/>
    <w:basedOn w:val="TableNormal"/>
    <w:uiPriority w:val="39"/>
    <w:rsid w:val="006945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93421"/>
  </w:style>
  <w:style w:type="paragraph" w:styleId="BalloonText">
    <w:name w:val="Balloon Text"/>
    <w:basedOn w:val="Normal"/>
    <w:link w:val="BalloonTextChar"/>
    <w:uiPriority w:val="99"/>
    <w:semiHidden/>
    <w:unhideWhenUsed/>
    <w:rsid w:val="00835E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HXL</dc:creator>
  <cp:keywords/>
  <dc:description/>
  <cp:lastModifiedBy>Aarthi K.</cp:lastModifiedBy>
  <cp:revision>6</cp:revision>
  <dcterms:created xsi:type="dcterms:W3CDTF">2022-05-20T03:46:00Z</dcterms:created>
  <dcterms:modified xsi:type="dcterms:W3CDTF">2023-02-21T07:52:00Z</dcterms:modified>
</cp:coreProperties>
</file>