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4FEE9" w14:textId="5D53CD4D" w:rsidR="00710BD8" w:rsidRPr="00710BD8" w:rsidRDefault="00422FCA" w:rsidP="000C0676">
      <w:pPr>
        <w:pStyle w:val="ListParagraph"/>
        <w:ind w:left="360" w:firstLineChars="0" w:firstLine="0"/>
      </w:pPr>
      <w:r>
        <w:rPr>
          <w:noProof/>
          <w:lang w:eastAsia="en-US"/>
        </w:rPr>
        <w:drawing>
          <wp:inline distT="0" distB="0" distL="0" distR="0" wp14:anchorId="72F7DFA8" wp14:editId="764AF35D">
            <wp:extent cx="4986528" cy="3133344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28" cy="313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3F73B" w14:textId="37F3A518" w:rsidR="000C0676" w:rsidRDefault="00B35CF3" w:rsidP="00710BD8">
      <w:r>
        <w:t xml:space="preserve">Additional file 1: </w:t>
      </w:r>
      <w:r w:rsidR="00710BD8">
        <w:t xml:space="preserve">Fig. </w:t>
      </w:r>
      <w:r>
        <w:t>S</w:t>
      </w:r>
      <w:r w:rsidR="00422FCA">
        <w:t>1</w:t>
      </w:r>
      <w:r w:rsidR="00710BD8">
        <w:rPr>
          <w:rFonts w:hint="eastAsia"/>
        </w:rPr>
        <w:t>. MG-CM</w:t>
      </w:r>
      <w:r w:rsidR="00710BD8">
        <w:t xml:space="preserve"> enhanced migration and invasion of GIST cells treated with Imatinib</w:t>
      </w:r>
      <w:r w:rsidR="00BE2081">
        <w:rPr>
          <w:rFonts w:hint="eastAsia"/>
        </w:rPr>
        <w:t>.</w:t>
      </w:r>
    </w:p>
    <w:p w14:paraId="0B0049F6" w14:textId="2B46C725" w:rsidR="00F2211E" w:rsidRDefault="00F2211E" w:rsidP="00F2211E">
      <w:r>
        <w:t xml:space="preserve">(A)(C) Wound-healing assay shows that </w:t>
      </w:r>
      <w:r>
        <w:rPr>
          <w:rFonts w:hint="eastAsia"/>
        </w:rPr>
        <w:t>CM</w:t>
      </w:r>
      <w:r>
        <w:t xml:space="preserve"> (onl</w:t>
      </w:r>
      <w:r>
        <w:rPr>
          <w:rFonts w:hint="eastAsia"/>
        </w:rPr>
        <w:t xml:space="preserve">y </w:t>
      </w:r>
      <w:r>
        <w:t xml:space="preserve">co-cultured for 8 days) dose-dependently promoted the migration of GIST-882 cells. (***P&lt;.001) </w:t>
      </w:r>
    </w:p>
    <w:p w14:paraId="25220656" w14:textId="77777777" w:rsidR="00F2211E" w:rsidRDefault="00F2211E" w:rsidP="00F2211E">
      <w:pPr>
        <w:rPr>
          <w:kern w:val="0"/>
        </w:rPr>
      </w:pPr>
      <w:r>
        <w:rPr>
          <w:kern w:val="0"/>
        </w:rPr>
        <w:t xml:space="preserve">(B)(D) Transwell invasion assay shows that </w:t>
      </w:r>
      <w:r>
        <w:rPr>
          <w:rFonts w:hint="eastAsia"/>
        </w:rPr>
        <w:t>MG-CM</w:t>
      </w:r>
      <w:r>
        <w:rPr>
          <w:kern w:val="0"/>
        </w:rPr>
        <w:t xml:space="preserve"> (</w:t>
      </w:r>
      <w:r>
        <w:rPr>
          <w:rFonts w:hint="eastAsia"/>
          <w:kern w:val="0"/>
        </w:rPr>
        <w:t xml:space="preserve">only </w:t>
      </w:r>
      <w:r>
        <w:rPr>
          <w:kern w:val="0"/>
        </w:rPr>
        <w:t>co-cultured for 8 days) dose-dependently promoted the invasion of GIST-882 cells. (***P&lt;.001)</w:t>
      </w:r>
    </w:p>
    <w:p w14:paraId="2559CBEA" w14:textId="4E584473" w:rsidR="00F2211E" w:rsidRDefault="00F2211E" w:rsidP="00F2211E">
      <w:pPr>
        <w:rPr>
          <w:kern w:val="0"/>
        </w:rPr>
      </w:pPr>
      <w:r>
        <w:t>T</w:t>
      </w:r>
      <w:r>
        <w:rPr>
          <w:rFonts w:hint="eastAsia"/>
        </w:rPr>
        <w:t>he results are presented as mean</w:t>
      </w:r>
      <w:r>
        <w:rPr>
          <w:rFonts w:hint="eastAsia"/>
        </w:rPr>
        <w:t>±</w:t>
      </w:r>
      <w:r>
        <w:rPr>
          <w:rFonts w:hint="eastAsia"/>
        </w:rPr>
        <w:t xml:space="preserve">standard deviation; ***P&lt;0.001. </w:t>
      </w:r>
      <w:r w:rsidR="0065260A">
        <w:rPr>
          <w:rFonts w:hint="eastAsia"/>
        </w:rPr>
        <w:t>MSCs, mesenchymal stem cells</w:t>
      </w:r>
      <w:r w:rsidR="00826CDB">
        <w:t>,</w:t>
      </w:r>
      <w:r w:rsidR="0065260A">
        <w:rPr>
          <w:rFonts w:hint="eastAsia"/>
        </w:rPr>
        <w:t xml:space="preserve"> </w:t>
      </w:r>
      <w:r>
        <w:rPr>
          <w:rFonts w:hint="eastAsia"/>
        </w:rPr>
        <w:t>MG-CM, MSCs</w:t>
      </w:r>
      <w:r w:rsidR="00AA23DA">
        <w:t>,</w:t>
      </w:r>
      <w:r>
        <w:rPr>
          <w:rFonts w:hint="eastAsia"/>
        </w:rPr>
        <w:t xml:space="preserve"> and GIST cells co-culture conditioned media.</w:t>
      </w:r>
    </w:p>
    <w:p w14:paraId="00F08C1B" w14:textId="7DF63A62" w:rsidR="006A7F97" w:rsidRDefault="006A7F97">
      <w:pPr>
        <w:widowControl/>
        <w:jc w:val="left"/>
      </w:pPr>
      <w:r>
        <w:br w:type="page"/>
      </w:r>
    </w:p>
    <w:p w14:paraId="6A2AB451" w14:textId="40912083" w:rsidR="00F2211E" w:rsidRDefault="00F05A90" w:rsidP="00AA1810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1A991450" wp14:editId="7F09F7B8">
            <wp:extent cx="5050465" cy="4092414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494" cy="409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203A7" w14:textId="77777777" w:rsidR="00AA1810" w:rsidRDefault="00AA1810" w:rsidP="00AA1810"/>
    <w:p w14:paraId="6702F688" w14:textId="77777777" w:rsidR="00AA1810" w:rsidRDefault="00AA1810" w:rsidP="00AA1810"/>
    <w:p w14:paraId="5285BC23" w14:textId="4B41F76C" w:rsidR="00AA1810" w:rsidRDefault="00B35CF3" w:rsidP="00B43BD6">
      <w:pPr>
        <w:jc w:val="center"/>
        <w:rPr>
          <w:b/>
        </w:rPr>
      </w:pPr>
      <w:r>
        <w:t>Additional file 1: Fig. S</w:t>
      </w:r>
      <w:r w:rsidR="00AA1810" w:rsidRPr="00B43BD6">
        <w:rPr>
          <w:rFonts w:hint="eastAsia"/>
          <w:b/>
        </w:rPr>
        <w:t xml:space="preserve">2. </w:t>
      </w:r>
      <w:r w:rsidR="00B43BD6" w:rsidRPr="00B43BD6">
        <w:rPr>
          <w:b/>
        </w:rPr>
        <w:t>In-depth characterisation of BM-MSC cells</w:t>
      </w:r>
    </w:p>
    <w:p w14:paraId="57EDC14F" w14:textId="43D65C87" w:rsidR="008C1B35" w:rsidRDefault="00B43BD6" w:rsidP="00B43BD6">
      <w:pPr>
        <w:rPr>
          <w:noProof/>
        </w:rPr>
      </w:pPr>
      <w:r w:rsidRPr="00575160">
        <w:rPr>
          <w:noProof/>
        </w:rPr>
        <w:t xml:space="preserve">Anti-CD90 </w:t>
      </w:r>
      <w:r>
        <w:rPr>
          <w:rFonts w:hint="eastAsia"/>
          <w:noProof/>
        </w:rPr>
        <w:t>positive</w:t>
      </w:r>
      <w:r>
        <w:rPr>
          <w:noProof/>
        </w:rPr>
        <w:t xml:space="preserve"> </w:t>
      </w:r>
      <w:r w:rsidRPr="00575160">
        <w:rPr>
          <w:noProof/>
        </w:rPr>
        <w:t xml:space="preserve">MACS purified MSCs from tumor tissue, and the cells obtained after adherent culture had a typical </w:t>
      </w:r>
      <w:r w:rsidRPr="00D17769">
        <w:rPr>
          <w:noProof/>
        </w:rPr>
        <w:t>spindle and stellate morphology</w:t>
      </w:r>
      <w:r>
        <w:rPr>
          <w:noProof/>
        </w:rPr>
        <w:t xml:space="preserve"> (A)</w:t>
      </w:r>
      <w:r w:rsidRPr="00575160">
        <w:rPr>
          <w:noProof/>
        </w:rPr>
        <w:t xml:space="preserve"> with the characteristic tri-lineage differentiation ability of MSCs. The cells had the ability to differentiate into osteoblasts, adipocytes and chondrocytes, respectively</w:t>
      </w:r>
      <w:r>
        <w:rPr>
          <w:noProof/>
        </w:rPr>
        <w:t xml:space="preserve"> (B)</w:t>
      </w:r>
      <w:r w:rsidRPr="00575160">
        <w:rPr>
          <w:noProof/>
        </w:rPr>
        <w:t>. The cells were identified using MSC-related markers</w:t>
      </w:r>
      <w:r>
        <w:rPr>
          <w:noProof/>
        </w:rPr>
        <w:t xml:space="preserve">, they </w:t>
      </w:r>
      <w:r w:rsidRPr="00575160">
        <w:rPr>
          <w:noProof/>
        </w:rPr>
        <w:t>expressed CD73, CD90, CD105</w:t>
      </w:r>
      <w:r>
        <w:rPr>
          <w:rFonts w:hint="eastAsia"/>
          <w:noProof/>
        </w:rPr>
        <w:t xml:space="preserve"> and CD166 </w:t>
      </w:r>
      <w:r w:rsidRPr="00575160">
        <w:rPr>
          <w:noProof/>
        </w:rPr>
        <w:t xml:space="preserve">but not </w:t>
      </w:r>
      <w:r>
        <w:rPr>
          <w:noProof/>
        </w:rPr>
        <w:t>CD</w:t>
      </w:r>
      <w:r>
        <w:rPr>
          <w:rFonts w:hint="eastAsia"/>
          <w:noProof/>
        </w:rPr>
        <w:t>34,</w:t>
      </w:r>
      <w:r w:rsidRPr="00575160">
        <w:rPr>
          <w:noProof/>
        </w:rPr>
        <w:t>CD45</w:t>
      </w:r>
      <w:r>
        <w:rPr>
          <w:rFonts w:hint="eastAsia"/>
          <w:noProof/>
        </w:rPr>
        <w:t xml:space="preserve"> or HLA-DR</w:t>
      </w:r>
      <w:r>
        <w:rPr>
          <w:noProof/>
        </w:rPr>
        <w:t xml:space="preserve"> (C)</w:t>
      </w:r>
    </w:p>
    <w:p w14:paraId="11A87E30" w14:textId="77777777" w:rsidR="008C1B35" w:rsidRDefault="008C1B35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754431D5" w14:textId="0C594806" w:rsidR="008C1B35" w:rsidRDefault="00927E03" w:rsidP="008C1B35">
      <w:pPr>
        <w:jc w:val="center"/>
        <w:rPr>
          <w:b/>
        </w:rPr>
      </w:pPr>
      <w:r>
        <w:rPr>
          <w:noProof/>
          <w:lang w:eastAsia="en-US"/>
        </w:rPr>
        <w:lastRenderedPageBreak/>
        <w:drawing>
          <wp:inline distT="0" distB="0" distL="0" distR="0" wp14:anchorId="70F784D9" wp14:editId="2D243C9A">
            <wp:extent cx="5580389" cy="2967487"/>
            <wp:effectExtent l="0" t="0" r="127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500" cy="296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5CF3" w:rsidRPr="00B35CF3">
        <w:t xml:space="preserve"> </w:t>
      </w:r>
      <w:r w:rsidR="00B35CF3">
        <w:t>Additional file 1: Fig. S</w:t>
      </w:r>
      <w:r w:rsidR="008C1B35">
        <w:rPr>
          <w:rFonts w:hint="eastAsia"/>
          <w:b/>
        </w:rPr>
        <w:t>3</w:t>
      </w:r>
      <w:r w:rsidR="008C1B35" w:rsidRPr="00B43BD6">
        <w:rPr>
          <w:rFonts w:hint="eastAsia"/>
          <w:b/>
        </w:rPr>
        <w:t xml:space="preserve">. </w:t>
      </w:r>
      <w:r w:rsidR="008C1B35" w:rsidRPr="008C1B35">
        <w:rPr>
          <w:b/>
        </w:rPr>
        <w:t>Changes in the expression of ligands on GIST-882 cells after co-culture</w:t>
      </w:r>
    </w:p>
    <w:p w14:paraId="31DEEDE8" w14:textId="064A9718" w:rsidR="008C1B35" w:rsidRPr="008C1B35" w:rsidRDefault="008C1B35" w:rsidP="008C1B35">
      <w:pPr>
        <w:jc w:val="left"/>
      </w:pPr>
      <w:r w:rsidRPr="008C1B35">
        <w:t>Alterations in the transcriptional regulation of SDF-1, VEGF, TNF-α, PDGF, and CXCL-16 genes are known to impact the phenotypic characteristics of mese</w:t>
      </w:r>
      <w:bookmarkStart w:id="0" w:name="_GoBack"/>
      <w:bookmarkEnd w:id="0"/>
      <w:r w:rsidRPr="008C1B35">
        <w:t>nchymal stem cells (MSCs) in the context of tumor tissue, as evidenced by existing literature.</w:t>
      </w:r>
      <w:r>
        <w:rPr>
          <w:rFonts w:hint="eastAsia"/>
        </w:rPr>
        <w:t xml:space="preserve"> </w:t>
      </w:r>
      <w:r w:rsidRPr="008C1B35">
        <w:t>GIST-882 cells were subjected to non-contact co-culture with mesenchymal stem cells (MSCs) in vitro</w:t>
      </w:r>
      <w:r w:rsidR="001262DD">
        <w:rPr>
          <w:rFonts w:hint="eastAsia"/>
        </w:rPr>
        <w:t>(A)</w:t>
      </w:r>
      <w:r w:rsidRPr="008C1B35">
        <w:t>.</w:t>
      </w:r>
      <w:r w:rsidR="001262DD">
        <w:rPr>
          <w:rFonts w:hint="eastAsia"/>
        </w:rPr>
        <w:t xml:space="preserve"> </w:t>
      </w:r>
      <w:r w:rsidR="001262DD" w:rsidRPr="001262DD">
        <w:t>GIST-882 cells are co-cultured with MSC cells in a direct, mixed co-culture</w:t>
      </w:r>
      <w:r w:rsidR="001262DD">
        <w:rPr>
          <w:rFonts w:hint="eastAsia"/>
        </w:rPr>
        <w:t>(B)</w:t>
      </w:r>
      <w:r w:rsidR="001262DD" w:rsidRPr="001262DD">
        <w:t>.</w:t>
      </w:r>
    </w:p>
    <w:sectPr w:rsidR="008C1B35" w:rsidRPr="008C1B35" w:rsidSect="0053438E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E8241" w14:textId="77777777" w:rsidR="00E43DC2" w:rsidRDefault="00E43DC2" w:rsidP="00E05DEE">
      <w:r>
        <w:separator/>
      </w:r>
    </w:p>
  </w:endnote>
  <w:endnote w:type="continuationSeparator" w:id="0">
    <w:p w14:paraId="0BA7A55C" w14:textId="77777777" w:rsidR="00E43DC2" w:rsidRDefault="00E43DC2" w:rsidP="00E0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49D60" w14:textId="77777777" w:rsidR="00E43DC2" w:rsidRDefault="00E43DC2" w:rsidP="00E05DEE">
      <w:r>
        <w:separator/>
      </w:r>
    </w:p>
  </w:footnote>
  <w:footnote w:type="continuationSeparator" w:id="0">
    <w:p w14:paraId="71BCA12F" w14:textId="77777777" w:rsidR="00E43DC2" w:rsidRDefault="00E43DC2" w:rsidP="00E05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3163"/>
    <w:multiLevelType w:val="hybridMultilevel"/>
    <w:tmpl w:val="A198B1C8"/>
    <w:lvl w:ilvl="0" w:tplc="E6D2C2F0">
      <w:start w:val="5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EE570B"/>
    <w:multiLevelType w:val="hybridMultilevel"/>
    <w:tmpl w:val="07D01678"/>
    <w:lvl w:ilvl="0" w:tplc="4540FABE">
      <w:start w:val="4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C56029"/>
    <w:multiLevelType w:val="hybridMultilevel"/>
    <w:tmpl w:val="365012B4"/>
    <w:lvl w:ilvl="0" w:tplc="7A64B8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814C30"/>
    <w:multiLevelType w:val="hybridMultilevel"/>
    <w:tmpl w:val="8E72447E"/>
    <w:lvl w:ilvl="0" w:tplc="9FA641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CA5E59"/>
    <w:multiLevelType w:val="hybridMultilevel"/>
    <w:tmpl w:val="86EEEB78"/>
    <w:lvl w:ilvl="0" w:tplc="C036509E">
      <w:start w:val="3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074B21"/>
    <w:multiLevelType w:val="hybridMultilevel"/>
    <w:tmpl w:val="D1B8335E"/>
    <w:lvl w:ilvl="0" w:tplc="E550D00E">
      <w:start w:val="4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4310AA0"/>
    <w:multiLevelType w:val="hybridMultilevel"/>
    <w:tmpl w:val="A84618F6"/>
    <w:lvl w:ilvl="0" w:tplc="2C844812">
      <w:start w:val="3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1CC4531"/>
    <w:multiLevelType w:val="hybridMultilevel"/>
    <w:tmpl w:val="F24E27D2"/>
    <w:lvl w:ilvl="0" w:tplc="3872D898">
      <w:start w:val="1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8" w15:restartNumberingAfterBreak="0">
    <w:nsid w:val="59096BAB"/>
    <w:multiLevelType w:val="hybridMultilevel"/>
    <w:tmpl w:val="92BEF1D2"/>
    <w:lvl w:ilvl="0" w:tplc="FCB415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BA23A71"/>
    <w:multiLevelType w:val="hybridMultilevel"/>
    <w:tmpl w:val="688ADA1A"/>
    <w:lvl w:ilvl="0" w:tplc="FCB415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zMzezMDE1NzeyNDNX0lEKTi0uzszPAykwqQUAQX3mkiwAAAA="/>
  </w:docVars>
  <w:rsids>
    <w:rsidRoot w:val="00EE1CEB"/>
    <w:rsid w:val="000519FF"/>
    <w:rsid w:val="00094B70"/>
    <w:rsid w:val="000C0676"/>
    <w:rsid w:val="001262DD"/>
    <w:rsid w:val="0014379B"/>
    <w:rsid w:val="00262E50"/>
    <w:rsid w:val="00310308"/>
    <w:rsid w:val="00422FCA"/>
    <w:rsid w:val="004B6F89"/>
    <w:rsid w:val="005003AA"/>
    <w:rsid w:val="0053438E"/>
    <w:rsid w:val="0065260A"/>
    <w:rsid w:val="006A7F97"/>
    <w:rsid w:val="00710BD8"/>
    <w:rsid w:val="00741BBD"/>
    <w:rsid w:val="00826CDB"/>
    <w:rsid w:val="008C1B35"/>
    <w:rsid w:val="00927E03"/>
    <w:rsid w:val="00934B42"/>
    <w:rsid w:val="009A3574"/>
    <w:rsid w:val="00AA1810"/>
    <w:rsid w:val="00AA23DA"/>
    <w:rsid w:val="00B35CF3"/>
    <w:rsid w:val="00B43BD6"/>
    <w:rsid w:val="00BE2081"/>
    <w:rsid w:val="00E05DEE"/>
    <w:rsid w:val="00E400AC"/>
    <w:rsid w:val="00E43DC2"/>
    <w:rsid w:val="00E50136"/>
    <w:rsid w:val="00EB3E4B"/>
    <w:rsid w:val="00EE1CEB"/>
    <w:rsid w:val="00EF4003"/>
    <w:rsid w:val="00F05A90"/>
    <w:rsid w:val="00F15BBF"/>
    <w:rsid w:val="00F2211E"/>
    <w:rsid w:val="00F52971"/>
    <w:rsid w:val="00F8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A1FA8F"/>
  <w15:docId w15:val="{20B9F501-5FBA-4AAA-913B-5C2C33CF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81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05D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5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05DE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5003AA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F9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F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241</Words>
  <Characters>1378</Characters>
  <Application>Microsoft Office Word</Application>
  <DocSecurity>0</DocSecurity>
  <Lines>11</Lines>
  <Paragraphs>3</Paragraphs>
  <ScaleCrop>false</ScaleCrop>
  <Company>Win10NeT.COM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Indhumathi</cp:lastModifiedBy>
  <cp:revision>12</cp:revision>
  <dcterms:created xsi:type="dcterms:W3CDTF">2022-07-30T15:15:00Z</dcterms:created>
  <dcterms:modified xsi:type="dcterms:W3CDTF">2023-03-15T04:15:00Z</dcterms:modified>
</cp:coreProperties>
</file>