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26B" w:rsidRDefault="00D76DEF">
      <w:pPr>
        <w:spacing w:line="480" w:lineRule="auto"/>
        <w:rPr>
          <w:rFonts w:ascii="Times New Roman" w:hAnsi="Times New Roman" w:cs="Times New Roman"/>
          <w:b/>
          <w:bCs/>
        </w:rPr>
      </w:pPr>
      <w:bookmarkStart w:id="0" w:name="_Hlk120983114"/>
      <w:bookmarkStart w:id="1" w:name="_Hlk119529550"/>
      <w:r>
        <w:rPr>
          <w:rFonts w:ascii="Times New Roman" w:hAnsi="Times New Roman" w:cs="Times New Roman"/>
          <w:b/>
          <w:bCs/>
        </w:rPr>
        <w:t xml:space="preserve">Association between periodontitis and the prevalence and prognosis of prediabetes: a </w:t>
      </w:r>
      <w:r>
        <w:rPr>
          <w:rFonts w:ascii="Times New Roman" w:hAnsi="Times New Roman" w:cs="Times New Roman" w:hint="eastAsia"/>
          <w:b/>
          <w:bCs/>
        </w:rPr>
        <w:t>population-based</w:t>
      </w:r>
      <w:r>
        <w:rPr>
          <w:rFonts w:ascii="Times New Roman" w:hAnsi="Times New Roman" w:cs="Times New Roman"/>
          <w:b/>
          <w:bCs/>
        </w:rPr>
        <w:t xml:space="preserve"> study</w:t>
      </w:r>
    </w:p>
    <w:p w:rsidR="0087226B" w:rsidRDefault="0087226B">
      <w:pPr>
        <w:spacing w:line="480" w:lineRule="auto"/>
        <w:rPr>
          <w:rFonts w:ascii="Times New Roman" w:hAnsi="Times New Roman" w:cs="Times New Roman"/>
        </w:rPr>
      </w:pPr>
    </w:p>
    <w:p w:rsidR="0087226B" w:rsidRDefault="00D76DEF">
      <w:pPr>
        <w:spacing w:line="480" w:lineRule="auto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 w:hint="eastAsia"/>
        </w:rPr>
        <w:t>Liao</w:t>
      </w:r>
      <w:r>
        <w:rPr>
          <w:rFonts w:ascii="Times New Roman" w:hAnsi="Times New Roman" w:cs="Times New Roman"/>
        </w:rPr>
        <w:t xml:space="preserve"> Tan MD.</w:t>
      </w:r>
      <w:r>
        <w:rPr>
          <w:rFonts w:ascii="Times New Roman" w:hAnsi="Times New Roman" w:cs="Times New Roman"/>
          <w:vertAlign w:val="superscript"/>
        </w:rPr>
        <w:t>1,2</w:t>
      </w:r>
      <w:r>
        <w:rPr>
          <w:rFonts w:ascii="Times New Roman" w:hAnsi="Times New Roman" w:cs="Times New Roman"/>
        </w:rPr>
        <w:t>, Jie Liu MD.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, Zhaoya Liu MD. Ph.D</w:t>
      </w:r>
      <w:r>
        <w:rPr>
          <w:rFonts w:ascii="Times New Roman" w:hAnsi="Times New Roman" w:cs="Times New Roman"/>
          <w:vertAlign w:val="superscript"/>
        </w:rPr>
        <w:t>1,2</w:t>
      </w:r>
    </w:p>
    <w:p w:rsidR="0087226B" w:rsidRDefault="0087226B">
      <w:pPr>
        <w:spacing w:line="480" w:lineRule="auto"/>
        <w:rPr>
          <w:rFonts w:ascii="Times New Roman" w:hAnsi="Times New Roman" w:cs="Times New Roman"/>
        </w:rPr>
      </w:pPr>
    </w:p>
    <w:p w:rsidR="0087226B" w:rsidRDefault="00D76DE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Department of the Geriatrics, The Third Xiangya Hospital, Central South University, Changsha, Hunan, China ; </w:t>
      </w:r>
    </w:p>
    <w:p w:rsidR="0087226B" w:rsidRDefault="00D76DE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Department of Cardiology, The Third Xiangya Hospital, Central South University, Changsha, Hunan, China</w:t>
      </w:r>
    </w:p>
    <w:p w:rsidR="0087226B" w:rsidRDefault="00D76DE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Department of Cardiovascular Medic</w:t>
      </w:r>
      <w:r>
        <w:rPr>
          <w:rFonts w:ascii="Times New Roman" w:hAnsi="Times New Roman" w:cs="Times New Roman"/>
        </w:rPr>
        <w:t>ine, Xiangya Hospital, Central South University, Changsha, Hunan, China</w:t>
      </w:r>
    </w:p>
    <w:p w:rsidR="0087226B" w:rsidRDefault="0087226B">
      <w:pPr>
        <w:spacing w:line="480" w:lineRule="auto"/>
        <w:rPr>
          <w:rFonts w:ascii="Times New Roman" w:hAnsi="Times New Roman" w:cs="Times New Roman"/>
        </w:rPr>
      </w:pPr>
    </w:p>
    <w:p w:rsidR="0087226B" w:rsidRDefault="00D76DE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R</w:t>
      </w:r>
      <w:r>
        <w:rPr>
          <w:rFonts w:ascii="Times New Roman" w:hAnsi="Times New Roman" w:cs="Times New Roman"/>
          <w:b/>
          <w:bCs/>
        </w:rPr>
        <w:t xml:space="preserve">unning title: </w:t>
      </w:r>
      <w:r>
        <w:rPr>
          <w:rFonts w:ascii="Times New Roman" w:hAnsi="Times New Roman" w:cs="Times New Roman"/>
        </w:rPr>
        <w:t>Periodontitis and prediabetes</w:t>
      </w:r>
    </w:p>
    <w:p w:rsidR="0087226B" w:rsidRDefault="0087226B">
      <w:pPr>
        <w:spacing w:line="480" w:lineRule="auto"/>
        <w:rPr>
          <w:rFonts w:ascii="Times New Roman" w:hAnsi="Times New Roman" w:cs="Times New Roman"/>
        </w:rPr>
      </w:pPr>
    </w:p>
    <w:bookmarkEnd w:id="0"/>
    <w:p w:rsidR="0087226B" w:rsidRDefault="00D76DEF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Corresponding Author’s Contact Information</w:t>
      </w:r>
    </w:p>
    <w:p w:rsidR="0087226B" w:rsidRDefault="00D76DE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Zhaoya Liu</w:t>
      </w:r>
      <w:bookmarkStart w:id="2" w:name="_Hlk119795936"/>
      <w:bookmarkEnd w:id="1"/>
      <w:r>
        <w:rPr>
          <w:rFonts w:ascii="Times New Roman" w:hAnsi="Times New Roman" w:cs="Times New Roman"/>
        </w:rPr>
        <w:t xml:space="preserve"> MD. Ph.D</w:t>
      </w:r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Department of the Geriatrics,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The Third Xiangya Hospital, 138 Tongzipo Ro</w:t>
      </w:r>
      <w:r>
        <w:rPr>
          <w:rFonts w:ascii="Times New Roman" w:hAnsi="Times New Roman" w:cs="Times New Roman"/>
        </w:rPr>
        <w:t>ad,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>Changsha, Hunan Province, 410013, China</w:t>
      </w:r>
      <w:bookmarkEnd w:id="2"/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el: 86-15243607431</w:t>
      </w:r>
      <w:r>
        <w:rPr>
          <w:rFonts w:ascii="Times New Roman" w:hAnsi="Times New Roman" w:cs="Times New Roman" w:hint="eastAsia"/>
        </w:rPr>
        <w:t xml:space="preserve"> E</w:t>
      </w:r>
      <w:r>
        <w:rPr>
          <w:rFonts w:ascii="Times New Roman" w:hAnsi="Times New Roman" w:cs="Times New Roman"/>
        </w:rPr>
        <w:t xml:space="preserve">-mail: </w:t>
      </w:r>
      <w:hyperlink r:id="rId6" w:history="1">
        <w:r>
          <w:rPr>
            <w:rStyle w:val="Hyperlink"/>
            <w:rFonts w:ascii="Times New Roman" w:hAnsi="Times New Roman" w:cs="Times New Roman"/>
          </w:rPr>
          <w:t>liuzhaoya@csu.edu.cn</w:t>
        </w:r>
      </w:hyperlink>
      <w:r>
        <w:rPr>
          <w:rStyle w:val="Hyperlink"/>
          <w:rFonts w:ascii="Times New Roman" w:hAnsi="Times New Roman" w:cs="Times New Roman"/>
        </w:rPr>
        <w:t xml:space="preserve">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ORCID</w:t>
      </w:r>
      <w:r>
        <w:rPr>
          <w:rStyle w:val="Hyperlink"/>
          <w:rFonts w:ascii="Times New Roman" w:hAnsi="Times New Roman" w:cs="Times New Roman" w:hint="eastAsia"/>
          <w:color w:val="auto"/>
          <w:u w:val="none"/>
        </w:rPr>
        <w:t>：</w:t>
      </w:r>
      <w:r>
        <w:rPr>
          <w:rStyle w:val="Hyperlink"/>
          <w:rFonts w:ascii="Times New Roman" w:hAnsi="Times New Roman" w:cs="Times New Roman"/>
          <w:color w:val="auto"/>
          <w:u w:val="none"/>
        </w:rPr>
        <w:t>0000-0002-0964-8781</w:t>
      </w:r>
    </w:p>
    <w:p w:rsidR="0087226B" w:rsidRDefault="0087226B">
      <w:pPr>
        <w:spacing w:line="480" w:lineRule="auto"/>
        <w:rPr>
          <w:rFonts w:ascii="Times New Roman" w:hAnsi="Times New Roman" w:cs="Times New Roman"/>
          <w:b/>
          <w:bCs/>
        </w:rPr>
      </w:pPr>
    </w:p>
    <w:p w:rsidR="0087226B" w:rsidRDefault="00D76DE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N</w:t>
      </w:r>
      <w:r>
        <w:rPr>
          <w:rFonts w:ascii="Times New Roman" w:hAnsi="Times New Roman" w:cs="Times New Roman"/>
          <w:b/>
          <w:bCs/>
        </w:rPr>
        <w:t xml:space="preserve">umber of references: </w:t>
      </w:r>
      <w:r>
        <w:rPr>
          <w:rFonts w:ascii="Times New Roman" w:hAnsi="Times New Roman" w:cs="Times New Roman"/>
        </w:rPr>
        <w:t>33</w:t>
      </w:r>
    </w:p>
    <w:p w:rsidR="0087226B" w:rsidRDefault="00D76DE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N</w:t>
      </w:r>
      <w:r>
        <w:rPr>
          <w:rFonts w:ascii="Times New Roman" w:hAnsi="Times New Roman" w:cs="Times New Roman"/>
          <w:b/>
          <w:bCs/>
        </w:rPr>
        <w:t xml:space="preserve">umber of tables: </w:t>
      </w:r>
      <w:r>
        <w:rPr>
          <w:rFonts w:ascii="Times New Roman" w:hAnsi="Times New Roman" w:cs="Times New Roman"/>
        </w:rPr>
        <w:t>3</w:t>
      </w:r>
    </w:p>
    <w:p w:rsidR="0087226B" w:rsidRDefault="00D76DE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N</w:t>
      </w:r>
      <w:r>
        <w:rPr>
          <w:rFonts w:ascii="Times New Roman" w:hAnsi="Times New Roman" w:cs="Times New Roman"/>
          <w:b/>
          <w:bCs/>
        </w:rPr>
        <w:t xml:space="preserve">umber of figures: </w:t>
      </w:r>
      <w:r>
        <w:rPr>
          <w:rFonts w:ascii="Times New Roman" w:hAnsi="Times New Roman" w:cs="Times New Roman"/>
        </w:rPr>
        <w:t>2</w:t>
      </w:r>
    </w:p>
    <w:p w:rsidR="0087226B" w:rsidRDefault="00D76DE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Word length for the </w:t>
      </w:r>
      <w:r>
        <w:rPr>
          <w:rFonts w:ascii="Times New Roman" w:hAnsi="Times New Roman" w:cs="Times New Roman"/>
          <w:b/>
          <w:bCs/>
        </w:rPr>
        <w:t>article’s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text: </w:t>
      </w:r>
      <w:r>
        <w:rPr>
          <w:rFonts w:ascii="Times New Roman" w:hAnsi="Times New Roman" w:cs="Times New Roman"/>
        </w:rPr>
        <w:t>2926</w:t>
      </w:r>
    </w:p>
    <w:p w:rsidR="0087226B" w:rsidRDefault="00D76DE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Word length for the abstract: </w:t>
      </w:r>
      <w:r>
        <w:rPr>
          <w:rFonts w:ascii="Times New Roman" w:hAnsi="Times New Roman" w:cs="Times New Roman"/>
        </w:rPr>
        <w:t>298</w:t>
      </w:r>
    </w:p>
    <w:p w:rsidR="0087226B" w:rsidRDefault="0087226B">
      <w:pPr>
        <w:spacing w:line="480" w:lineRule="auto"/>
        <w:rPr>
          <w:rFonts w:ascii="Times New Roman" w:hAnsi="Times New Roman" w:cs="Times New Roman"/>
          <w:b/>
          <w:bCs/>
        </w:rPr>
      </w:pPr>
    </w:p>
    <w:p w:rsidR="0087226B" w:rsidRDefault="00D76DEF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K</w:t>
      </w:r>
      <w:r>
        <w:rPr>
          <w:rFonts w:ascii="Times New Roman" w:hAnsi="Times New Roman" w:cs="Times New Roman"/>
          <w:b/>
          <w:bCs/>
        </w:rPr>
        <w:t>eywords: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/>
        </w:rPr>
        <w:t>periodontitis, prediabetes, NHANES</w:t>
      </w:r>
    </w:p>
    <w:p w:rsidR="0087226B" w:rsidRDefault="0087226B">
      <w:pPr>
        <w:spacing w:line="480" w:lineRule="auto"/>
        <w:rPr>
          <w:rFonts w:ascii="Times New Roman" w:hAnsi="Times New Roman" w:cs="Times New Roman"/>
          <w:b/>
          <w:bCs/>
        </w:rPr>
      </w:pPr>
    </w:p>
    <w:p w:rsidR="0087226B" w:rsidRDefault="0087226B">
      <w:pPr>
        <w:spacing w:line="480" w:lineRule="auto"/>
        <w:rPr>
          <w:rFonts w:ascii="Times New Roman" w:hAnsi="Times New Roman" w:cs="Times New Roman"/>
          <w:b/>
          <w:bCs/>
        </w:rPr>
      </w:pPr>
    </w:p>
    <w:p w:rsidR="0087226B" w:rsidRDefault="0087226B">
      <w:pPr>
        <w:spacing w:line="480" w:lineRule="auto"/>
        <w:rPr>
          <w:rFonts w:ascii="Times New Roman" w:hAnsi="Times New Roman" w:cs="Times New Roman"/>
          <w:b/>
          <w:bCs/>
        </w:rPr>
      </w:pPr>
    </w:p>
    <w:p w:rsidR="0087226B" w:rsidRDefault="0087226B">
      <w:pPr>
        <w:spacing w:line="480" w:lineRule="auto"/>
        <w:rPr>
          <w:rFonts w:ascii="Times New Roman" w:hAnsi="Times New Roman" w:cs="Times New Roman"/>
          <w:b/>
          <w:bCs/>
        </w:rPr>
      </w:pPr>
    </w:p>
    <w:p w:rsidR="0087226B" w:rsidRDefault="0087226B">
      <w:pPr>
        <w:spacing w:line="480" w:lineRule="auto"/>
        <w:rPr>
          <w:rFonts w:ascii="Times New Roman" w:hAnsi="Times New Roman" w:cs="Times New Roman"/>
          <w:b/>
          <w:bCs/>
        </w:rPr>
      </w:pPr>
    </w:p>
    <w:p w:rsidR="0087226B" w:rsidRDefault="0087226B">
      <w:pPr>
        <w:spacing w:line="480" w:lineRule="auto"/>
        <w:rPr>
          <w:rFonts w:ascii="Times New Roman" w:hAnsi="Times New Roman" w:cs="Times New Roman"/>
          <w:b/>
          <w:bCs/>
        </w:rPr>
      </w:pPr>
    </w:p>
    <w:p w:rsidR="0087226B" w:rsidRDefault="00D76DEF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Table 1: Subgroup analyses of the associations between periodontitis and the risk of prediabetes.</w:t>
      </w:r>
    </w:p>
    <w:tbl>
      <w:tblPr>
        <w:tblStyle w:val="1"/>
        <w:tblW w:w="776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851"/>
        <w:gridCol w:w="2126"/>
        <w:gridCol w:w="2410"/>
      </w:tblGrid>
      <w:tr w:rsidR="0087226B">
        <w:tc>
          <w:tcPr>
            <w:tcW w:w="2376" w:type="dxa"/>
            <w:vMerge w:val="restart"/>
            <w:tcBorders>
              <w:tl2br w:val="nil"/>
              <w:tr2bl w:val="nil"/>
            </w:tcBorders>
            <w:vAlign w:val="center"/>
          </w:tcPr>
          <w:p w:rsidR="0087226B" w:rsidRDefault="00D76DEF">
            <w:pPr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  <w:t>Variables</w:t>
            </w:r>
          </w:p>
        </w:tc>
        <w:tc>
          <w:tcPr>
            <w:tcW w:w="851" w:type="dxa"/>
            <w:vMerge w:val="restart"/>
            <w:tcBorders>
              <w:tl2br w:val="nil"/>
              <w:tr2bl w:val="nil"/>
            </w:tcBorders>
            <w:vAlign w:val="center"/>
          </w:tcPr>
          <w:p w:rsidR="0087226B" w:rsidRDefault="00D76DEF">
            <w:pPr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  <w:t>n</w:t>
            </w:r>
          </w:p>
        </w:tc>
        <w:tc>
          <w:tcPr>
            <w:tcW w:w="2126" w:type="dxa"/>
            <w:tcBorders>
              <w:tl2br w:val="nil"/>
              <w:tr2bl w:val="nil"/>
            </w:tcBorders>
          </w:tcPr>
          <w:p w:rsidR="0087226B" w:rsidRDefault="00D76DEF">
            <w:pPr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  <w:t>Without Periodontitis</w:t>
            </w:r>
          </w:p>
        </w:tc>
        <w:tc>
          <w:tcPr>
            <w:tcW w:w="2410" w:type="dxa"/>
            <w:tcBorders>
              <w:tl2br w:val="nil"/>
              <w:tr2bl w:val="nil"/>
            </w:tcBorders>
          </w:tcPr>
          <w:p w:rsidR="0087226B" w:rsidRDefault="00D76DEF">
            <w:pPr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  <w:t>With Periodontitis</w:t>
            </w:r>
          </w:p>
        </w:tc>
      </w:tr>
      <w:tr w:rsidR="0087226B">
        <w:tc>
          <w:tcPr>
            <w:tcW w:w="2376" w:type="dxa"/>
            <w:vMerge/>
            <w:tcBorders>
              <w:tl2br w:val="nil"/>
              <w:tr2bl w:val="nil"/>
            </w:tcBorders>
          </w:tcPr>
          <w:p w:rsidR="0087226B" w:rsidRDefault="0087226B">
            <w:pPr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l2br w:val="nil"/>
              <w:tr2bl w:val="nil"/>
            </w:tcBorders>
            <w:vAlign w:val="center"/>
          </w:tcPr>
          <w:p w:rsidR="0087226B" w:rsidRDefault="0087226B">
            <w:pPr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l2br w:val="nil"/>
              <w:tr2bl w:val="nil"/>
            </w:tcBorders>
          </w:tcPr>
          <w:p w:rsidR="0087226B" w:rsidRDefault="00D76DEF">
            <w:pPr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  <w:t>OR 95% Cl P-value</w:t>
            </w:r>
          </w:p>
        </w:tc>
        <w:tc>
          <w:tcPr>
            <w:tcW w:w="2410" w:type="dxa"/>
            <w:tcBorders>
              <w:tl2br w:val="nil"/>
              <w:tr2bl w:val="nil"/>
            </w:tcBorders>
          </w:tcPr>
          <w:p w:rsidR="0087226B" w:rsidRDefault="00D76DEF">
            <w:pPr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  <w:t>OR 95% Cl P-value</w:t>
            </w:r>
          </w:p>
        </w:tc>
      </w:tr>
      <w:tr w:rsidR="0087226B">
        <w:tc>
          <w:tcPr>
            <w:tcW w:w="2376" w:type="dxa"/>
            <w:tcBorders>
              <w:tl2br w:val="nil"/>
              <w:tr2bl w:val="nil"/>
            </w:tcBorders>
          </w:tcPr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Age, years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    ≥20, &lt;45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    ≥45, &lt;65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    ≥65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Gender, %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Female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Male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Race, %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Non-Hispanic White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Non-Hispanic Black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Mexican American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Other Race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Other Hispanic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Education level, %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    Less than high school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    High school</w:t>
            </w:r>
          </w:p>
          <w:p w:rsidR="0087226B" w:rsidRDefault="00D76DEF">
            <w:pPr>
              <w:ind w:firstLine="203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More than high school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Alcohol use, %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    Never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    Former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    Mild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    Moderate</w:t>
            </w:r>
          </w:p>
          <w:p w:rsidR="0087226B" w:rsidRDefault="00D76DEF">
            <w:pPr>
              <w:ind w:firstLine="203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Severe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Smoking, %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    Never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Former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Now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Hypertension, %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No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Yes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Hyperlipidemia, %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No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Yes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  <w:vertAlign w:val="superscript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BMI, kg/m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&lt;24.9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≥24.9, &lt;29.9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≥29.9</w:t>
            </w:r>
          </w:p>
        </w:tc>
        <w:tc>
          <w:tcPr>
            <w:tcW w:w="851" w:type="dxa"/>
            <w:tcBorders>
              <w:tl2br w:val="nil"/>
              <w:tr2bl w:val="nil"/>
            </w:tcBorders>
          </w:tcPr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7124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569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697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7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840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7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550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7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493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872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819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108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107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540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624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8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226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951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384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486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348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221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8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407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662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321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9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748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642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4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595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0841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4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841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537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012</w:t>
            </w:r>
          </w:p>
        </w:tc>
        <w:tc>
          <w:tcPr>
            <w:tcW w:w="2126" w:type="dxa"/>
            <w:tcBorders>
              <w:tl2br w:val="nil"/>
              <w:tr2bl w:val="nil"/>
            </w:tcBorders>
          </w:tcPr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2410" w:type="dxa"/>
            <w:tcBorders>
              <w:tl2br w:val="nil"/>
              <w:tr2bl w:val="nil"/>
            </w:tcBorders>
          </w:tcPr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.45 (1.17, 1.81) &lt;0.001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.52 (1.31, 1.77) &lt;0.001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.43 (1.19, 1.73) &lt;0.001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.34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 (1.16, 1.54) &lt;0.001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.79 (1.55, 2.06) &lt;0.001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.48 (1.28, 1.72) &lt;0.001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.32 (1.05, 1.65) 0.02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.45 (1.12, 1.89) 0.01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.71 (1.12, 2.61) 0.01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.26 (0.91, 1.75) 0.17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.52 (1.09, 2.10) 0.01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.77 (1.44, 2.18) &lt;0.001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.33 (1.14, 1.56) &lt;0.001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.42 (1.02, 1.96)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 0.04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.60 (1.28, 2.00) &lt;0.001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.47 (1.22, 1.78) &lt;0.001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.42 (0.99, 2.05) 0.06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.55 (1.19, 2.03) 0.002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.25 (1.07, 1.47) 0.01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.50 (1.21, 1.88) &lt;0.001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.12 (1.62, 2.76) &lt;0.001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.55 (1.33, 1.80) &lt;0.001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.45 (1.23, 1.71) &lt;0.001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.63 (1.27, 2.10) &lt;0.001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48 (1.31, 1.67) &lt;0.01</w:t>
            </w:r>
          </w:p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.05 (1.73, 2.44) &lt;0.001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.48 (1.24, 1.78) &lt;0.001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.33 (1.12, 1.57) 0.001</w:t>
            </w:r>
          </w:p>
        </w:tc>
      </w:tr>
    </w:tbl>
    <w:p w:rsidR="0087226B" w:rsidRDefault="0087226B">
      <w:pPr>
        <w:spacing w:line="480" w:lineRule="auto"/>
        <w:rPr>
          <w:rFonts w:ascii="Times New Roman" w:hAnsi="Times New Roman" w:cs="Times New Roman"/>
        </w:rPr>
      </w:pPr>
    </w:p>
    <w:p w:rsidR="0087226B" w:rsidRDefault="00D76DE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BMI: Body mass index; CHD: Chronic heart disease</w:t>
      </w:r>
    </w:p>
    <w:p w:rsidR="0087226B" w:rsidRDefault="0087226B">
      <w:pPr>
        <w:spacing w:line="480" w:lineRule="auto"/>
        <w:rPr>
          <w:rFonts w:ascii="Times New Roman" w:hAnsi="Times New Roman" w:cs="Times New Roman"/>
        </w:rPr>
      </w:pPr>
    </w:p>
    <w:p w:rsidR="0087226B" w:rsidRDefault="0087226B">
      <w:pPr>
        <w:spacing w:line="480" w:lineRule="auto"/>
        <w:rPr>
          <w:rFonts w:ascii="Times New Roman" w:hAnsi="Times New Roman" w:cs="Times New Roman"/>
          <w:b/>
          <w:bCs/>
        </w:rPr>
      </w:pPr>
    </w:p>
    <w:p w:rsidR="0087226B" w:rsidRDefault="00D76DEF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Table 2: Baseline characteristics of included participants with prediabetes in NHANES 1999–2004 and 2009-2014. </w:t>
      </w:r>
    </w:p>
    <w:tbl>
      <w:tblPr>
        <w:tblStyle w:val="4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1"/>
        <w:gridCol w:w="84"/>
        <w:gridCol w:w="1805"/>
        <w:gridCol w:w="1822"/>
        <w:gridCol w:w="1867"/>
        <w:gridCol w:w="793"/>
      </w:tblGrid>
      <w:tr w:rsidR="0087226B">
        <w:tc>
          <w:tcPr>
            <w:tcW w:w="2151" w:type="dxa"/>
            <w:tcBorders>
              <w:tl2br w:val="nil"/>
              <w:tr2bl w:val="nil"/>
            </w:tcBorders>
          </w:tcPr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2"/>
              </w:rPr>
              <w:t>Variables</w:t>
            </w:r>
          </w:p>
        </w:tc>
        <w:tc>
          <w:tcPr>
            <w:tcW w:w="1889" w:type="dxa"/>
            <w:gridSpan w:val="2"/>
            <w:tcBorders>
              <w:tl2br w:val="nil"/>
              <w:tr2bl w:val="nil"/>
            </w:tcBorders>
          </w:tcPr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2"/>
              </w:rPr>
              <w:t>Total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2"/>
              </w:rPr>
              <w:t>(4518)</w:t>
            </w:r>
          </w:p>
        </w:tc>
        <w:tc>
          <w:tcPr>
            <w:tcW w:w="1822" w:type="dxa"/>
            <w:tcBorders>
              <w:tl2br w:val="nil"/>
              <w:tr2bl w:val="nil"/>
            </w:tcBorders>
          </w:tcPr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2"/>
              </w:rPr>
              <w:t>Without Periodontitis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2"/>
              </w:rPr>
              <w:t>(2447)</w:t>
            </w:r>
          </w:p>
        </w:tc>
        <w:tc>
          <w:tcPr>
            <w:tcW w:w="1867" w:type="dxa"/>
            <w:tcBorders>
              <w:tl2br w:val="nil"/>
              <w:tr2bl w:val="nil"/>
            </w:tcBorders>
          </w:tcPr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2"/>
              </w:rPr>
              <w:t>With Periodontitis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2"/>
              </w:rPr>
              <w:t>(2071)</w:t>
            </w:r>
          </w:p>
        </w:tc>
        <w:tc>
          <w:tcPr>
            <w:tcW w:w="793" w:type="dxa"/>
            <w:tcBorders>
              <w:tl2br w:val="nil"/>
              <w:tr2bl w:val="nil"/>
            </w:tcBorders>
          </w:tcPr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0"/>
                <w:szCs w:val="22"/>
              </w:rPr>
              <w:t>P value</w:t>
            </w:r>
          </w:p>
        </w:tc>
      </w:tr>
      <w:tr w:rsidR="0087226B">
        <w:tc>
          <w:tcPr>
            <w:tcW w:w="2235" w:type="dxa"/>
            <w:gridSpan w:val="2"/>
            <w:tcBorders>
              <w:tl2br w:val="nil"/>
              <w:tr2bl w:val="nil"/>
            </w:tcBorders>
          </w:tcPr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Age, years</w:t>
            </w:r>
          </w:p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Gender, %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Female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Male</w:t>
            </w:r>
          </w:p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Race, %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Non-Hispanic White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Non-Hispanic Black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Mexican American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Other Race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Other Hispanic</w:t>
            </w:r>
          </w:p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Education level, %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Less than high school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High school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More than high school</w:t>
            </w:r>
          </w:p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Mortality, %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No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Yes</w:t>
            </w:r>
          </w:p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Hypertension, %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No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Yes</w:t>
            </w:r>
          </w:p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Hyperlipidemia, %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No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Yes</w:t>
            </w:r>
          </w:p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CHD</w:t>
            </w: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，</w:t>
            </w: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%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No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Yes</w:t>
            </w:r>
          </w:p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Alcohol use, %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Never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Former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Mild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Moderate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Severe</w:t>
            </w:r>
          </w:p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MET,min/week</w:t>
            </w:r>
          </w:p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Smoke status, %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Never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Former</w:t>
            </w:r>
          </w:p>
          <w:p w:rsidR="0087226B" w:rsidRDefault="00D76DEF">
            <w:pPr>
              <w:ind w:firstLineChars="100" w:firstLine="200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Now</w:t>
            </w:r>
          </w:p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  <w:vertAlign w:val="superscript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BMI, kg/m</w:t>
            </w: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  <w:vertAlign w:val="superscript"/>
              </w:rPr>
              <w:t>2</w:t>
            </w:r>
          </w:p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Triglyceride, mg/dL</w:t>
            </w:r>
          </w:p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Cholesterol, mg/dL</w:t>
            </w:r>
          </w:p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HDL, mg/dL</w:t>
            </w:r>
          </w:p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LDL, mg/dL</w:t>
            </w:r>
          </w:p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Glucose, mg/dL</w:t>
            </w:r>
          </w:p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Insulin, uu/mL</w:t>
            </w:r>
          </w:p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HbA1c</w:t>
            </w:r>
          </w:p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HOMA-IR</w:t>
            </w:r>
          </w:p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HOMA-IS</w:t>
            </w:r>
          </w:p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CRP, mg/dL</w:t>
            </w:r>
          </w:p>
        </w:tc>
        <w:tc>
          <w:tcPr>
            <w:tcW w:w="1805" w:type="dxa"/>
            <w:tcBorders>
              <w:tl2br w:val="nil"/>
              <w:tr2bl w:val="nil"/>
            </w:tcBorders>
          </w:tcPr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52.78±0.28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2490 (55.11%)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2028 (44.89%)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1963 (43.45%)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967 (21.4%)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834 (18.46%)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395 (8.74%)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359 (7.95%)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559 (12.37%)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1736 (38.42%)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2223 (49.2%)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3845 (85.10%)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673 (14.90%)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2240 (49,58%)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2278 (50.42%)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850 (18.81%)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3668 (81.19%)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4377 (96.88%)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141 (3.12%)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627 (13.88%)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867 (19.19%)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1646 (36.43%)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554 (12.26%)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824 (18.24%)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5883.35±365.51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2377 (52.61%)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1235 (27.34%)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906 (20.05%)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30.06±0.15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150.63±3.29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204.44±0.92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50.44±0.34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124.60±1.02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105.17±0.21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13.97±0.27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5.65±0.011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3.67±0.08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0.42±0.01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0.50±0.02</w:t>
            </w:r>
          </w:p>
        </w:tc>
        <w:tc>
          <w:tcPr>
            <w:tcW w:w="1822" w:type="dxa"/>
            <w:tcBorders>
              <w:tl2br w:val="nil"/>
              <w:tr2bl w:val="nil"/>
            </w:tcBorders>
          </w:tcPr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50.01±0.33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1231 (52.40%)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1216 (47.60%)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 xml:space="preserve">1126 </w:t>
            </w: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(71.54%)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484 (10.48%)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465 (7.57%)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193 (5.22%)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179 (5.19%)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246 (4.32%)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845 (32.64%)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1356 (63.04%)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2117 (89.88%)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330 (10.12%)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1306 (55.34%)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1141 (44.66%)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456 (16.96%)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1991 (83.04%)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2398 (98.09%)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49 (1.91%)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355 (11.95%)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405 (15.16%)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924 (41.10%)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 xml:space="preserve">335 </w:t>
            </w: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(15.41%)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428 (16.38%)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5860.59±383.98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1470 (59.87%)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615 (26.24%)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362 (13.89%)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30.51±0.19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155.18±4.75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205.04±1.18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49.97±0.43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124.50±1.24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105.23±0.22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14.34±0.34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5.60±0.01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3.77±0.10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0.40±0.01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0.53±0.03</w:t>
            </w:r>
          </w:p>
        </w:tc>
        <w:tc>
          <w:tcPr>
            <w:tcW w:w="1867" w:type="dxa"/>
            <w:tcBorders>
              <w:tl2br w:val="nil"/>
              <w:tr2bl w:val="nil"/>
            </w:tcBorders>
          </w:tcPr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57.00±0.41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1259 (58.91%)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812 (41.09%)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837 (64.55%)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 xml:space="preserve">483 </w:t>
            </w: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(12.85%)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369 (9.51%)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202 (7.66%)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180 (5.44%)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313 (8.68%)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891 (43.25%)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867 (48.06%)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1728 (84.68%)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343 (15.32%)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934 (48.58%)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1137 (51.42%)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394 (18.93%)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1677 (81.07%)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1979 (95.22%)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92 (4.78%)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272 (10.11%)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462 (20.71%)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722 (36.80%)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219 (12.68%)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396 (19.6</w:t>
            </w: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9%)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6011.32±867.59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907 (41.70%)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620 (30.23%)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544 (28.07%)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29.38±0.22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142.75±4.59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203.52±1.25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51.15±0.61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124.77±1.40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105.05±0.35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13.31±0.35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5.73±0.01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3.49±0.09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0.45±0.01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0.44±0.02</w:t>
            </w:r>
          </w:p>
        </w:tc>
        <w:tc>
          <w:tcPr>
            <w:tcW w:w="793" w:type="dxa"/>
            <w:tcBorders>
              <w:tl2br w:val="nil"/>
              <w:tr2bl w:val="nil"/>
            </w:tcBorders>
          </w:tcPr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&lt;0.001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&lt;0.001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0.003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&lt;0.001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&lt;0.001</w:t>
            </w:r>
          </w:p>
          <w:p w:rsidR="0087226B" w:rsidRDefault="0087226B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&lt;0.001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0.22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&lt;0.001</w:t>
            </w:r>
          </w:p>
          <w:p w:rsidR="0087226B" w:rsidRDefault="0087226B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87226B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&lt;</w:t>
            </w: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0.001</w:t>
            </w:r>
          </w:p>
          <w:p w:rsidR="0087226B" w:rsidRDefault="0087226B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87226B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87226B">
            <w:pP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87226B">
            <w:pPr>
              <w:tabs>
                <w:tab w:val="left" w:pos="327"/>
              </w:tabs>
              <w:jc w:val="left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tabs>
                <w:tab w:val="left" w:pos="327"/>
              </w:tabs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0.87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&lt;0.001</w:t>
            </w: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87226B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&lt;0.001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0.08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0.34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0.13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0.87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0.61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0.02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&lt;0.001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0.02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0.002</w:t>
            </w:r>
          </w:p>
          <w:p w:rsidR="0087226B" w:rsidRDefault="00D76DEF">
            <w:pPr>
              <w:jc w:val="center"/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</w:pPr>
            <w:r>
              <w:rPr>
                <w:rFonts w:ascii="Times New Roman" w:eastAsia="SimSun" w:hAnsi="Times New Roman" w:cs="Times New Roman"/>
                <w:kern w:val="0"/>
                <w:sz w:val="20"/>
                <w:szCs w:val="22"/>
              </w:rPr>
              <w:t>0.04</w:t>
            </w:r>
          </w:p>
        </w:tc>
      </w:tr>
    </w:tbl>
    <w:p w:rsidR="0087226B" w:rsidRDefault="00D76DE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CHD: Coronary Heart Disease; MET: Metabolic Equivalent of Task; BMI: Body Mass Index; Hba1C: Glycated hemoglobin A1; HOMA-IR: Homeostasis Model Assessment for Insulin </w:t>
      </w:r>
      <w:r>
        <w:rPr>
          <w:rFonts w:ascii="Times New Roman" w:hAnsi="Times New Roman" w:cs="Times New Roman"/>
        </w:rPr>
        <w:t>Resistance; HOMA-IS: Homeostasis Model Assessment-Insulin Sensitivity</w:t>
      </w:r>
    </w:p>
    <w:p w:rsidR="0087226B" w:rsidRDefault="0087226B"/>
    <w:p w:rsidR="0087226B" w:rsidRDefault="0087226B"/>
    <w:p w:rsidR="0087226B" w:rsidRDefault="0087226B"/>
    <w:p w:rsidR="0087226B" w:rsidRDefault="0087226B"/>
    <w:p w:rsidR="0087226B" w:rsidRDefault="0087226B"/>
    <w:p w:rsidR="0087226B" w:rsidRDefault="0087226B"/>
    <w:p w:rsidR="0087226B" w:rsidRDefault="0087226B"/>
    <w:p w:rsidR="0087226B" w:rsidRDefault="0087226B"/>
    <w:p w:rsidR="0087226B" w:rsidRDefault="0087226B"/>
    <w:p w:rsidR="0087226B" w:rsidRDefault="0087226B"/>
    <w:p w:rsidR="0087226B" w:rsidRDefault="0087226B"/>
    <w:p w:rsidR="0087226B" w:rsidRDefault="0087226B"/>
    <w:p w:rsidR="0087226B" w:rsidRDefault="0087226B"/>
    <w:p w:rsidR="0087226B" w:rsidRDefault="0087226B"/>
    <w:p w:rsidR="0087226B" w:rsidRDefault="0087226B"/>
    <w:p w:rsidR="0087226B" w:rsidRDefault="0087226B"/>
    <w:p w:rsidR="0087226B" w:rsidRDefault="0087226B"/>
    <w:p w:rsidR="0087226B" w:rsidRDefault="0087226B"/>
    <w:p w:rsidR="0087226B" w:rsidRDefault="0087226B"/>
    <w:p w:rsidR="0087226B" w:rsidRDefault="0087226B"/>
    <w:p w:rsidR="0087226B" w:rsidRDefault="0087226B"/>
    <w:p w:rsidR="0087226B" w:rsidRDefault="0087226B"/>
    <w:p w:rsidR="0087226B" w:rsidRDefault="0087226B"/>
    <w:p w:rsidR="0087226B" w:rsidRDefault="0087226B"/>
    <w:p w:rsidR="0087226B" w:rsidRDefault="0087226B"/>
    <w:p w:rsidR="0087226B" w:rsidRDefault="0087226B"/>
    <w:p w:rsidR="0087226B" w:rsidRDefault="00D76DEF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Supplementary</w:t>
      </w:r>
      <w:r>
        <w:rPr>
          <w:rFonts w:ascii="Times New Roman" w:hAnsi="Times New Roman" w:cs="Times New Roman"/>
          <w:b/>
          <w:bCs/>
        </w:rPr>
        <w:t xml:space="preserve"> </w:t>
      </w:r>
      <w:bookmarkStart w:id="3" w:name="_GoBack"/>
      <w:r>
        <w:rPr>
          <w:rFonts w:ascii="Times New Roman" w:hAnsi="Times New Roman" w:cs="Times New Roman" w:hint="eastAsia"/>
          <w:b/>
          <w:bCs/>
        </w:rPr>
        <w:t>t</w:t>
      </w:r>
      <w:r>
        <w:rPr>
          <w:rFonts w:ascii="Times New Roman" w:hAnsi="Times New Roman" w:cs="Times New Roman"/>
          <w:b/>
          <w:bCs/>
        </w:rPr>
        <w:t xml:space="preserve">able </w:t>
      </w:r>
      <w:r>
        <w:rPr>
          <w:rFonts w:ascii="Times New Roman" w:hAnsi="Times New Roman" w:cs="Times New Roman" w:hint="eastAsia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>: Subgroup analyses of the associations between periodontitis and the mortality of prediabetes.</w:t>
      </w:r>
      <w:bookmarkEnd w:id="3"/>
    </w:p>
    <w:tbl>
      <w:tblPr>
        <w:tblStyle w:val="3"/>
        <w:tblW w:w="907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43"/>
        <w:gridCol w:w="1701"/>
        <w:gridCol w:w="2126"/>
        <w:gridCol w:w="2126"/>
      </w:tblGrid>
      <w:tr w:rsidR="0087226B">
        <w:tc>
          <w:tcPr>
            <w:tcW w:w="2376" w:type="dxa"/>
            <w:vMerge w:val="restart"/>
            <w:tcBorders>
              <w:tl2br w:val="nil"/>
              <w:tr2bl w:val="nil"/>
            </w:tcBorders>
            <w:vAlign w:val="center"/>
          </w:tcPr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  <w:t>Variables</w:t>
            </w:r>
          </w:p>
        </w:tc>
        <w:tc>
          <w:tcPr>
            <w:tcW w:w="743" w:type="dxa"/>
            <w:vMerge w:val="restart"/>
            <w:tcBorders>
              <w:tl2br w:val="nil"/>
              <w:tr2bl w:val="nil"/>
            </w:tcBorders>
            <w:vAlign w:val="center"/>
          </w:tcPr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  <w:t>n</w:t>
            </w:r>
          </w:p>
        </w:tc>
        <w:tc>
          <w:tcPr>
            <w:tcW w:w="1701" w:type="dxa"/>
            <w:vMerge w:val="restart"/>
            <w:tcBorders>
              <w:tl2br w:val="nil"/>
              <w:tr2bl w:val="nil"/>
            </w:tcBorders>
            <w:vAlign w:val="center"/>
          </w:tcPr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  <w:t>Number of Death</w:t>
            </w:r>
          </w:p>
        </w:tc>
        <w:tc>
          <w:tcPr>
            <w:tcW w:w="2126" w:type="dxa"/>
            <w:tcBorders>
              <w:tl2br w:val="nil"/>
              <w:tr2bl w:val="nil"/>
            </w:tcBorders>
          </w:tcPr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  <w:t xml:space="preserve">Without </w:t>
            </w:r>
            <w:r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  <w:t>Periodontitis</w:t>
            </w:r>
          </w:p>
        </w:tc>
        <w:tc>
          <w:tcPr>
            <w:tcW w:w="2126" w:type="dxa"/>
            <w:tcBorders>
              <w:tl2br w:val="nil"/>
              <w:tr2bl w:val="nil"/>
            </w:tcBorders>
          </w:tcPr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  <w:t>With Periodontitis</w:t>
            </w:r>
          </w:p>
        </w:tc>
      </w:tr>
      <w:tr w:rsidR="0087226B">
        <w:tc>
          <w:tcPr>
            <w:tcW w:w="2376" w:type="dxa"/>
            <w:vMerge/>
            <w:tcBorders>
              <w:tl2br w:val="nil"/>
              <w:tr2bl w:val="nil"/>
            </w:tcBorders>
          </w:tcPr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743" w:type="dxa"/>
            <w:vMerge/>
            <w:tcBorders>
              <w:tl2br w:val="nil"/>
              <w:tr2bl w:val="nil"/>
            </w:tcBorders>
            <w:vAlign w:val="center"/>
          </w:tcPr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l2br w:val="nil"/>
              <w:tr2bl w:val="nil"/>
            </w:tcBorders>
          </w:tcPr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l2br w:val="nil"/>
              <w:tr2bl w:val="nil"/>
            </w:tcBorders>
          </w:tcPr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  <w:t>HR 95% Cl P-value</w:t>
            </w:r>
          </w:p>
        </w:tc>
        <w:tc>
          <w:tcPr>
            <w:tcW w:w="2126" w:type="dxa"/>
            <w:tcBorders>
              <w:tl2br w:val="nil"/>
              <w:tr2bl w:val="nil"/>
            </w:tcBorders>
          </w:tcPr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0"/>
                <w:sz w:val="20"/>
                <w:szCs w:val="20"/>
              </w:rPr>
              <w:t>HR 95% Cl P-value</w:t>
            </w:r>
          </w:p>
        </w:tc>
      </w:tr>
      <w:tr w:rsidR="0087226B">
        <w:tc>
          <w:tcPr>
            <w:tcW w:w="2376" w:type="dxa"/>
            <w:tcBorders>
              <w:tl2br w:val="nil"/>
              <w:tr2bl w:val="nil"/>
            </w:tcBorders>
          </w:tcPr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Age, years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    ≥20, &lt;45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    ≥45, &lt;65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    ≥65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Gender, %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Female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Male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Race, %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Non-Hispanic White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Non-Hispanic Black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Mexican American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Other Race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Other Hispanic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Education level, %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    Less than high school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    High school</w:t>
            </w:r>
          </w:p>
          <w:p w:rsidR="0087226B" w:rsidRDefault="00D76DEF">
            <w:pPr>
              <w:ind w:firstLine="203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More than high school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Alcohol use, %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    Never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    Former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    Mild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    Moderate</w:t>
            </w:r>
          </w:p>
          <w:p w:rsidR="0087226B" w:rsidRDefault="00D76DEF">
            <w:pPr>
              <w:ind w:firstLine="203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Severe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Smoking, %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    Never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Former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Now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Hypertension, %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No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Yes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Hyperlipidemia, %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No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Yes</w:t>
            </w:r>
          </w:p>
          <w:p w:rsidR="0087226B" w:rsidRDefault="00D76DEF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  <w:vertAlign w:val="superscript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BMI, kg/m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&lt;24.9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≥24.9, &lt;29.9</w:t>
            </w:r>
          </w:p>
          <w:p w:rsidR="0087226B" w:rsidRDefault="00D76DEF">
            <w:pPr>
              <w:ind w:firstLineChars="100" w:firstLine="200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≥29.9</w:t>
            </w:r>
          </w:p>
        </w:tc>
        <w:tc>
          <w:tcPr>
            <w:tcW w:w="743" w:type="dxa"/>
            <w:tcBorders>
              <w:tl2br w:val="nil"/>
              <w:tr2bl w:val="nil"/>
            </w:tcBorders>
          </w:tcPr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1257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2041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1220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2490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2028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1963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967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834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395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359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559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1736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2223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627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867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1646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554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824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2377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1235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906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2240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2278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850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3668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943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1641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1934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:rsidR="0087226B" w:rsidRDefault="0087226B">
            <w:pP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35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177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461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409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264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422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113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95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18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25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115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74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284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99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185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254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57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78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295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252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126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210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463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126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547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187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262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224</w:t>
            </w:r>
          </w:p>
        </w:tc>
        <w:tc>
          <w:tcPr>
            <w:tcW w:w="2126" w:type="dxa"/>
            <w:tcBorders>
              <w:tl2br w:val="nil"/>
              <w:tr2bl w:val="nil"/>
            </w:tcBorders>
          </w:tcPr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Reference</w:t>
            </w:r>
          </w:p>
        </w:tc>
        <w:tc>
          <w:tcPr>
            <w:tcW w:w="2126" w:type="dxa"/>
            <w:tcBorders>
              <w:tl2br w:val="nil"/>
              <w:tr2bl w:val="nil"/>
            </w:tcBorders>
          </w:tcPr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2.33 (0.71, 7.60) 0.16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.47 (0.92, 2.36) 0.11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.37 (1.05, 1.80) 0.02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.48 (1.08, 1.05) 0,02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.17 (0.85, 1.60) 0.34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.42 (1.01, 1.73)</w:t>
            </w: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0.04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.17 (0.85, 1.60) 0.68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.21 (0.64, 2.29) 0.57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.51 (0.34, 6.68) 1.51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.19 (1.15, 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8.87) 0.03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.10 (0.60, 2.02) 0.76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.32 (0.96, 1.83) 0.09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.45 (1.06, 1.98) 0.02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.93 (0.53, 1.62) 0.80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.33 (0.87, 2.03</w:t>
            </w: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 xml:space="preserve">) 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0.19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.49 (1.07, 2.08) 0.02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.27 (0.61, 2.63) 0.53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.33 (0.63, 2.82) 0.45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.17 (0.85, 1.60) 0.33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.36 (1.02, 1.83) 0.04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 xml:space="preserve">.30 (0.73, 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2.33) 0.38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.30 (0.86, 1.98) 0.22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.37 (1.05, 1.79) 0.02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.44 (0.84, 2.49)</w:t>
            </w: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0.19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.32 (1.03, 1.70) 0.03</w:t>
            </w:r>
          </w:p>
          <w:p w:rsidR="0087226B" w:rsidRDefault="0087226B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0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.95 (0.68, 1.33) 0.76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.14 (0.80, 1.61) 0.46</w:t>
            </w:r>
          </w:p>
          <w:p w:rsidR="0087226B" w:rsidRDefault="00D76DEF">
            <w:pPr>
              <w:jc w:val="center"/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Theme="minorHAnsi" w:hAnsi="Times New Roman" w:cs="Times New Roman"/>
                <w:kern w:val="0"/>
                <w:sz w:val="20"/>
                <w:szCs w:val="20"/>
              </w:rPr>
              <w:t>.86 (1.23, 2.81) 0.003</w:t>
            </w:r>
          </w:p>
        </w:tc>
      </w:tr>
    </w:tbl>
    <w:p w:rsidR="0087226B" w:rsidRDefault="0087226B">
      <w:pPr>
        <w:spacing w:line="480" w:lineRule="auto"/>
        <w:rPr>
          <w:rFonts w:ascii="Times New Roman" w:hAnsi="Times New Roman" w:cs="Times New Roman"/>
        </w:rPr>
      </w:pPr>
    </w:p>
    <w:p w:rsidR="0087226B" w:rsidRDefault="00D76DEF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BMI: Body mass index; CHD: Chronic heart disease</w:t>
      </w:r>
    </w:p>
    <w:p w:rsidR="0087226B" w:rsidRDefault="0087226B"/>
    <w:sectPr w:rsidR="0087226B" w:rsidSect="00D76DEF">
      <w:footerReference w:type="default" r:id="rId7"/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76DEF">
      <w:r>
        <w:separator/>
      </w:r>
    </w:p>
  </w:endnote>
  <w:endnote w:type="continuationSeparator" w:id="0">
    <w:p w:rsidR="00000000" w:rsidRDefault="00D76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97672184"/>
      <w:docPartObj>
        <w:docPartGallery w:val="AutoText"/>
      </w:docPartObj>
    </w:sdtPr>
    <w:sdtEndPr/>
    <w:sdtContent>
      <w:p w:rsidR="0087226B" w:rsidRDefault="00D76DE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:rsidR="0087226B" w:rsidRDefault="008722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76DEF">
      <w:r>
        <w:separator/>
      </w:r>
    </w:p>
  </w:footnote>
  <w:footnote w:type="continuationSeparator" w:id="0">
    <w:p w:rsidR="00000000" w:rsidRDefault="00D76D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8"/>
  <w:bordersDoNotSurroundHeader/>
  <w:bordersDoNotSurroundFooter/>
  <w:revisionView w:markup="0"/>
  <w:defaultTabStop w:val="420"/>
  <w:drawingGridHorizontalSpacing w:val="120"/>
  <w:drawingGridVerticalSpacing w:val="423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k5ODM0YmMxOWJiYWQyNDU4MGIzYWRmYTA0ZmI5NDcifQ=="/>
  </w:docVars>
  <w:rsids>
    <w:rsidRoot w:val="002D4FF9"/>
    <w:rsid w:val="000040AC"/>
    <w:rsid w:val="00036037"/>
    <w:rsid w:val="000570AE"/>
    <w:rsid w:val="000D1A28"/>
    <w:rsid w:val="00121598"/>
    <w:rsid w:val="0012379C"/>
    <w:rsid w:val="00123873"/>
    <w:rsid w:val="001562B2"/>
    <w:rsid w:val="00165C3F"/>
    <w:rsid w:val="001A2EE1"/>
    <w:rsid w:val="001B1A39"/>
    <w:rsid w:val="001C64EA"/>
    <w:rsid w:val="001C77CA"/>
    <w:rsid w:val="0024172A"/>
    <w:rsid w:val="00257F61"/>
    <w:rsid w:val="002663C1"/>
    <w:rsid w:val="00267CB0"/>
    <w:rsid w:val="00281203"/>
    <w:rsid w:val="00284AD2"/>
    <w:rsid w:val="002A1173"/>
    <w:rsid w:val="002C396E"/>
    <w:rsid w:val="002D2F7C"/>
    <w:rsid w:val="002D492D"/>
    <w:rsid w:val="002D4FF9"/>
    <w:rsid w:val="002F5AAA"/>
    <w:rsid w:val="00331D4F"/>
    <w:rsid w:val="00342554"/>
    <w:rsid w:val="0039050C"/>
    <w:rsid w:val="003B59E1"/>
    <w:rsid w:val="003E782B"/>
    <w:rsid w:val="00462288"/>
    <w:rsid w:val="004644B9"/>
    <w:rsid w:val="004F657C"/>
    <w:rsid w:val="004F7455"/>
    <w:rsid w:val="00507EDF"/>
    <w:rsid w:val="00511F40"/>
    <w:rsid w:val="00516EC7"/>
    <w:rsid w:val="00523864"/>
    <w:rsid w:val="00576A85"/>
    <w:rsid w:val="0059073A"/>
    <w:rsid w:val="005B08A0"/>
    <w:rsid w:val="005B127C"/>
    <w:rsid w:val="005C544C"/>
    <w:rsid w:val="005F3E15"/>
    <w:rsid w:val="00667C64"/>
    <w:rsid w:val="00671F2D"/>
    <w:rsid w:val="0067548E"/>
    <w:rsid w:val="00697F32"/>
    <w:rsid w:val="006C52EB"/>
    <w:rsid w:val="006D72BF"/>
    <w:rsid w:val="006F3E86"/>
    <w:rsid w:val="006F4398"/>
    <w:rsid w:val="00707C90"/>
    <w:rsid w:val="007222AC"/>
    <w:rsid w:val="0073766C"/>
    <w:rsid w:val="00774F04"/>
    <w:rsid w:val="007A6356"/>
    <w:rsid w:val="007A7ECD"/>
    <w:rsid w:val="007C6F81"/>
    <w:rsid w:val="007D090C"/>
    <w:rsid w:val="007D2D28"/>
    <w:rsid w:val="007D659D"/>
    <w:rsid w:val="00813F56"/>
    <w:rsid w:val="0083173D"/>
    <w:rsid w:val="00831DC3"/>
    <w:rsid w:val="0083290D"/>
    <w:rsid w:val="0087226B"/>
    <w:rsid w:val="008A5C88"/>
    <w:rsid w:val="008A636C"/>
    <w:rsid w:val="008E3A0F"/>
    <w:rsid w:val="0091123D"/>
    <w:rsid w:val="00926315"/>
    <w:rsid w:val="009276E0"/>
    <w:rsid w:val="0094029C"/>
    <w:rsid w:val="009711DE"/>
    <w:rsid w:val="009B4FAC"/>
    <w:rsid w:val="009C25B1"/>
    <w:rsid w:val="009E4A22"/>
    <w:rsid w:val="00A361BA"/>
    <w:rsid w:val="00A54E3B"/>
    <w:rsid w:val="00AA29F8"/>
    <w:rsid w:val="00AE4089"/>
    <w:rsid w:val="00B868F7"/>
    <w:rsid w:val="00BA11EF"/>
    <w:rsid w:val="00BA6321"/>
    <w:rsid w:val="00BB184B"/>
    <w:rsid w:val="00C01130"/>
    <w:rsid w:val="00CA5C3F"/>
    <w:rsid w:val="00CB4262"/>
    <w:rsid w:val="00CC315A"/>
    <w:rsid w:val="00CE424A"/>
    <w:rsid w:val="00CF53E8"/>
    <w:rsid w:val="00D71B6F"/>
    <w:rsid w:val="00D76DEF"/>
    <w:rsid w:val="00DA3426"/>
    <w:rsid w:val="00DD1198"/>
    <w:rsid w:val="00DD65EE"/>
    <w:rsid w:val="00DF4B7B"/>
    <w:rsid w:val="00E2745F"/>
    <w:rsid w:val="00E4783B"/>
    <w:rsid w:val="00E527B2"/>
    <w:rsid w:val="00E735D6"/>
    <w:rsid w:val="00E81309"/>
    <w:rsid w:val="00EA0851"/>
    <w:rsid w:val="00EE3762"/>
    <w:rsid w:val="00EF19C4"/>
    <w:rsid w:val="00EF302C"/>
    <w:rsid w:val="00F352BA"/>
    <w:rsid w:val="00FF2E78"/>
    <w:rsid w:val="00FF31D9"/>
    <w:rsid w:val="40D5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5BC2D4-08EF-449A-BE15-4A09FA992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  <w:style w:type="table" w:customStyle="1" w:styleId="4">
    <w:name w:val="网格型4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TableNormal"/>
    <w:qFormat/>
    <w:pPr>
      <w:widowControl w:val="0"/>
      <w:jc w:val="both"/>
    </w:pPr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uzhaoya@cs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1100</Words>
  <Characters>6273</Characters>
  <Application>Microsoft Office Word</Application>
  <DocSecurity>0</DocSecurity>
  <Lines>52</Lines>
  <Paragraphs>14</Paragraphs>
  <ScaleCrop>false</ScaleCrop>
  <Company/>
  <LinksUpToDate>false</LinksUpToDate>
  <CharactersWithSpaces>7359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1071289883@qq.com</dc:creator>
  <cp:lastModifiedBy>Sangeetha Sekar</cp:lastModifiedBy>
  <cp:revision>3</cp:revision>
  <dcterms:created xsi:type="dcterms:W3CDTF">2023-05-05T03:00:00Z</dcterms:created>
  <dcterms:modified xsi:type="dcterms:W3CDTF">2023-07-11T13:22:00Z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c2c5e3b01ed2f13414b3662d40a1d24fc0aba9d0e0acfee64112885db1e6452c</vt:lpwstr>
  </property>
  <property fmtid="{D5CDD505-2E9C-101B-9397-08002B2CF9AE}" pid="3" name="KSOProductBuildVer">
    <vt:lpwstr>2052-11.1.0.14309</vt:lpwstr>
  </property>
  <property fmtid="{D5CDD505-2E9C-101B-9397-08002B2CF9AE}" pid="4" name="ICV">
    <vt:lpwstr>07F45C18AA70443DB548D7B2B9E5FEB8_12</vt:lpwstr>
  </property>
</Properties>
</file>