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F4092" w14:textId="77777777" w:rsidR="00C017E0" w:rsidRDefault="00C017E0" w:rsidP="00C017E0">
      <w:pPr>
        <w:spacing w:line="480" w:lineRule="auto"/>
        <w:jc w:val="left"/>
        <w:rPr>
          <w:rFonts w:ascii="Times New Roman" w:hAnsi="Times New Roman" w:cs="Times New Roman"/>
          <w:b/>
          <w:bCs/>
          <w:szCs w:val="21"/>
        </w:rPr>
      </w:pPr>
      <w:r w:rsidRPr="001F4FAF">
        <w:rPr>
          <w:rFonts w:ascii="Times New Roman" w:hAnsi="Times New Roman" w:cs="Times New Roman"/>
          <w:b/>
          <w:bCs/>
          <w:szCs w:val="21"/>
        </w:rPr>
        <w:t>Materials and methods</w:t>
      </w:r>
    </w:p>
    <w:p w14:paraId="0063DB08" w14:textId="30F61B56" w:rsidR="00C017E0" w:rsidRPr="00C017E0" w:rsidRDefault="00C017E0" w:rsidP="00C017E0">
      <w:pPr>
        <w:pStyle w:val="a7"/>
        <w:numPr>
          <w:ilvl w:val="0"/>
          <w:numId w:val="1"/>
        </w:numPr>
        <w:spacing w:line="360" w:lineRule="auto"/>
        <w:ind w:firstLineChars="0"/>
        <w:rPr>
          <w:rFonts w:ascii="Times New Roman" w:hAnsi="Times New Roman" w:cs="Times New Roman"/>
          <w:b/>
          <w:bCs/>
        </w:rPr>
      </w:pPr>
      <w:r w:rsidRPr="00C017E0">
        <w:rPr>
          <w:rFonts w:ascii="Times New Roman" w:hAnsi="Times New Roman" w:cs="Times New Roman"/>
          <w:b/>
          <w:bCs/>
        </w:rPr>
        <w:t xml:space="preserve">RNA-sequencing </w:t>
      </w:r>
      <w:r w:rsidRPr="00C017E0">
        <w:rPr>
          <w:rFonts w:ascii="Times New Roman" w:hAnsi="Times New Roman" w:cs="Times New Roman" w:hint="eastAsia"/>
          <w:b/>
          <w:bCs/>
        </w:rPr>
        <w:t>anal</w:t>
      </w:r>
      <w:r w:rsidRPr="00C017E0">
        <w:rPr>
          <w:rFonts w:ascii="Times New Roman" w:hAnsi="Times New Roman" w:cs="Times New Roman"/>
          <w:b/>
          <w:bCs/>
        </w:rPr>
        <w:t>ysis</w:t>
      </w:r>
    </w:p>
    <w:p w14:paraId="2643FF7C" w14:textId="77777777" w:rsidR="00C017E0" w:rsidRPr="00C017E0" w:rsidRDefault="00C017E0" w:rsidP="00C017E0">
      <w:pPr>
        <w:spacing w:line="360" w:lineRule="auto"/>
        <w:rPr>
          <w:rFonts w:ascii="Times New Roman" w:hAnsi="Times New Roman" w:cs="Times New Roman"/>
        </w:rPr>
      </w:pPr>
      <w:r w:rsidRPr="00C017E0">
        <w:rPr>
          <w:rFonts w:ascii="Times New Roman" w:hAnsi="Times New Roman" w:cs="Times New Roman"/>
        </w:rPr>
        <w:t>1.1 RNA quantification and qualification</w:t>
      </w:r>
    </w:p>
    <w:p w14:paraId="19ACFD35" w14:textId="77777777" w:rsidR="00C017E0" w:rsidRPr="00C017E0" w:rsidRDefault="00C017E0" w:rsidP="00C017E0">
      <w:pPr>
        <w:spacing w:line="360" w:lineRule="auto"/>
        <w:rPr>
          <w:rFonts w:ascii="Times New Roman" w:hAnsi="Times New Roman" w:cs="Times New Roman"/>
        </w:rPr>
      </w:pPr>
      <w:r w:rsidRPr="00C017E0">
        <w:rPr>
          <w:rFonts w:ascii="Times New Roman" w:hAnsi="Times New Roman" w:cs="Times New Roman"/>
        </w:rPr>
        <w:t xml:space="preserve">RNA integrity was assessed using the RNA Nano 6000 Assay Kit of the Bioanalyzer </w:t>
      </w:r>
    </w:p>
    <w:p w14:paraId="605A7512" w14:textId="47D611F2" w:rsidR="00C017E0" w:rsidRDefault="00C017E0" w:rsidP="00C017E0">
      <w:pPr>
        <w:spacing w:line="360" w:lineRule="auto"/>
        <w:rPr>
          <w:rFonts w:ascii="Times New Roman" w:hAnsi="Times New Roman" w:cs="Times New Roman"/>
        </w:rPr>
      </w:pPr>
      <w:r w:rsidRPr="00C017E0">
        <w:rPr>
          <w:rFonts w:ascii="Times New Roman" w:hAnsi="Times New Roman" w:cs="Times New Roman"/>
        </w:rPr>
        <w:t>2100 system (Agilent Technologies, CA, USA).</w:t>
      </w:r>
      <w:r w:rsidRPr="00C017E0">
        <w:rPr>
          <w:rFonts w:ascii="Times New Roman" w:hAnsi="Times New Roman" w:cs="Times New Roman"/>
        </w:rPr>
        <w:cr/>
      </w:r>
      <w:r>
        <w:rPr>
          <w:rFonts w:ascii="Times New Roman" w:hAnsi="Times New Roman" w:cs="Times New Roman" w:hint="eastAsia"/>
        </w:rPr>
        <w:t>1</w:t>
      </w:r>
      <w:r>
        <w:rPr>
          <w:rFonts w:ascii="Times New Roman" w:hAnsi="Times New Roman" w:cs="Times New Roman"/>
        </w:rPr>
        <w:t xml:space="preserve">.2 </w:t>
      </w:r>
      <w:r w:rsidRPr="00C017E0">
        <w:rPr>
          <w:rFonts w:ascii="Times New Roman" w:hAnsi="Times New Roman" w:cs="Times New Roman"/>
        </w:rPr>
        <w:t>Library preparation for Transcriptome sequencing</w:t>
      </w:r>
    </w:p>
    <w:p w14:paraId="60E1428C" w14:textId="6CCD4B2C" w:rsidR="00C017E0" w:rsidRPr="00C017E0" w:rsidRDefault="00C017E0" w:rsidP="00C017E0">
      <w:pPr>
        <w:spacing w:line="360" w:lineRule="auto"/>
        <w:rPr>
          <w:rFonts w:ascii="Times New Roman" w:hAnsi="Times New Roman" w:cs="Times New Roman"/>
        </w:rPr>
      </w:pPr>
      <w:r w:rsidRPr="00C017E0">
        <w:rPr>
          <w:rFonts w:ascii="Times New Roman" w:hAnsi="Times New Roman" w:cs="Times New Roman"/>
        </w:rPr>
        <w:t>Total RNA was used as input material for the RNA sample preparations. Briefly, mRNA was purified from total RNA using poly-T oligo-attached magnetic beads. Fragmentation was carried out using divalent cations under elevated temperature in First Strand Synthesis Reaction Buffer(5X). First strand cDNA was synthesized using random hexamer primer and M-MuLV Reverse Transcriptase, then use RNaseH to degrade the RNA. Second strand cDNA synthesis was subsequently performed using DNA Polymerase I and dNTP. Remaining overhangs were converted into blunt ends via exonuclease/polymerase activities. After adenylation of 3’ ends of DNA fragments, Adaptor with hairpin loop structure</w:t>
      </w:r>
      <w:r>
        <w:rPr>
          <w:rFonts w:ascii="Times New Roman" w:hAnsi="Times New Roman" w:cs="Times New Roman" w:hint="eastAsia"/>
        </w:rPr>
        <w:t xml:space="preserve"> </w:t>
      </w:r>
      <w:r w:rsidRPr="00C017E0">
        <w:rPr>
          <w:rFonts w:ascii="Times New Roman" w:hAnsi="Times New Roman" w:cs="Times New Roman"/>
        </w:rPr>
        <w:t>were ligated to prepare for hybridization. In order to select cDNA fragments of preferentially 370~420 bp in length, the library fragments were purified with AMPure XP system (Beckman Coulter, Beverly, USA). Then PCR was performed with Phusion High-Fidelity DNA</w:t>
      </w:r>
    </w:p>
    <w:p w14:paraId="3CC2ED32" w14:textId="77777777" w:rsidR="00C017E0" w:rsidRPr="00C017E0" w:rsidRDefault="00C017E0" w:rsidP="00C017E0">
      <w:pPr>
        <w:spacing w:line="360" w:lineRule="auto"/>
        <w:rPr>
          <w:rFonts w:ascii="Times New Roman" w:hAnsi="Times New Roman" w:cs="Times New Roman"/>
        </w:rPr>
      </w:pPr>
      <w:r w:rsidRPr="00C017E0">
        <w:rPr>
          <w:rFonts w:ascii="Times New Roman" w:hAnsi="Times New Roman" w:cs="Times New Roman"/>
        </w:rPr>
        <w:t xml:space="preserve">polymerase, Universal PCR primers and Index (X) Primer. At last, PCR products were purified </w:t>
      </w:r>
    </w:p>
    <w:p w14:paraId="7A7B3C5D" w14:textId="56148180" w:rsidR="00C017E0" w:rsidRDefault="00D90B8C" w:rsidP="00C017E0">
      <w:pPr>
        <w:spacing w:line="360" w:lineRule="auto"/>
        <w:rPr>
          <w:rFonts w:ascii="Times New Roman" w:hAnsi="Times New Roman" w:cs="Times New Roman"/>
        </w:rPr>
      </w:pPr>
      <w:r>
        <w:rPr>
          <w:rFonts w:ascii="Times New Roman" w:hAnsi="Times New Roman" w:cs="Times New Roman"/>
        </w:rPr>
        <w:t xml:space="preserve">by </w:t>
      </w:r>
      <w:r w:rsidR="00C017E0" w:rsidRPr="00C017E0">
        <w:rPr>
          <w:rFonts w:ascii="Times New Roman" w:hAnsi="Times New Roman" w:cs="Times New Roman"/>
        </w:rPr>
        <w:t>AMPure XP system</w:t>
      </w:r>
      <w:r>
        <w:rPr>
          <w:rFonts w:ascii="Times New Roman" w:hAnsi="Times New Roman" w:cs="Times New Roman"/>
        </w:rPr>
        <w:t xml:space="preserve"> </w:t>
      </w:r>
      <w:r w:rsidR="00C017E0" w:rsidRPr="00C017E0">
        <w:rPr>
          <w:rFonts w:ascii="Times New Roman" w:hAnsi="Times New Roman" w:cs="Times New Roman"/>
        </w:rPr>
        <w:t>and library quality was assessed on the Agilent Bioanalyzer 2100 system.</w:t>
      </w:r>
    </w:p>
    <w:p w14:paraId="41A224AE" w14:textId="16306F88" w:rsidR="00C017E0" w:rsidRPr="00C017E0" w:rsidRDefault="00C017E0" w:rsidP="00C017E0">
      <w:pPr>
        <w:spacing w:line="360" w:lineRule="auto"/>
        <w:rPr>
          <w:rFonts w:ascii="Times New Roman" w:hAnsi="Times New Roman" w:cs="Times New Roman"/>
        </w:rPr>
      </w:pPr>
      <w:r>
        <w:rPr>
          <w:rFonts w:ascii="Times New Roman" w:hAnsi="Times New Roman" w:cs="Times New Roman"/>
        </w:rPr>
        <w:t xml:space="preserve">1.3 </w:t>
      </w:r>
      <w:r w:rsidRPr="00C017E0">
        <w:rPr>
          <w:rFonts w:ascii="Times New Roman" w:hAnsi="Times New Roman" w:cs="Times New Roman"/>
        </w:rPr>
        <w:t xml:space="preserve">Clustering and sequencing </w:t>
      </w:r>
    </w:p>
    <w:p w14:paraId="227AAD46" w14:textId="2D32E80F" w:rsidR="00A000E6" w:rsidRDefault="00C017E0" w:rsidP="00C017E0">
      <w:pPr>
        <w:spacing w:line="360" w:lineRule="auto"/>
        <w:rPr>
          <w:rFonts w:ascii="Times New Roman" w:hAnsi="Times New Roman" w:cs="Times New Roman"/>
        </w:rPr>
      </w:pPr>
      <w:r w:rsidRPr="00C017E0">
        <w:rPr>
          <w:rFonts w:ascii="Times New Roman" w:hAnsi="Times New Roman" w:cs="Times New Roman"/>
        </w:rPr>
        <w:t>The clustering of the index-coded samples was performed on a cBot Cluster Generation System using TruSeq PE Cluster Kit v3-cBot-HS (Illumia) according to the manufacturer’s instructions. After cluster generation, the library preparations were sequenced on an Illumina Novaseq platform and 150 bp paired-end reads were generated.</w:t>
      </w:r>
    </w:p>
    <w:p w14:paraId="14FD5321" w14:textId="5DB801F5" w:rsidR="00C017E0" w:rsidRPr="00C017E0" w:rsidRDefault="00C017E0" w:rsidP="00C017E0">
      <w:pPr>
        <w:pStyle w:val="a7"/>
        <w:numPr>
          <w:ilvl w:val="1"/>
          <w:numId w:val="1"/>
        </w:numPr>
        <w:spacing w:line="360" w:lineRule="auto"/>
        <w:ind w:firstLineChars="0"/>
        <w:rPr>
          <w:rFonts w:ascii="Times New Roman" w:hAnsi="Times New Roman" w:cs="Times New Roman"/>
        </w:rPr>
      </w:pPr>
      <w:r w:rsidRPr="00C017E0">
        <w:rPr>
          <w:rFonts w:ascii="Times New Roman" w:hAnsi="Times New Roman" w:cs="Times New Roman"/>
        </w:rPr>
        <w:t>Data Analysis</w:t>
      </w:r>
    </w:p>
    <w:p w14:paraId="00C19504" w14:textId="712CF68A" w:rsidR="00D90B8C" w:rsidRPr="00D90B8C" w:rsidRDefault="00C017E0" w:rsidP="00D90B8C">
      <w:pPr>
        <w:spacing w:line="360" w:lineRule="auto"/>
        <w:rPr>
          <w:rFonts w:ascii="Times New Roman" w:hAnsi="Times New Roman" w:cs="Times New Roman"/>
        </w:rPr>
      </w:pPr>
      <w:r w:rsidRPr="00C017E0">
        <w:rPr>
          <w:rFonts w:ascii="Times New Roman" w:hAnsi="Times New Roman" w:cs="Times New Roman"/>
        </w:rPr>
        <w:t>Raw data (raw reads) of fastq format were firstly processed through in-house perl scripts. In this step, clean data (clean reads) were obtained by removing reads containing adapter, reads containing N base and low quality reads from raw data. At the same time, Q20, Q30 and GC content the clean data were calculated. All the downstream analyses were based on the clean data with high quality.</w:t>
      </w:r>
      <w:r>
        <w:rPr>
          <w:rFonts w:ascii="Times New Roman" w:hAnsi="Times New Roman" w:cs="Times New Roman"/>
        </w:rPr>
        <w:t xml:space="preserve"> </w:t>
      </w:r>
      <w:r w:rsidRPr="00C017E0">
        <w:rPr>
          <w:rFonts w:ascii="Times New Roman" w:hAnsi="Times New Roman" w:cs="Times New Roman"/>
        </w:rPr>
        <w:t>Reference genome and gene model annotation files were downloaded from genome website directly.</w:t>
      </w:r>
      <w:r w:rsidR="008909C6">
        <w:rPr>
          <w:rFonts w:ascii="Times New Roman" w:hAnsi="Times New Roman" w:cs="Times New Roman"/>
        </w:rPr>
        <w:t xml:space="preserve"> </w:t>
      </w:r>
      <w:r w:rsidRPr="00C017E0">
        <w:rPr>
          <w:rFonts w:ascii="Times New Roman" w:hAnsi="Times New Roman" w:cs="Times New Roman"/>
        </w:rPr>
        <w:lastRenderedPageBreak/>
        <w:t xml:space="preserve">Index of the reference genome was built using Hisat2 v2.0.5 and paired-end clean reads were aligned to the reference genome using Hisat2 v2.0.5. </w:t>
      </w:r>
      <w:r w:rsidR="008909C6">
        <w:rPr>
          <w:rFonts w:ascii="Times New Roman" w:hAnsi="Times New Roman" w:cs="Times New Roman"/>
        </w:rPr>
        <w:t>F</w:t>
      </w:r>
      <w:r w:rsidR="008909C6" w:rsidRPr="008909C6">
        <w:rPr>
          <w:rFonts w:ascii="Times New Roman" w:hAnsi="Times New Roman" w:cs="Times New Roman"/>
        </w:rPr>
        <w:t xml:space="preserve">eatureCounts v1.5.0-p3 was used to count the reads numbers mapped to each gene. And then FPKM of each gene was calculated based on the length of the gene and reads count mapped to this gene. </w:t>
      </w:r>
      <w:r w:rsidR="00D90B8C" w:rsidRPr="00D90B8C">
        <w:rPr>
          <w:rFonts w:ascii="Times New Roman" w:hAnsi="Times New Roman" w:cs="Times New Roman"/>
        </w:rPr>
        <w:t>Differential expression analysis</w:t>
      </w:r>
      <w:r w:rsidR="00D90B8C">
        <w:rPr>
          <w:rFonts w:ascii="Times New Roman" w:hAnsi="Times New Roman" w:cs="Times New Roman" w:hint="eastAsia"/>
        </w:rPr>
        <w:t xml:space="preserve"> </w:t>
      </w:r>
      <w:r w:rsidR="00D90B8C" w:rsidRPr="00D90B8C">
        <w:rPr>
          <w:rFonts w:ascii="Times New Roman" w:hAnsi="Times New Roman" w:cs="Times New Roman"/>
        </w:rPr>
        <w:t xml:space="preserve">was performed using the DESeq2 R package (1.20.0). Genes with an adjusted P-value &lt;0.05 found by DESeq2 were </w:t>
      </w:r>
    </w:p>
    <w:p w14:paraId="6AF3F363" w14:textId="7C7A5FA4" w:rsidR="008909C6" w:rsidRDefault="00D90B8C" w:rsidP="004413FB">
      <w:pPr>
        <w:spacing w:line="360" w:lineRule="auto"/>
        <w:rPr>
          <w:rFonts w:ascii="Times New Roman" w:hAnsi="Times New Roman" w:cs="Times New Roman"/>
        </w:rPr>
      </w:pPr>
      <w:r w:rsidRPr="00D90B8C">
        <w:rPr>
          <w:rFonts w:ascii="Times New Roman" w:hAnsi="Times New Roman" w:cs="Times New Roman"/>
        </w:rPr>
        <w:t>assigned as differentially expressed.</w:t>
      </w:r>
      <w:r w:rsidR="004413FB">
        <w:rPr>
          <w:rFonts w:ascii="Times New Roman" w:hAnsi="Times New Roman" w:cs="Times New Roman"/>
        </w:rPr>
        <w:t xml:space="preserve"> C</w:t>
      </w:r>
      <w:r w:rsidR="004413FB" w:rsidRPr="004413FB">
        <w:rPr>
          <w:rFonts w:ascii="Times New Roman" w:hAnsi="Times New Roman" w:cs="Times New Roman"/>
        </w:rPr>
        <w:t>lusterProfiler R package</w:t>
      </w:r>
      <w:r w:rsidR="004413FB">
        <w:rPr>
          <w:rFonts w:ascii="Times New Roman" w:hAnsi="Times New Roman" w:cs="Times New Roman"/>
        </w:rPr>
        <w:t xml:space="preserve"> was used</w:t>
      </w:r>
      <w:r w:rsidR="004413FB" w:rsidRPr="004413FB">
        <w:rPr>
          <w:rFonts w:ascii="Times New Roman" w:hAnsi="Times New Roman" w:cs="Times New Roman"/>
        </w:rPr>
        <w:t xml:space="preserve"> </w:t>
      </w:r>
      <w:r w:rsidR="004413FB">
        <w:rPr>
          <w:rFonts w:ascii="Times New Roman" w:hAnsi="Times New Roman" w:cs="Times New Roman"/>
        </w:rPr>
        <w:t xml:space="preserve">for </w:t>
      </w:r>
      <w:r w:rsidR="004413FB" w:rsidRPr="004413FB">
        <w:rPr>
          <w:rFonts w:ascii="Times New Roman" w:hAnsi="Times New Roman" w:cs="Times New Roman"/>
        </w:rPr>
        <w:t xml:space="preserve">Gene Ontology (GO) </w:t>
      </w:r>
      <w:r w:rsidR="004413FB">
        <w:rPr>
          <w:rFonts w:ascii="Times New Roman" w:hAnsi="Times New Roman" w:cs="Times New Roman"/>
        </w:rPr>
        <w:t xml:space="preserve">and KEGG </w:t>
      </w:r>
      <w:r w:rsidR="004413FB" w:rsidRPr="004413FB">
        <w:rPr>
          <w:rFonts w:ascii="Times New Roman" w:hAnsi="Times New Roman" w:cs="Times New Roman"/>
        </w:rPr>
        <w:t>enrichment analysis</w:t>
      </w:r>
      <w:r w:rsidR="004413FB">
        <w:rPr>
          <w:rFonts w:ascii="Times New Roman" w:hAnsi="Times New Roman" w:cs="Times New Roman"/>
        </w:rPr>
        <w:t xml:space="preserve">. </w:t>
      </w:r>
      <w:r w:rsidR="0073405B">
        <w:rPr>
          <w:rFonts w:ascii="Times New Roman" w:hAnsi="Times New Roman"/>
          <w:color w:val="FF0000"/>
          <w:szCs w:val="21"/>
        </w:rPr>
        <w:t xml:space="preserve">The </w:t>
      </w:r>
      <w:r w:rsidR="0073405B" w:rsidRPr="0020056E">
        <w:rPr>
          <w:rFonts w:ascii="Times New Roman" w:hAnsi="Times New Roman"/>
          <w:color w:val="FF0000"/>
          <w:szCs w:val="21"/>
        </w:rPr>
        <w:t>code</w:t>
      </w:r>
      <w:r w:rsidR="0073405B">
        <w:rPr>
          <w:rFonts w:ascii="Times New Roman" w:hAnsi="Times New Roman"/>
          <w:color w:val="FF0000"/>
          <w:szCs w:val="21"/>
        </w:rPr>
        <w:t xml:space="preserve">s reference resource was provided in the Table </w:t>
      </w:r>
      <w:r w:rsidR="0073405B" w:rsidRPr="0073405B">
        <w:rPr>
          <w:rFonts w:ascii="Times New Roman" w:hAnsi="Times New Roman"/>
          <w:color w:val="FF0000"/>
          <w:szCs w:val="21"/>
        </w:rPr>
        <w:t>S</w:t>
      </w:r>
      <w:r w:rsidR="00C02E59">
        <w:rPr>
          <w:rFonts w:ascii="Times New Roman" w:hAnsi="Times New Roman"/>
          <w:color w:val="FF0000"/>
          <w:szCs w:val="21"/>
        </w:rPr>
        <w:t>2</w:t>
      </w:r>
      <w:r w:rsidR="0073405B" w:rsidRPr="0073405B">
        <w:rPr>
          <w:rFonts w:ascii="Times New Roman" w:hAnsi="Times New Roman"/>
          <w:color w:val="FF0000"/>
          <w:szCs w:val="21"/>
        </w:rPr>
        <w:t>.</w:t>
      </w:r>
    </w:p>
    <w:p w14:paraId="5574BDD7" w14:textId="7AA3CEA6" w:rsidR="00C60AAB" w:rsidRDefault="00C60AAB" w:rsidP="004413FB">
      <w:pPr>
        <w:spacing w:line="360" w:lineRule="auto"/>
        <w:rPr>
          <w:rFonts w:ascii="Times New Roman" w:hAnsi="Times New Roman" w:cs="Times New Roman"/>
        </w:rPr>
      </w:pPr>
    </w:p>
    <w:p w14:paraId="793BA592" w14:textId="004BC835" w:rsidR="00C60AAB" w:rsidRDefault="00C60AAB" w:rsidP="004413FB">
      <w:pPr>
        <w:spacing w:line="360" w:lineRule="auto"/>
        <w:rPr>
          <w:rFonts w:ascii="Times New Roman" w:hAnsi="Times New Roman" w:cs="Times New Roman"/>
        </w:rPr>
      </w:pPr>
    </w:p>
    <w:p w14:paraId="764C3799" w14:textId="64FDD813" w:rsidR="00C60AAB" w:rsidRDefault="00C60AAB" w:rsidP="004413FB">
      <w:pPr>
        <w:spacing w:line="360" w:lineRule="auto"/>
        <w:rPr>
          <w:rFonts w:ascii="Times New Roman" w:hAnsi="Times New Roman" w:cs="Times New Roman"/>
        </w:rPr>
      </w:pPr>
    </w:p>
    <w:p w14:paraId="795743EA" w14:textId="23D5613E" w:rsidR="00C60AAB" w:rsidRDefault="00C60AAB" w:rsidP="004413FB">
      <w:pPr>
        <w:spacing w:line="360" w:lineRule="auto"/>
        <w:rPr>
          <w:rFonts w:ascii="Times New Roman" w:hAnsi="Times New Roman" w:cs="Times New Roman"/>
        </w:rPr>
      </w:pPr>
    </w:p>
    <w:p w14:paraId="4C005D77" w14:textId="450E852F" w:rsidR="00C60AAB" w:rsidRDefault="00C60AAB" w:rsidP="004413FB">
      <w:pPr>
        <w:spacing w:line="360" w:lineRule="auto"/>
        <w:rPr>
          <w:rFonts w:ascii="Times New Roman" w:hAnsi="Times New Roman" w:cs="Times New Roman"/>
        </w:rPr>
      </w:pPr>
    </w:p>
    <w:p w14:paraId="59182594" w14:textId="0E667FE0" w:rsidR="00C60AAB" w:rsidRDefault="00C60AAB" w:rsidP="004413FB">
      <w:pPr>
        <w:spacing w:line="360" w:lineRule="auto"/>
        <w:rPr>
          <w:rFonts w:ascii="Times New Roman" w:hAnsi="Times New Roman" w:cs="Times New Roman"/>
        </w:rPr>
      </w:pPr>
    </w:p>
    <w:p w14:paraId="0D447770" w14:textId="16A6CCF8" w:rsidR="00C60AAB" w:rsidRDefault="00C60AAB" w:rsidP="004413FB">
      <w:pPr>
        <w:spacing w:line="360" w:lineRule="auto"/>
        <w:rPr>
          <w:rFonts w:ascii="Times New Roman" w:hAnsi="Times New Roman" w:cs="Times New Roman"/>
        </w:rPr>
      </w:pPr>
    </w:p>
    <w:p w14:paraId="1812124C" w14:textId="0854BD09" w:rsidR="00C60AAB" w:rsidRDefault="00C60AAB" w:rsidP="004413FB">
      <w:pPr>
        <w:spacing w:line="360" w:lineRule="auto"/>
        <w:rPr>
          <w:rFonts w:ascii="Times New Roman" w:hAnsi="Times New Roman" w:cs="Times New Roman"/>
        </w:rPr>
      </w:pPr>
    </w:p>
    <w:p w14:paraId="35E4CA6D" w14:textId="25368E5E" w:rsidR="00C60AAB" w:rsidRDefault="00C60AAB" w:rsidP="004413FB">
      <w:pPr>
        <w:spacing w:line="360" w:lineRule="auto"/>
        <w:rPr>
          <w:rFonts w:ascii="Times New Roman" w:hAnsi="Times New Roman" w:cs="Times New Roman"/>
        </w:rPr>
      </w:pPr>
    </w:p>
    <w:p w14:paraId="39006CAA" w14:textId="6055784B" w:rsidR="00C60AAB" w:rsidRDefault="00C60AAB" w:rsidP="004413FB">
      <w:pPr>
        <w:spacing w:line="360" w:lineRule="auto"/>
        <w:rPr>
          <w:rFonts w:ascii="Times New Roman" w:hAnsi="Times New Roman" w:cs="Times New Roman"/>
        </w:rPr>
      </w:pPr>
    </w:p>
    <w:p w14:paraId="49F4BA79" w14:textId="4CA29D02" w:rsidR="00C60AAB" w:rsidRDefault="00C60AAB" w:rsidP="004413FB">
      <w:pPr>
        <w:spacing w:line="360" w:lineRule="auto"/>
        <w:rPr>
          <w:rFonts w:ascii="Times New Roman" w:hAnsi="Times New Roman" w:cs="Times New Roman"/>
        </w:rPr>
      </w:pPr>
    </w:p>
    <w:p w14:paraId="156E2288" w14:textId="3D2F75DA" w:rsidR="00C60AAB" w:rsidRDefault="00C60AAB" w:rsidP="004413FB">
      <w:pPr>
        <w:spacing w:line="360" w:lineRule="auto"/>
        <w:rPr>
          <w:rFonts w:ascii="Times New Roman" w:hAnsi="Times New Roman" w:cs="Times New Roman"/>
        </w:rPr>
      </w:pPr>
    </w:p>
    <w:p w14:paraId="60C8F9BF" w14:textId="1921EE27" w:rsidR="00C60AAB" w:rsidRDefault="00C60AAB" w:rsidP="004413FB">
      <w:pPr>
        <w:spacing w:line="360" w:lineRule="auto"/>
        <w:rPr>
          <w:rFonts w:ascii="Times New Roman" w:hAnsi="Times New Roman" w:cs="Times New Roman"/>
        </w:rPr>
      </w:pPr>
    </w:p>
    <w:p w14:paraId="45BA18DF" w14:textId="0F590087" w:rsidR="00C60AAB" w:rsidRDefault="00C60AAB" w:rsidP="004413FB">
      <w:pPr>
        <w:spacing w:line="360" w:lineRule="auto"/>
        <w:rPr>
          <w:rFonts w:ascii="Times New Roman" w:hAnsi="Times New Roman" w:cs="Times New Roman"/>
        </w:rPr>
      </w:pPr>
    </w:p>
    <w:p w14:paraId="6475E287" w14:textId="19804AAF" w:rsidR="00C60AAB" w:rsidRDefault="00C60AAB" w:rsidP="004413FB">
      <w:pPr>
        <w:spacing w:line="360" w:lineRule="auto"/>
        <w:rPr>
          <w:rFonts w:ascii="Times New Roman" w:hAnsi="Times New Roman" w:cs="Times New Roman"/>
        </w:rPr>
      </w:pPr>
    </w:p>
    <w:p w14:paraId="69BDD5CB" w14:textId="32BFABC2" w:rsidR="00C60AAB" w:rsidRDefault="00C60AAB" w:rsidP="004413FB">
      <w:pPr>
        <w:spacing w:line="360" w:lineRule="auto"/>
        <w:rPr>
          <w:rFonts w:ascii="Times New Roman" w:hAnsi="Times New Roman" w:cs="Times New Roman"/>
        </w:rPr>
      </w:pPr>
    </w:p>
    <w:p w14:paraId="7E2CF13D" w14:textId="1D2FA11B" w:rsidR="00C60AAB" w:rsidRDefault="00C60AAB" w:rsidP="004413FB">
      <w:pPr>
        <w:spacing w:line="360" w:lineRule="auto"/>
        <w:rPr>
          <w:rFonts w:ascii="Times New Roman" w:hAnsi="Times New Roman" w:cs="Times New Roman"/>
        </w:rPr>
      </w:pPr>
    </w:p>
    <w:p w14:paraId="47444AAC" w14:textId="21F1755D" w:rsidR="00C60AAB" w:rsidRDefault="00C60AAB" w:rsidP="004413FB">
      <w:pPr>
        <w:spacing w:line="360" w:lineRule="auto"/>
        <w:rPr>
          <w:rFonts w:ascii="Times New Roman" w:hAnsi="Times New Roman" w:cs="Times New Roman"/>
        </w:rPr>
      </w:pPr>
    </w:p>
    <w:p w14:paraId="47303233" w14:textId="1F0297F6" w:rsidR="00C60AAB" w:rsidRDefault="00C60AAB" w:rsidP="004413FB">
      <w:pPr>
        <w:spacing w:line="360" w:lineRule="auto"/>
        <w:rPr>
          <w:rFonts w:ascii="Times New Roman" w:hAnsi="Times New Roman" w:cs="Times New Roman"/>
        </w:rPr>
      </w:pPr>
    </w:p>
    <w:p w14:paraId="418C6C25" w14:textId="431D8EA0" w:rsidR="00C60AAB" w:rsidRDefault="00C60AAB" w:rsidP="004413FB">
      <w:pPr>
        <w:spacing w:line="360" w:lineRule="auto"/>
        <w:rPr>
          <w:rFonts w:ascii="Times New Roman" w:hAnsi="Times New Roman" w:cs="Times New Roman"/>
        </w:rPr>
      </w:pPr>
    </w:p>
    <w:p w14:paraId="5FF55907" w14:textId="626557A1" w:rsidR="00C60AAB" w:rsidRDefault="00C60AAB" w:rsidP="004413FB">
      <w:pPr>
        <w:spacing w:line="360" w:lineRule="auto"/>
        <w:rPr>
          <w:rFonts w:ascii="Times New Roman" w:hAnsi="Times New Roman" w:cs="Times New Roman"/>
        </w:rPr>
      </w:pPr>
    </w:p>
    <w:p w14:paraId="64DF9F84" w14:textId="71F77799" w:rsidR="00C60AAB" w:rsidRDefault="00C60AAB" w:rsidP="004413FB">
      <w:pPr>
        <w:spacing w:line="360" w:lineRule="auto"/>
        <w:rPr>
          <w:rFonts w:ascii="Times New Roman" w:hAnsi="Times New Roman" w:cs="Times New Roman"/>
        </w:rPr>
      </w:pPr>
    </w:p>
    <w:p w14:paraId="19F342A9" w14:textId="77777777" w:rsidR="00C60AAB" w:rsidRPr="00C60AAB" w:rsidRDefault="00C60AAB" w:rsidP="004413FB">
      <w:pPr>
        <w:spacing w:line="360" w:lineRule="auto"/>
        <w:rPr>
          <w:rFonts w:ascii="Times New Roman" w:hAnsi="Times New Roman" w:cs="Times New Roman"/>
        </w:rPr>
      </w:pPr>
    </w:p>
    <w:p w14:paraId="5FC683B8" w14:textId="11D02EE5" w:rsidR="00C017E0" w:rsidRPr="004F2834" w:rsidRDefault="00C60AAB" w:rsidP="00C017E0">
      <w:pPr>
        <w:spacing w:line="360" w:lineRule="auto"/>
        <w:rPr>
          <w:rFonts w:ascii="Times New Roman" w:hAnsi="Times New Roman" w:cs="Times New Roman"/>
          <w:b/>
          <w:bCs/>
        </w:rPr>
      </w:pPr>
      <w:r w:rsidRPr="004F2834">
        <w:rPr>
          <w:rFonts w:ascii="Times New Roman" w:hAnsi="Times New Roman" w:cs="Times New Roman" w:hint="eastAsia"/>
          <w:b/>
          <w:bCs/>
        </w:rPr>
        <w:lastRenderedPageBreak/>
        <w:t>Figure</w:t>
      </w:r>
      <w:r w:rsidRPr="004F2834">
        <w:rPr>
          <w:rFonts w:ascii="Times New Roman" w:hAnsi="Times New Roman" w:cs="Times New Roman"/>
          <w:b/>
          <w:bCs/>
        </w:rPr>
        <w:t>s</w:t>
      </w:r>
    </w:p>
    <w:p w14:paraId="7AA3B1AC" w14:textId="4F754FBC" w:rsidR="00C60AAB" w:rsidRDefault="00C60AAB" w:rsidP="00C017E0">
      <w:pPr>
        <w:spacing w:line="360" w:lineRule="auto"/>
        <w:rPr>
          <w:rFonts w:ascii="Times New Roman" w:hAnsi="Times New Roman" w:cs="Times New Roman"/>
        </w:rPr>
      </w:pPr>
      <w:r>
        <w:rPr>
          <w:noProof/>
        </w:rPr>
        <w:drawing>
          <wp:inline distT="0" distB="0" distL="0" distR="0" wp14:anchorId="510B0A90" wp14:editId="03041A65">
            <wp:extent cx="5274310" cy="18935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1893570"/>
                    </a:xfrm>
                    <a:prstGeom prst="rect">
                      <a:avLst/>
                    </a:prstGeom>
                    <a:noFill/>
                    <a:ln>
                      <a:noFill/>
                    </a:ln>
                  </pic:spPr>
                </pic:pic>
              </a:graphicData>
            </a:graphic>
          </wp:inline>
        </w:drawing>
      </w:r>
    </w:p>
    <w:p w14:paraId="6280BE3B" w14:textId="5FB6D274" w:rsidR="00C60AAB" w:rsidRDefault="00C60AAB" w:rsidP="00C017E0">
      <w:pPr>
        <w:spacing w:line="360" w:lineRule="auto"/>
        <w:rPr>
          <w:rStyle w:val="fontstyle01"/>
          <w:rFonts w:hint="eastAsia"/>
          <w:color w:val="000000" w:themeColor="text1"/>
        </w:rPr>
      </w:pPr>
      <w:r w:rsidRPr="00C1487D">
        <w:rPr>
          <w:rFonts w:ascii="Times New Roman" w:hAnsi="Times New Roman"/>
          <w:b/>
          <w:bCs/>
          <w:color w:val="000000" w:themeColor="text1"/>
          <w:szCs w:val="21"/>
        </w:rPr>
        <w:t>Fig</w:t>
      </w:r>
      <w:r w:rsidR="004F2834">
        <w:rPr>
          <w:rFonts w:ascii="Times New Roman" w:hAnsi="Times New Roman"/>
          <w:b/>
          <w:bCs/>
          <w:color w:val="000000" w:themeColor="text1"/>
          <w:szCs w:val="21"/>
        </w:rPr>
        <w:t>.</w:t>
      </w:r>
      <w:r w:rsidRPr="00C1487D">
        <w:rPr>
          <w:rFonts w:ascii="Times New Roman" w:hAnsi="Times New Roman"/>
          <w:b/>
          <w:bCs/>
          <w:color w:val="000000" w:themeColor="text1"/>
          <w:szCs w:val="21"/>
        </w:rPr>
        <w:t>S</w:t>
      </w:r>
      <w:r w:rsidRPr="00C1487D">
        <w:rPr>
          <w:rFonts w:ascii="Times New Roman" w:hAnsi="Times New Roman" w:hint="eastAsia"/>
          <w:b/>
          <w:bCs/>
          <w:color w:val="000000" w:themeColor="text1"/>
          <w:szCs w:val="21"/>
        </w:rPr>
        <w:t>1</w:t>
      </w:r>
      <w:r w:rsidRPr="00C1487D">
        <w:rPr>
          <w:color w:val="000000" w:themeColor="text1"/>
        </w:rPr>
        <w:t xml:space="preserve"> </w:t>
      </w:r>
      <w:r w:rsidRPr="00C1487D">
        <w:rPr>
          <w:rFonts w:ascii="Times New Roman" w:hAnsi="Times New Roman"/>
          <w:b/>
          <w:bCs/>
          <w:color w:val="000000" w:themeColor="text1"/>
          <w:szCs w:val="21"/>
        </w:rPr>
        <w:t xml:space="preserve">Metabolic profiling </w:t>
      </w:r>
      <w:r w:rsidR="000E6F4C">
        <w:rPr>
          <w:rFonts w:ascii="Times New Roman" w:hAnsi="Times New Roman"/>
          <w:b/>
          <w:bCs/>
          <w:color w:val="000000" w:themeColor="text1"/>
          <w:szCs w:val="21"/>
        </w:rPr>
        <w:t xml:space="preserve">analysis </w:t>
      </w:r>
      <w:r w:rsidRPr="00C1487D">
        <w:rPr>
          <w:rFonts w:ascii="Times New Roman" w:hAnsi="Times New Roman"/>
          <w:b/>
          <w:bCs/>
          <w:color w:val="000000" w:themeColor="text1"/>
          <w:szCs w:val="21"/>
        </w:rPr>
        <w:t xml:space="preserve">in </w:t>
      </w:r>
      <w:r w:rsidR="000E6F4C">
        <w:rPr>
          <w:rFonts w:ascii="Times New Roman" w:hAnsi="Times New Roman"/>
          <w:b/>
          <w:bCs/>
          <w:color w:val="000000" w:themeColor="text1"/>
          <w:szCs w:val="21"/>
        </w:rPr>
        <w:t>indicated cells</w:t>
      </w:r>
      <w:r w:rsidRPr="00C1487D">
        <w:rPr>
          <w:rFonts w:ascii="Times New Roman" w:hAnsi="Times New Roman"/>
          <w:b/>
          <w:bCs/>
          <w:color w:val="000000" w:themeColor="text1"/>
          <w:szCs w:val="21"/>
        </w:rPr>
        <w:t>.</w:t>
      </w:r>
      <w:r w:rsidRPr="00C1487D">
        <w:rPr>
          <w:color w:val="000000" w:themeColor="text1"/>
        </w:rPr>
        <w:t xml:space="preserve"> </w:t>
      </w:r>
      <w:r w:rsidRPr="00C1487D">
        <w:rPr>
          <w:rStyle w:val="fontstyle01"/>
          <w:color w:val="000000" w:themeColor="text1"/>
        </w:rPr>
        <w:t>(A) A typical total ion chromatogram of metabolic profiling. (B) The RSD distribution of metabolic features in QC samples.</w:t>
      </w:r>
    </w:p>
    <w:p w14:paraId="6789578C" w14:textId="5A44055E" w:rsidR="000E6F4C" w:rsidRDefault="000E6F4C" w:rsidP="00C017E0">
      <w:pPr>
        <w:spacing w:line="360" w:lineRule="auto"/>
        <w:rPr>
          <w:rFonts w:ascii="Times New Roman" w:hAnsi="Times New Roman"/>
          <w:b/>
          <w:bCs/>
          <w:color w:val="000000" w:themeColor="text1"/>
          <w:szCs w:val="21"/>
        </w:rPr>
      </w:pPr>
    </w:p>
    <w:p w14:paraId="175E3C28" w14:textId="422B6F60" w:rsidR="000E6F4C" w:rsidRDefault="00C254F6" w:rsidP="00C017E0">
      <w:pPr>
        <w:spacing w:line="360" w:lineRule="auto"/>
        <w:rPr>
          <w:rFonts w:ascii="Times New Roman" w:hAnsi="Times New Roman"/>
          <w:b/>
          <w:bCs/>
          <w:color w:val="000000" w:themeColor="text1"/>
          <w:szCs w:val="21"/>
        </w:rPr>
      </w:pPr>
      <w:r>
        <w:rPr>
          <w:noProof/>
        </w:rPr>
        <w:lastRenderedPageBreak/>
        <w:drawing>
          <wp:inline distT="0" distB="0" distL="0" distR="0" wp14:anchorId="6C8F0D87" wp14:editId="091F0904">
            <wp:extent cx="5274310" cy="6766560"/>
            <wp:effectExtent l="0" t="0" r="2540" b="0"/>
            <wp:docPr id="20390239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6766560"/>
                    </a:xfrm>
                    <a:prstGeom prst="rect">
                      <a:avLst/>
                    </a:prstGeom>
                    <a:noFill/>
                    <a:ln>
                      <a:noFill/>
                    </a:ln>
                  </pic:spPr>
                </pic:pic>
              </a:graphicData>
            </a:graphic>
          </wp:inline>
        </w:drawing>
      </w:r>
    </w:p>
    <w:p w14:paraId="399A9A4A" w14:textId="06A9A02B" w:rsidR="008C5B07" w:rsidRDefault="000E6F4C" w:rsidP="00C017E0">
      <w:pPr>
        <w:spacing w:line="360" w:lineRule="auto"/>
        <w:rPr>
          <w:rFonts w:ascii="Times New Roman" w:hAnsi="Times New Roman"/>
          <w:szCs w:val="21"/>
        </w:rPr>
      </w:pPr>
      <w:r w:rsidRPr="00C1487D">
        <w:rPr>
          <w:rFonts w:ascii="Times New Roman" w:hAnsi="Times New Roman"/>
          <w:b/>
          <w:bCs/>
          <w:color w:val="000000" w:themeColor="text1"/>
          <w:szCs w:val="21"/>
        </w:rPr>
        <w:t>Fig</w:t>
      </w:r>
      <w:r>
        <w:rPr>
          <w:rFonts w:ascii="Times New Roman" w:hAnsi="Times New Roman"/>
          <w:b/>
          <w:bCs/>
          <w:color w:val="000000" w:themeColor="text1"/>
          <w:szCs w:val="21"/>
        </w:rPr>
        <w:t>.</w:t>
      </w:r>
      <w:r w:rsidRPr="00C1487D">
        <w:rPr>
          <w:rFonts w:ascii="Times New Roman" w:hAnsi="Times New Roman"/>
          <w:b/>
          <w:bCs/>
          <w:color w:val="000000" w:themeColor="text1"/>
          <w:szCs w:val="21"/>
        </w:rPr>
        <w:t>S</w:t>
      </w:r>
      <w:r>
        <w:rPr>
          <w:rFonts w:ascii="Times New Roman" w:hAnsi="Times New Roman"/>
          <w:b/>
          <w:bCs/>
          <w:color w:val="000000" w:themeColor="text1"/>
          <w:szCs w:val="21"/>
        </w:rPr>
        <w:t>2</w:t>
      </w:r>
      <w:r w:rsidRPr="00C1487D">
        <w:rPr>
          <w:color w:val="000000" w:themeColor="text1"/>
        </w:rPr>
        <w:t xml:space="preserve"> </w:t>
      </w:r>
      <w:r w:rsidR="00AB5926">
        <w:rPr>
          <w:rFonts w:ascii="Times New Roman" w:hAnsi="Times New Roman"/>
          <w:b/>
          <w:bCs/>
          <w:color w:val="000000" w:themeColor="text1"/>
          <w:szCs w:val="21"/>
        </w:rPr>
        <w:t xml:space="preserve">RNA-seq </w:t>
      </w:r>
      <w:r>
        <w:rPr>
          <w:rFonts w:ascii="Times New Roman" w:hAnsi="Times New Roman"/>
          <w:b/>
          <w:bCs/>
          <w:color w:val="000000" w:themeColor="text1"/>
          <w:szCs w:val="21"/>
        </w:rPr>
        <w:t xml:space="preserve">analysis </w:t>
      </w:r>
      <w:r w:rsidRPr="00C1487D">
        <w:rPr>
          <w:rFonts w:ascii="Times New Roman" w:hAnsi="Times New Roman"/>
          <w:b/>
          <w:bCs/>
          <w:color w:val="000000" w:themeColor="text1"/>
          <w:szCs w:val="21"/>
        </w:rPr>
        <w:t xml:space="preserve">in </w:t>
      </w:r>
      <w:r>
        <w:rPr>
          <w:rFonts w:ascii="Times New Roman" w:hAnsi="Times New Roman"/>
          <w:b/>
          <w:bCs/>
          <w:color w:val="000000" w:themeColor="text1"/>
          <w:szCs w:val="21"/>
        </w:rPr>
        <w:t>indicated cells</w:t>
      </w:r>
      <w:r w:rsidRPr="00C1487D">
        <w:rPr>
          <w:rFonts w:ascii="Times New Roman" w:hAnsi="Times New Roman"/>
          <w:b/>
          <w:bCs/>
          <w:color w:val="000000" w:themeColor="text1"/>
          <w:szCs w:val="21"/>
        </w:rPr>
        <w:t>.</w:t>
      </w:r>
      <w:r>
        <w:rPr>
          <w:rFonts w:ascii="Times New Roman" w:hAnsi="Times New Roman"/>
          <w:b/>
          <w:bCs/>
          <w:color w:val="000000" w:themeColor="text1"/>
          <w:szCs w:val="21"/>
        </w:rPr>
        <w:t xml:space="preserve"> </w:t>
      </w:r>
      <w:r w:rsidRPr="00AB5926">
        <w:rPr>
          <w:rFonts w:ascii="Times New Roman" w:hAnsi="Times New Roman"/>
          <w:color w:val="000000" w:themeColor="text1"/>
          <w:szCs w:val="21"/>
        </w:rPr>
        <w:t xml:space="preserve">(A) </w:t>
      </w:r>
      <w:r w:rsidR="00AB5926" w:rsidRPr="00AB5926">
        <w:rPr>
          <w:rFonts w:ascii="Times New Roman" w:hAnsi="Times New Roman"/>
          <w:color w:val="000000" w:themeColor="text1"/>
          <w:szCs w:val="21"/>
        </w:rPr>
        <w:t>The Pearson correlation coefficient analysis</w:t>
      </w:r>
      <w:r w:rsidR="00AB5926">
        <w:rPr>
          <w:rFonts w:ascii="Times New Roman" w:hAnsi="Times New Roman"/>
          <w:color w:val="000000" w:themeColor="text1"/>
          <w:szCs w:val="21"/>
        </w:rPr>
        <w:t xml:space="preserve"> of RNA-seq data. </w:t>
      </w:r>
      <w:r w:rsidR="00AB5926" w:rsidRPr="00AB5926">
        <w:rPr>
          <w:rFonts w:ascii="Times New Roman" w:hAnsi="Times New Roman"/>
          <w:color w:val="000000" w:themeColor="text1"/>
          <w:szCs w:val="21"/>
        </w:rPr>
        <w:t>(</w:t>
      </w:r>
      <w:r w:rsidR="00AB5926">
        <w:rPr>
          <w:rFonts w:ascii="Times New Roman" w:hAnsi="Times New Roman"/>
          <w:color w:val="000000" w:themeColor="text1"/>
          <w:szCs w:val="21"/>
        </w:rPr>
        <w:t>B</w:t>
      </w:r>
      <w:r w:rsidR="00AB5926" w:rsidRPr="00AB5926">
        <w:rPr>
          <w:rFonts w:ascii="Times New Roman" w:hAnsi="Times New Roman"/>
          <w:color w:val="000000" w:themeColor="text1"/>
          <w:szCs w:val="21"/>
        </w:rPr>
        <w:t>)</w:t>
      </w:r>
      <w:r w:rsidR="00AB5926">
        <w:rPr>
          <w:rFonts w:ascii="Times New Roman" w:hAnsi="Times New Roman"/>
          <w:color w:val="000000" w:themeColor="text1"/>
          <w:szCs w:val="21"/>
        </w:rPr>
        <w:t xml:space="preserve"> KEGG pathway enrichment analysis of RNA-seq.</w:t>
      </w:r>
      <w:r w:rsidR="00D60079" w:rsidRPr="00D60079">
        <w:t xml:space="preserve"> </w:t>
      </w:r>
      <w:r w:rsidR="00D60079" w:rsidRPr="00D60079">
        <w:rPr>
          <w:rFonts w:ascii="Times New Roman" w:hAnsi="Times New Roman"/>
          <w:color w:val="000000" w:themeColor="text1"/>
          <w:szCs w:val="21"/>
        </w:rPr>
        <w:t xml:space="preserve">The numbers on the bars represent the </w:t>
      </w:r>
      <w:r w:rsidR="00D60079">
        <w:rPr>
          <w:rFonts w:ascii="Times New Roman" w:hAnsi="Times New Roman"/>
          <w:color w:val="000000" w:themeColor="text1"/>
          <w:szCs w:val="21"/>
        </w:rPr>
        <w:t xml:space="preserve">differential </w:t>
      </w:r>
      <w:r w:rsidR="00D60079" w:rsidRPr="00D60079">
        <w:rPr>
          <w:rFonts w:ascii="Times New Roman" w:hAnsi="Times New Roman"/>
          <w:color w:val="000000" w:themeColor="text1"/>
          <w:szCs w:val="21"/>
        </w:rPr>
        <w:t>genes involved</w:t>
      </w:r>
      <w:r w:rsidR="00D60079">
        <w:rPr>
          <w:rFonts w:ascii="Times New Roman" w:hAnsi="Times New Roman"/>
          <w:color w:val="000000" w:themeColor="text1"/>
          <w:szCs w:val="21"/>
        </w:rPr>
        <w:t xml:space="preserve">. </w:t>
      </w:r>
      <w:bookmarkStart w:id="0" w:name="OLE_LINK25"/>
      <w:bookmarkStart w:id="1" w:name="OLE_LINK38"/>
      <w:r w:rsidR="000C14C5">
        <w:rPr>
          <w:rFonts w:ascii="Times New Roman" w:hAnsi="Times New Roman" w:hint="eastAsia"/>
          <w:color w:val="000000" w:themeColor="text1"/>
          <w:szCs w:val="21"/>
        </w:rPr>
        <w:t>(</w:t>
      </w:r>
      <w:r w:rsidR="000C14C5">
        <w:rPr>
          <w:rFonts w:ascii="Times New Roman" w:hAnsi="Times New Roman"/>
          <w:color w:val="000000" w:themeColor="text1"/>
          <w:szCs w:val="21"/>
        </w:rPr>
        <w:t>C)</w:t>
      </w:r>
      <w:bookmarkEnd w:id="0"/>
      <w:r w:rsidR="000C14C5">
        <w:rPr>
          <w:rFonts w:ascii="Times New Roman" w:hAnsi="Times New Roman"/>
          <w:color w:val="000000" w:themeColor="text1"/>
          <w:szCs w:val="21"/>
        </w:rPr>
        <w:t xml:space="preserve"> </w:t>
      </w:r>
      <w:r w:rsidR="000C14C5" w:rsidRPr="00713E2C">
        <w:rPr>
          <w:rFonts w:ascii="Times New Roman" w:hAnsi="Times New Roman"/>
          <w:szCs w:val="21"/>
        </w:rPr>
        <w:t>The results of qPCR</w:t>
      </w:r>
      <w:r w:rsidR="000C14C5">
        <w:rPr>
          <w:rFonts w:ascii="Times New Roman" w:hAnsi="Times New Roman"/>
          <w:szCs w:val="21"/>
        </w:rPr>
        <w:t xml:space="preserve"> </w:t>
      </w:r>
      <w:r w:rsidR="000C14C5" w:rsidRPr="00713E2C">
        <w:rPr>
          <w:rFonts w:ascii="Times New Roman" w:hAnsi="Times New Roman"/>
          <w:szCs w:val="21"/>
        </w:rPr>
        <w:t>indicating the mRNA levels of LDH</w:t>
      </w:r>
      <w:r w:rsidR="000C14C5">
        <w:rPr>
          <w:rFonts w:ascii="Times New Roman" w:hAnsi="Times New Roman"/>
          <w:szCs w:val="21"/>
        </w:rPr>
        <w:t>B</w:t>
      </w:r>
      <w:r w:rsidR="000C14C5" w:rsidRPr="00713E2C">
        <w:rPr>
          <w:rFonts w:ascii="Times New Roman" w:hAnsi="Times New Roman"/>
          <w:szCs w:val="21"/>
        </w:rPr>
        <w:t xml:space="preserve"> in indicated cells.</w:t>
      </w:r>
      <w:bookmarkEnd w:id="1"/>
      <w:r w:rsidR="00A812FF" w:rsidRPr="00A812FF">
        <w:rPr>
          <w:rFonts w:ascii="Times New Roman" w:hAnsi="Times New Roman" w:hint="eastAsia"/>
          <w:color w:val="000000" w:themeColor="text1"/>
          <w:szCs w:val="21"/>
        </w:rPr>
        <w:t xml:space="preserve"> </w:t>
      </w:r>
      <w:r w:rsidR="00A812FF" w:rsidRPr="001C515C">
        <w:rPr>
          <w:rFonts w:ascii="Times New Roman" w:hAnsi="Times New Roman" w:hint="eastAsia"/>
          <w:color w:val="000000" w:themeColor="text1"/>
          <w:szCs w:val="21"/>
        </w:rPr>
        <w:t>(</w:t>
      </w:r>
      <w:r w:rsidR="00A812FF" w:rsidRPr="001C515C">
        <w:rPr>
          <w:rFonts w:ascii="Times New Roman" w:hAnsi="Times New Roman"/>
          <w:color w:val="000000" w:themeColor="text1"/>
          <w:szCs w:val="21"/>
        </w:rPr>
        <w:t>D) Survival analysis of lung cancer BM patients with high</w:t>
      </w:r>
      <w:r w:rsidR="002756FD">
        <w:rPr>
          <w:rFonts w:ascii="Times New Roman" w:hAnsi="Times New Roman"/>
          <w:color w:val="000000" w:themeColor="text1"/>
          <w:szCs w:val="21"/>
        </w:rPr>
        <w:t xml:space="preserve"> (n=20)</w:t>
      </w:r>
      <w:r w:rsidR="00A812FF" w:rsidRPr="001C515C">
        <w:rPr>
          <w:rFonts w:ascii="Times New Roman" w:hAnsi="Times New Roman"/>
          <w:color w:val="000000" w:themeColor="text1"/>
          <w:szCs w:val="21"/>
        </w:rPr>
        <w:t xml:space="preserve"> or low</w:t>
      </w:r>
      <w:r w:rsidR="002756FD">
        <w:rPr>
          <w:rFonts w:ascii="Times New Roman" w:hAnsi="Times New Roman"/>
          <w:color w:val="000000" w:themeColor="text1"/>
          <w:szCs w:val="21"/>
        </w:rPr>
        <w:t xml:space="preserve"> (n=9)</w:t>
      </w:r>
      <w:r w:rsidR="00A812FF" w:rsidRPr="001C515C">
        <w:rPr>
          <w:rFonts w:ascii="Times New Roman" w:hAnsi="Times New Roman"/>
          <w:color w:val="000000" w:themeColor="text1"/>
          <w:szCs w:val="21"/>
        </w:rPr>
        <w:t xml:space="preserve"> AKR1B10 expression</w:t>
      </w:r>
      <w:r w:rsidR="00F6026C" w:rsidRPr="001C515C">
        <w:rPr>
          <w:rFonts w:ascii="Times New Roman" w:hAnsi="Times New Roman"/>
          <w:color w:val="000000" w:themeColor="text1"/>
          <w:szCs w:val="21"/>
        </w:rPr>
        <w:t>.</w:t>
      </w:r>
      <w:r w:rsidR="000C14C5">
        <w:rPr>
          <w:rFonts w:ascii="Times New Roman" w:hAnsi="Times New Roman"/>
          <w:szCs w:val="21"/>
        </w:rPr>
        <w:t xml:space="preserve"> (</w:t>
      </w:r>
      <w:r w:rsidR="00A812FF">
        <w:rPr>
          <w:rFonts w:ascii="Times New Roman" w:hAnsi="Times New Roman"/>
          <w:szCs w:val="21"/>
        </w:rPr>
        <w:t>E</w:t>
      </w:r>
      <w:r w:rsidR="000C14C5">
        <w:rPr>
          <w:rFonts w:ascii="Times New Roman" w:hAnsi="Times New Roman"/>
          <w:szCs w:val="21"/>
        </w:rPr>
        <w:t>)</w:t>
      </w:r>
      <w:r w:rsidR="000C14C5" w:rsidRPr="00713E2C">
        <w:rPr>
          <w:rFonts w:ascii="Times New Roman" w:hAnsi="Times New Roman"/>
          <w:szCs w:val="21"/>
        </w:rPr>
        <w:t xml:space="preserve"> </w:t>
      </w:r>
      <w:r w:rsidR="000C14C5" w:rsidRPr="000C14C5">
        <w:rPr>
          <w:rFonts w:ascii="Times New Roman" w:hAnsi="Times New Roman"/>
          <w:szCs w:val="21"/>
        </w:rPr>
        <w:t xml:space="preserve">The results of western blotting indicating the protein levels of PI3K pathway in BrM3 cells, with or without AKR1B10 knockdown, or with 2-DG (2.5mM) treatment. </w:t>
      </w:r>
      <w:r w:rsidR="000C14C5" w:rsidRPr="000C14C5">
        <w:rPr>
          <w:rFonts w:ascii="Times New Roman" w:hAnsi="Times New Roman"/>
          <w:szCs w:val="21"/>
        </w:rPr>
        <w:lastRenderedPageBreak/>
        <w:t>p-PI3K, phosphorylated; T-PI3K, total PI3K; p-AKT, phosphorylated AKT; T-AKT, total AKT</w:t>
      </w:r>
      <w:r w:rsidR="000C14C5">
        <w:rPr>
          <w:rFonts w:ascii="Times New Roman" w:hAnsi="Times New Roman"/>
          <w:szCs w:val="21"/>
        </w:rPr>
        <w:t>. (n=3,</w:t>
      </w:r>
      <w:r w:rsidR="000C14C5" w:rsidRPr="00713E2C">
        <w:rPr>
          <w:rFonts w:ascii="Times New Roman" w:hAnsi="Times New Roman"/>
          <w:szCs w:val="21"/>
        </w:rPr>
        <w:t xml:space="preserve"> </w:t>
      </w:r>
      <w:bookmarkStart w:id="2" w:name="OLE_LINK39"/>
      <w:r w:rsidR="000C14C5" w:rsidRPr="00713E2C">
        <w:rPr>
          <w:rFonts w:ascii="Times New Roman" w:hAnsi="Times New Roman"/>
          <w:szCs w:val="21"/>
        </w:rPr>
        <w:t>*p&lt;0.0</w:t>
      </w:r>
      <w:r w:rsidR="000C14C5">
        <w:rPr>
          <w:rFonts w:ascii="Times New Roman" w:hAnsi="Times New Roman"/>
          <w:szCs w:val="21"/>
        </w:rPr>
        <w:t>5</w:t>
      </w:r>
      <w:bookmarkEnd w:id="2"/>
      <w:r w:rsidR="000C14C5" w:rsidRPr="00713E2C">
        <w:rPr>
          <w:rFonts w:ascii="Times New Roman" w:hAnsi="Times New Roman"/>
          <w:szCs w:val="21"/>
        </w:rPr>
        <w:t>, *</w:t>
      </w:r>
      <w:r w:rsidR="000C14C5">
        <w:rPr>
          <w:rFonts w:ascii="Times New Roman" w:hAnsi="Times New Roman"/>
          <w:szCs w:val="21"/>
        </w:rPr>
        <w:t>*</w:t>
      </w:r>
      <w:r w:rsidR="000C14C5" w:rsidRPr="00713E2C">
        <w:rPr>
          <w:rFonts w:ascii="Times New Roman" w:hAnsi="Times New Roman"/>
          <w:szCs w:val="21"/>
        </w:rPr>
        <w:t>p&lt;0.0</w:t>
      </w:r>
      <w:r w:rsidR="000C14C5">
        <w:rPr>
          <w:rFonts w:ascii="Times New Roman" w:hAnsi="Times New Roman"/>
          <w:szCs w:val="21"/>
        </w:rPr>
        <w:t>1</w:t>
      </w:r>
      <w:r w:rsidR="000C14C5" w:rsidRPr="00713E2C">
        <w:rPr>
          <w:rFonts w:ascii="Times New Roman" w:hAnsi="Times New Roman"/>
          <w:szCs w:val="21"/>
        </w:rPr>
        <w:t>, PC9-NC, PC9 transfected with negative control plasmid; PC9-OE, PC9 transfected with AKR1B10 plasmid</w:t>
      </w:r>
      <w:r w:rsidR="000C14C5">
        <w:rPr>
          <w:rFonts w:ascii="Times New Roman" w:hAnsi="Times New Roman"/>
          <w:szCs w:val="21"/>
        </w:rPr>
        <w:t>;</w:t>
      </w:r>
      <w:r w:rsidR="000C14C5" w:rsidRPr="00713E2C">
        <w:rPr>
          <w:rFonts w:ascii="Times New Roman" w:hAnsi="Times New Roman"/>
          <w:szCs w:val="21"/>
        </w:rPr>
        <w:t xml:space="preserve"> shNC, PC9-BrM3 cells transfected with negative control shRNA; sh1, PC9-BrM3 cells transfected with AKR1B10-targeted shRNA vector 1; sh2, PC9-BrM3 cells transfected with AKR1B10-targeted shRNA vector 2; shAKR1B10, PC9-BrM3 cells transfected with AKR1B10-targeted shRNA vector 1</w:t>
      </w:r>
      <w:r w:rsidR="000C14C5">
        <w:rPr>
          <w:rFonts w:ascii="Times New Roman" w:hAnsi="Times New Roman"/>
          <w:szCs w:val="21"/>
        </w:rPr>
        <w:t>)</w:t>
      </w:r>
    </w:p>
    <w:p w14:paraId="504A58E1" w14:textId="77777777" w:rsidR="000C14C5" w:rsidRDefault="000C14C5" w:rsidP="00C017E0">
      <w:pPr>
        <w:spacing w:line="360" w:lineRule="auto"/>
        <w:rPr>
          <w:rFonts w:ascii="Times New Roman" w:hAnsi="Times New Roman"/>
          <w:szCs w:val="21"/>
        </w:rPr>
      </w:pPr>
    </w:p>
    <w:p w14:paraId="2906C660" w14:textId="77777777" w:rsidR="00E751C1" w:rsidRDefault="00E751C1" w:rsidP="00C017E0">
      <w:pPr>
        <w:spacing w:line="360" w:lineRule="auto"/>
        <w:rPr>
          <w:rFonts w:ascii="Times New Roman" w:hAnsi="Times New Roman"/>
          <w:szCs w:val="21"/>
        </w:rPr>
      </w:pPr>
    </w:p>
    <w:p w14:paraId="6B1C1233" w14:textId="77777777" w:rsidR="00E751C1" w:rsidRDefault="00E751C1" w:rsidP="00C017E0">
      <w:pPr>
        <w:spacing w:line="360" w:lineRule="auto"/>
        <w:rPr>
          <w:rFonts w:ascii="Times New Roman" w:hAnsi="Times New Roman"/>
          <w:szCs w:val="21"/>
        </w:rPr>
      </w:pPr>
    </w:p>
    <w:p w14:paraId="3FCDCADB" w14:textId="77777777" w:rsidR="00E751C1" w:rsidRDefault="00E751C1" w:rsidP="00C017E0">
      <w:pPr>
        <w:spacing w:line="360" w:lineRule="auto"/>
        <w:rPr>
          <w:rFonts w:ascii="Times New Roman" w:hAnsi="Times New Roman"/>
          <w:szCs w:val="21"/>
        </w:rPr>
      </w:pPr>
    </w:p>
    <w:p w14:paraId="7C0A9368" w14:textId="77777777" w:rsidR="00E751C1" w:rsidRDefault="00E751C1" w:rsidP="00C017E0">
      <w:pPr>
        <w:spacing w:line="360" w:lineRule="auto"/>
        <w:rPr>
          <w:rFonts w:ascii="Times New Roman" w:hAnsi="Times New Roman"/>
          <w:szCs w:val="21"/>
        </w:rPr>
      </w:pPr>
    </w:p>
    <w:p w14:paraId="144A6CEB" w14:textId="77777777" w:rsidR="00E751C1" w:rsidRDefault="00E751C1" w:rsidP="00C017E0">
      <w:pPr>
        <w:spacing w:line="360" w:lineRule="auto"/>
        <w:rPr>
          <w:rFonts w:ascii="Times New Roman" w:hAnsi="Times New Roman"/>
          <w:szCs w:val="21"/>
        </w:rPr>
      </w:pPr>
    </w:p>
    <w:p w14:paraId="7A57FF85" w14:textId="7E4AD197" w:rsidR="000C14C5" w:rsidRDefault="00896E14" w:rsidP="00C017E0">
      <w:pPr>
        <w:spacing w:line="360" w:lineRule="auto"/>
        <w:rPr>
          <w:rFonts w:ascii="Times New Roman" w:hAnsi="Times New Roman" w:cs="Times New Roman"/>
        </w:rPr>
      </w:pPr>
      <w:r>
        <w:rPr>
          <w:noProof/>
        </w:rPr>
        <w:drawing>
          <wp:inline distT="0" distB="0" distL="0" distR="0" wp14:anchorId="26F76DF7" wp14:editId="32DA1A61">
            <wp:extent cx="5274310" cy="2515235"/>
            <wp:effectExtent l="0" t="0" r="2540" b="0"/>
            <wp:docPr id="9141246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515235"/>
                    </a:xfrm>
                    <a:prstGeom prst="rect">
                      <a:avLst/>
                    </a:prstGeom>
                    <a:noFill/>
                    <a:ln>
                      <a:noFill/>
                    </a:ln>
                  </pic:spPr>
                </pic:pic>
              </a:graphicData>
            </a:graphic>
          </wp:inline>
        </w:drawing>
      </w:r>
    </w:p>
    <w:p w14:paraId="5B08CA40" w14:textId="407D57AE" w:rsidR="00896E14" w:rsidRPr="00896E14" w:rsidRDefault="00896E14" w:rsidP="00C017E0">
      <w:pPr>
        <w:spacing w:line="360" w:lineRule="auto"/>
        <w:rPr>
          <w:rFonts w:ascii="Times New Roman" w:hAnsi="Times New Roman" w:cs="Times New Roman"/>
        </w:rPr>
      </w:pPr>
      <w:r w:rsidRPr="00C1487D">
        <w:rPr>
          <w:rFonts w:ascii="Times New Roman" w:hAnsi="Times New Roman"/>
          <w:b/>
          <w:bCs/>
          <w:color w:val="000000" w:themeColor="text1"/>
          <w:szCs w:val="21"/>
        </w:rPr>
        <w:t>Fig</w:t>
      </w:r>
      <w:r>
        <w:rPr>
          <w:rFonts w:ascii="Times New Roman" w:hAnsi="Times New Roman"/>
          <w:b/>
          <w:bCs/>
          <w:color w:val="000000" w:themeColor="text1"/>
          <w:szCs w:val="21"/>
        </w:rPr>
        <w:t>.</w:t>
      </w:r>
      <w:r w:rsidRPr="00C1487D">
        <w:rPr>
          <w:rFonts w:ascii="Times New Roman" w:hAnsi="Times New Roman"/>
          <w:b/>
          <w:bCs/>
          <w:color w:val="000000" w:themeColor="text1"/>
          <w:szCs w:val="21"/>
        </w:rPr>
        <w:t>S</w:t>
      </w:r>
      <w:r>
        <w:rPr>
          <w:rFonts w:ascii="Times New Roman" w:hAnsi="Times New Roman"/>
          <w:b/>
          <w:bCs/>
          <w:color w:val="000000" w:themeColor="text1"/>
          <w:szCs w:val="21"/>
        </w:rPr>
        <w:t xml:space="preserve">3 </w:t>
      </w:r>
      <w:r w:rsidRPr="00896E14">
        <w:rPr>
          <w:rFonts w:ascii="Times New Roman" w:hAnsi="Times New Roman"/>
          <w:b/>
          <w:bCs/>
          <w:color w:val="000000" w:themeColor="text1"/>
          <w:szCs w:val="21"/>
        </w:rPr>
        <w:t xml:space="preserve">Accumulated lactate </w:t>
      </w:r>
      <w:r>
        <w:rPr>
          <w:rFonts w:ascii="Times New Roman" w:hAnsi="Times New Roman"/>
          <w:b/>
          <w:bCs/>
          <w:color w:val="000000" w:themeColor="text1"/>
          <w:szCs w:val="21"/>
        </w:rPr>
        <w:t xml:space="preserve">increased the </w:t>
      </w:r>
      <w:r w:rsidRPr="00896E14">
        <w:rPr>
          <w:rFonts w:ascii="Times New Roman" w:hAnsi="Times New Roman"/>
          <w:b/>
          <w:bCs/>
          <w:color w:val="000000" w:themeColor="text1"/>
          <w:szCs w:val="21"/>
        </w:rPr>
        <w:t>global lactylation levels</w:t>
      </w:r>
      <w:r>
        <w:rPr>
          <w:rFonts w:ascii="Times New Roman" w:hAnsi="Times New Roman"/>
          <w:b/>
          <w:bCs/>
          <w:color w:val="000000" w:themeColor="text1"/>
          <w:szCs w:val="21"/>
        </w:rPr>
        <w:t xml:space="preserve">. </w:t>
      </w:r>
      <w:r w:rsidRPr="00896E14">
        <w:rPr>
          <w:rFonts w:ascii="Times New Roman" w:hAnsi="Times New Roman"/>
          <w:color w:val="000000" w:themeColor="text1"/>
          <w:szCs w:val="21"/>
        </w:rPr>
        <w:t xml:space="preserve">Western blot analysis showed that the global lactylation levels in </w:t>
      </w:r>
      <w:r>
        <w:rPr>
          <w:rFonts w:ascii="Times New Roman" w:hAnsi="Times New Roman"/>
          <w:color w:val="000000" w:themeColor="text1"/>
          <w:szCs w:val="21"/>
        </w:rPr>
        <w:t xml:space="preserve">parental PC9 cells, </w:t>
      </w:r>
      <w:r w:rsidRPr="00896E14">
        <w:rPr>
          <w:rFonts w:ascii="Times New Roman" w:hAnsi="Times New Roman"/>
          <w:color w:val="000000" w:themeColor="text1"/>
          <w:szCs w:val="21"/>
        </w:rPr>
        <w:t>B</w:t>
      </w:r>
      <w:r>
        <w:rPr>
          <w:rFonts w:ascii="Times New Roman" w:hAnsi="Times New Roman"/>
          <w:color w:val="000000" w:themeColor="text1"/>
          <w:szCs w:val="21"/>
        </w:rPr>
        <w:t>r</w:t>
      </w:r>
      <w:r w:rsidRPr="00896E14">
        <w:rPr>
          <w:rFonts w:ascii="Times New Roman" w:hAnsi="Times New Roman"/>
          <w:color w:val="000000" w:themeColor="text1"/>
          <w:szCs w:val="21"/>
        </w:rPr>
        <w:t>M cells, as well as PC9 cells treated with exogenous sodium lactate</w:t>
      </w:r>
      <w:r>
        <w:rPr>
          <w:rFonts w:ascii="Times New Roman" w:hAnsi="Times New Roman"/>
          <w:color w:val="000000" w:themeColor="text1"/>
          <w:szCs w:val="21"/>
        </w:rPr>
        <w:t xml:space="preserve"> (Nala) for 24h. </w:t>
      </w:r>
    </w:p>
    <w:sectPr w:rsidR="00896E14" w:rsidRPr="00896E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0D9A0" w14:textId="77777777" w:rsidR="00D778B6" w:rsidRDefault="00D778B6" w:rsidP="00C017E0">
      <w:r>
        <w:separator/>
      </w:r>
    </w:p>
  </w:endnote>
  <w:endnote w:type="continuationSeparator" w:id="0">
    <w:p w14:paraId="6BCF019C" w14:textId="77777777" w:rsidR="00D778B6" w:rsidRDefault="00D778B6" w:rsidP="00C01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276CD" w14:textId="77777777" w:rsidR="00D778B6" w:rsidRDefault="00D778B6" w:rsidP="00C017E0">
      <w:r>
        <w:separator/>
      </w:r>
    </w:p>
  </w:footnote>
  <w:footnote w:type="continuationSeparator" w:id="0">
    <w:p w14:paraId="19C53405" w14:textId="77777777" w:rsidR="00D778B6" w:rsidRDefault="00D778B6" w:rsidP="00C01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820A60"/>
    <w:multiLevelType w:val="multilevel"/>
    <w:tmpl w:val="BE0E93F8"/>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671184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776665A3-524F-4707-BD0C-2C8B8F2C8B51}"/>
    <w:docVar w:name="KY_MEDREF_VERSION" w:val="3"/>
  </w:docVars>
  <w:rsids>
    <w:rsidRoot w:val="00551CC6"/>
    <w:rsid w:val="000C14C5"/>
    <w:rsid w:val="000E6F4C"/>
    <w:rsid w:val="001C515C"/>
    <w:rsid w:val="002756FD"/>
    <w:rsid w:val="00276103"/>
    <w:rsid w:val="002B79C9"/>
    <w:rsid w:val="0039517F"/>
    <w:rsid w:val="004003F4"/>
    <w:rsid w:val="004413FB"/>
    <w:rsid w:val="00493EF6"/>
    <w:rsid w:val="004F2834"/>
    <w:rsid w:val="004F4C05"/>
    <w:rsid w:val="005050C8"/>
    <w:rsid w:val="00551CC6"/>
    <w:rsid w:val="0073405B"/>
    <w:rsid w:val="0076679E"/>
    <w:rsid w:val="00791711"/>
    <w:rsid w:val="008909C6"/>
    <w:rsid w:val="00896E14"/>
    <w:rsid w:val="008C5B07"/>
    <w:rsid w:val="00981EA0"/>
    <w:rsid w:val="00981FE5"/>
    <w:rsid w:val="00A000E6"/>
    <w:rsid w:val="00A812FF"/>
    <w:rsid w:val="00AB5926"/>
    <w:rsid w:val="00B53DD7"/>
    <w:rsid w:val="00C017E0"/>
    <w:rsid w:val="00C02E59"/>
    <w:rsid w:val="00C254F6"/>
    <w:rsid w:val="00C60AAB"/>
    <w:rsid w:val="00D560DF"/>
    <w:rsid w:val="00D60079"/>
    <w:rsid w:val="00D778B6"/>
    <w:rsid w:val="00D90B8C"/>
    <w:rsid w:val="00E751C1"/>
    <w:rsid w:val="00F103C7"/>
    <w:rsid w:val="00F42583"/>
    <w:rsid w:val="00F6026C"/>
    <w:rsid w:val="00FA6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F0DF"/>
  <w15:chartTrackingRefBased/>
  <w15:docId w15:val="{862FA31D-140B-4BBF-A4BB-B1AF36AF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7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7E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017E0"/>
    <w:rPr>
      <w:sz w:val="18"/>
      <w:szCs w:val="18"/>
    </w:rPr>
  </w:style>
  <w:style w:type="paragraph" w:styleId="a5">
    <w:name w:val="footer"/>
    <w:basedOn w:val="a"/>
    <w:link w:val="a6"/>
    <w:uiPriority w:val="99"/>
    <w:unhideWhenUsed/>
    <w:rsid w:val="00C017E0"/>
    <w:pPr>
      <w:tabs>
        <w:tab w:val="center" w:pos="4153"/>
        <w:tab w:val="right" w:pos="8306"/>
      </w:tabs>
      <w:snapToGrid w:val="0"/>
      <w:jc w:val="left"/>
    </w:pPr>
    <w:rPr>
      <w:sz w:val="18"/>
      <w:szCs w:val="18"/>
    </w:rPr>
  </w:style>
  <w:style w:type="character" w:customStyle="1" w:styleId="a6">
    <w:name w:val="页脚 字符"/>
    <w:basedOn w:val="a0"/>
    <w:link w:val="a5"/>
    <w:uiPriority w:val="99"/>
    <w:rsid w:val="00C017E0"/>
    <w:rPr>
      <w:sz w:val="18"/>
      <w:szCs w:val="18"/>
    </w:rPr>
  </w:style>
  <w:style w:type="paragraph" w:styleId="a7">
    <w:name w:val="List Paragraph"/>
    <w:basedOn w:val="a"/>
    <w:uiPriority w:val="34"/>
    <w:qFormat/>
    <w:rsid w:val="00C017E0"/>
    <w:pPr>
      <w:ind w:firstLineChars="200" w:firstLine="420"/>
    </w:pPr>
  </w:style>
  <w:style w:type="character" w:customStyle="1" w:styleId="fontstyle01">
    <w:name w:val="fontstyle01"/>
    <w:basedOn w:val="a0"/>
    <w:rsid w:val="00C60AAB"/>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5</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wenwen</dc:creator>
  <cp:keywords/>
  <dc:description/>
  <cp:lastModifiedBy>liu wenwen</cp:lastModifiedBy>
  <cp:revision>19</cp:revision>
  <dcterms:created xsi:type="dcterms:W3CDTF">2022-08-01T06:55:00Z</dcterms:created>
  <dcterms:modified xsi:type="dcterms:W3CDTF">2023-07-10T09:43:00Z</dcterms:modified>
</cp:coreProperties>
</file>