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415116" w14:textId="598C4843" w:rsidR="00A95698" w:rsidRDefault="00A95698" w:rsidP="00A95698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Additional file 2: </w:t>
      </w:r>
      <w:r w:rsidR="00584878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Additional</w:t>
      </w:r>
      <w:r w:rsidRPr="00546426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Figures</w:t>
      </w:r>
    </w:p>
    <w:p w14:paraId="73244441" w14:textId="018FE1CB" w:rsidR="00A95698" w:rsidRPr="00546426" w:rsidRDefault="00A95698" w:rsidP="00A95698">
      <w:pPr>
        <w:spacing w:line="480" w:lineRule="auto"/>
        <w:jc w:val="both"/>
        <w:rPr>
          <w:rFonts w:ascii="Arial" w:hAnsi="Arial" w:cs="Arial"/>
          <w:color w:val="000000" w:themeColor="text1"/>
          <w:sz w:val="28"/>
          <w:szCs w:val="24"/>
          <w:lang w:val="en-US"/>
        </w:rPr>
      </w:pPr>
      <w:r>
        <w:rPr>
          <w:rFonts w:ascii="Arial" w:hAnsi="Arial" w:cs="Arial"/>
          <w:noProof/>
          <w:color w:val="000000" w:themeColor="text1"/>
          <w:sz w:val="28"/>
          <w:szCs w:val="24"/>
          <w:lang w:val="en-US"/>
        </w:rPr>
        <w:drawing>
          <wp:inline distT="0" distB="0" distL="0" distR="0" wp14:anchorId="3F246CF8" wp14:editId="049FCD33">
            <wp:extent cx="6176010" cy="2999740"/>
            <wp:effectExtent l="0" t="0" r="0" b="0"/>
            <wp:docPr id="16824683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010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86C7F6" w14:textId="77777777" w:rsidR="00A95698" w:rsidRDefault="00A95698" w:rsidP="00A95698">
      <w:pPr>
        <w:spacing w:line="360" w:lineRule="auto"/>
        <w:jc w:val="both"/>
        <w:rPr>
          <w:rFonts w:ascii="Arial" w:hAnsi="Arial" w:cs="Arial"/>
          <w:sz w:val="24"/>
          <w:lang w:val="en-US"/>
        </w:rPr>
      </w:pPr>
      <w:r w:rsidRPr="00A95698">
        <w:rPr>
          <w:rFonts w:ascii="Arial" w:hAnsi="Arial" w:cs="Arial"/>
          <w:b/>
          <w:bCs/>
          <w:sz w:val="24"/>
          <w:lang w:val="en-US"/>
        </w:rPr>
        <w:t>Figure S1:</w:t>
      </w:r>
      <w:r w:rsidRPr="00A95698">
        <w:rPr>
          <w:rFonts w:ascii="Arial" w:hAnsi="Arial" w:cs="Arial"/>
          <w:sz w:val="24"/>
          <w:lang w:val="en-US"/>
        </w:rPr>
        <w:t xml:space="preserve"> </w:t>
      </w:r>
      <w:r w:rsidRPr="00A95698">
        <w:rPr>
          <w:rFonts w:ascii="Arial" w:hAnsi="Arial" w:cs="Arial"/>
          <w:b/>
          <w:bCs/>
          <w:sz w:val="24"/>
          <w:lang w:val="en-US"/>
        </w:rPr>
        <w:t xml:space="preserve">Effect of HCA and RWP on primary human hepatocyte cell viability. </w:t>
      </w:r>
      <w:r w:rsidRPr="00A95698">
        <w:rPr>
          <w:rFonts w:ascii="Arial" w:hAnsi="Arial" w:cs="Arial"/>
          <w:sz w:val="24"/>
          <w:lang w:val="en-US"/>
        </w:rPr>
        <w:t>Primary human hepatocytes were treated with 500 µM HCA (</w:t>
      </w:r>
      <w:r w:rsidRPr="00A95698">
        <w:rPr>
          <w:rFonts w:ascii="Arial" w:hAnsi="Arial" w:cs="Arial"/>
          <w:b/>
          <w:bCs/>
          <w:sz w:val="24"/>
          <w:lang w:val="en-US"/>
        </w:rPr>
        <w:t>A</w:t>
      </w:r>
      <w:r w:rsidRPr="00A95698">
        <w:rPr>
          <w:rFonts w:ascii="Arial" w:hAnsi="Arial" w:cs="Arial"/>
          <w:sz w:val="24"/>
          <w:lang w:val="en-US"/>
        </w:rPr>
        <w:t>) or 200 </w:t>
      </w:r>
      <w:proofErr w:type="spellStart"/>
      <w:r w:rsidRPr="00A95698">
        <w:rPr>
          <w:rFonts w:ascii="Arial" w:hAnsi="Arial" w:cs="Arial"/>
          <w:sz w:val="24"/>
          <w:lang w:val="en-US"/>
        </w:rPr>
        <w:t>μg</w:t>
      </w:r>
      <w:proofErr w:type="spellEnd"/>
      <w:r w:rsidRPr="00A95698">
        <w:rPr>
          <w:rFonts w:ascii="Arial" w:hAnsi="Arial" w:cs="Arial"/>
          <w:sz w:val="24"/>
          <w:lang w:val="en-US"/>
        </w:rPr>
        <w:t>/mL RWP (</w:t>
      </w:r>
      <w:r w:rsidRPr="00A95698">
        <w:rPr>
          <w:rFonts w:ascii="Arial" w:hAnsi="Arial" w:cs="Arial"/>
          <w:b/>
          <w:bCs/>
          <w:sz w:val="24"/>
          <w:lang w:val="en-US"/>
        </w:rPr>
        <w:t>B</w:t>
      </w:r>
      <w:r w:rsidRPr="00A95698">
        <w:rPr>
          <w:rFonts w:ascii="Arial" w:hAnsi="Arial" w:cs="Arial"/>
          <w:sz w:val="24"/>
          <w:lang w:val="en-US"/>
        </w:rPr>
        <w:t>), and cell viability was assessed afte</w:t>
      </w:r>
      <w:bookmarkStart w:id="0" w:name="_GoBack"/>
      <w:bookmarkEnd w:id="0"/>
      <w:r w:rsidRPr="00A95698">
        <w:rPr>
          <w:rFonts w:ascii="Arial" w:hAnsi="Arial" w:cs="Arial"/>
          <w:sz w:val="24"/>
          <w:lang w:val="en-US"/>
        </w:rPr>
        <w:t xml:space="preserve">r 72 h exposure. The mean values ± SD of three independent experiments with four replicates in each are shown. Differences were not significant according to Student's t-test. </w:t>
      </w:r>
    </w:p>
    <w:p w14:paraId="622580A3" w14:textId="77777777" w:rsidR="00A95698" w:rsidRDefault="00A95698" w:rsidP="00A95698">
      <w:pPr>
        <w:spacing w:line="360" w:lineRule="auto"/>
        <w:jc w:val="both"/>
        <w:rPr>
          <w:rFonts w:ascii="Arial" w:hAnsi="Arial" w:cs="Arial"/>
          <w:sz w:val="24"/>
          <w:lang w:val="en-US"/>
        </w:rPr>
      </w:pPr>
    </w:p>
    <w:p w14:paraId="40727615" w14:textId="77777777" w:rsidR="00A95698" w:rsidRDefault="00A95698" w:rsidP="00A95698">
      <w:pPr>
        <w:spacing w:line="360" w:lineRule="auto"/>
        <w:jc w:val="both"/>
        <w:rPr>
          <w:rFonts w:ascii="Arial" w:hAnsi="Arial" w:cs="Arial"/>
          <w:sz w:val="24"/>
          <w:lang w:val="en-US"/>
        </w:rPr>
      </w:pPr>
    </w:p>
    <w:p w14:paraId="4F59E080" w14:textId="17FAEE24" w:rsidR="00A95698" w:rsidRPr="00A95698" w:rsidRDefault="00A95698" w:rsidP="00A95698">
      <w:pPr>
        <w:spacing w:line="360" w:lineRule="auto"/>
        <w:jc w:val="both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noProof/>
          <w:sz w:val="24"/>
          <w:lang w:val="en-US"/>
        </w:rPr>
        <w:lastRenderedPageBreak/>
        <w:drawing>
          <wp:inline distT="0" distB="0" distL="0" distR="0" wp14:anchorId="65A43636" wp14:editId="5F061EE6">
            <wp:extent cx="6476343" cy="3352800"/>
            <wp:effectExtent l="0" t="0" r="0" b="0"/>
            <wp:docPr id="108199102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653" cy="3362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28DE85" w14:textId="73F20323" w:rsidR="00A95698" w:rsidRPr="00A95698" w:rsidRDefault="00A95698" w:rsidP="00A95698">
      <w:pPr>
        <w:spacing w:line="360" w:lineRule="auto"/>
        <w:jc w:val="both"/>
        <w:rPr>
          <w:rFonts w:ascii="Arial" w:hAnsi="Arial" w:cs="Arial"/>
          <w:sz w:val="24"/>
          <w:lang w:val="en-US"/>
        </w:rPr>
      </w:pPr>
      <w:r w:rsidRPr="00A95698">
        <w:rPr>
          <w:rFonts w:ascii="Arial" w:hAnsi="Arial" w:cs="Arial"/>
          <w:b/>
          <w:bCs/>
          <w:sz w:val="24"/>
          <w:lang w:val="en-US"/>
        </w:rPr>
        <w:t>Figure S2:</w:t>
      </w:r>
      <w:r w:rsidRPr="00A95698">
        <w:rPr>
          <w:rFonts w:ascii="Arial" w:hAnsi="Arial" w:cs="Arial"/>
          <w:sz w:val="24"/>
          <w:lang w:val="en-US"/>
        </w:rPr>
        <w:t xml:space="preserve"> </w:t>
      </w:r>
      <w:r w:rsidRPr="00A95698">
        <w:rPr>
          <w:rFonts w:ascii="Arial" w:hAnsi="Arial" w:cs="Arial"/>
          <w:b/>
          <w:bCs/>
          <w:sz w:val="24"/>
          <w:lang w:val="en-US"/>
        </w:rPr>
        <w:t xml:space="preserve">ACLY gene silencing reduces oxidative stress in TNFα triggered hepatocytes. </w:t>
      </w:r>
      <w:r w:rsidRPr="00A95698">
        <w:rPr>
          <w:rFonts w:ascii="Arial" w:hAnsi="Arial" w:cs="Arial"/>
          <w:sz w:val="24"/>
          <w:lang w:val="en-US"/>
        </w:rPr>
        <w:t>Primary human hepatocytes were transfected with siRNA targeting human ACLY (</w:t>
      </w:r>
      <w:proofErr w:type="spellStart"/>
      <w:r w:rsidRPr="00A95698">
        <w:rPr>
          <w:rFonts w:ascii="Arial" w:hAnsi="Arial" w:cs="Arial"/>
          <w:sz w:val="24"/>
          <w:lang w:val="en-US"/>
        </w:rPr>
        <w:t>siACLY</w:t>
      </w:r>
      <w:proofErr w:type="spellEnd"/>
      <w:r w:rsidRPr="00A95698">
        <w:rPr>
          <w:rFonts w:ascii="Arial" w:hAnsi="Arial" w:cs="Arial"/>
          <w:sz w:val="24"/>
          <w:lang w:val="en-US"/>
        </w:rPr>
        <w:t>) or control scramble siRNA for 48 h and then treated with 5 ng/mL TNFα. Following 24 h ROS (</w:t>
      </w:r>
      <w:r w:rsidRPr="00A95698">
        <w:rPr>
          <w:rFonts w:ascii="Arial" w:hAnsi="Arial" w:cs="Arial"/>
          <w:b/>
          <w:bCs/>
          <w:sz w:val="24"/>
          <w:lang w:val="en-US"/>
        </w:rPr>
        <w:t>A</w:t>
      </w:r>
      <w:r w:rsidRPr="00A95698">
        <w:rPr>
          <w:rFonts w:ascii="Arial" w:hAnsi="Arial" w:cs="Arial"/>
          <w:sz w:val="24"/>
          <w:lang w:val="en-US"/>
        </w:rPr>
        <w:t>) and MDA (</w:t>
      </w:r>
      <w:r w:rsidRPr="00A95698">
        <w:rPr>
          <w:rFonts w:ascii="Arial" w:hAnsi="Arial" w:cs="Arial"/>
          <w:b/>
          <w:bCs/>
          <w:sz w:val="24"/>
          <w:lang w:val="en-US"/>
        </w:rPr>
        <w:t>B</w:t>
      </w:r>
      <w:r w:rsidRPr="00A95698">
        <w:rPr>
          <w:rFonts w:ascii="Arial" w:hAnsi="Arial" w:cs="Arial"/>
          <w:sz w:val="24"/>
          <w:lang w:val="en-US"/>
        </w:rPr>
        <w:t>) levels were measured. In (</w:t>
      </w:r>
      <w:r w:rsidRPr="00A95698">
        <w:rPr>
          <w:rFonts w:ascii="Arial" w:hAnsi="Arial" w:cs="Arial"/>
          <w:b/>
          <w:bCs/>
          <w:sz w:val="24"/>
          <w:lang w:val="en-US"/>
        </w:rPr>
        <w:t>A</w:t>
      </w:r>
      <w:r w:rsidRPr="00A95698">
        <w:rPr>
          <w:rFonts w:ascii="Arial" w:hAnsi="Arial" w:cs="Arial"/>
          <w:sz w:val="24"/>
          <w:lang w:val="en-US"/>
        </w:rPr>
        <w:t xml:space="preserve">) values are expressed as the percentage of unstimulated cells (C, set at 100%). Statistical significance of differences was evaluated by using one-way ANOVA followed by Tukey’s multiple comparison test. Different letters indicate significant differences between treatments at p &lt; 0.05. </w:t>
      </w:r>
    </w:p>
    <w:p w14:paraId="6C6CBC74" w14:textId="77777777" w:rsidR="00A95698" w:rsidRDefault="00A95698"/>
    <w:p w14:paraId="3053D561" w14:textId="77777777" w:rsidR="00A95698" w:rsidRDefault="00A95698"/>
    <w:p w14:paraId="39219B64" w14:textId="77777777" w:rsidR="00C52A4F" w:rsidRPr="00C52A4F" w:rsidRDefault="00C52A4F" w:rsidP="00C52A4F"/>
    <w:p w14:paraId="639DCD1F" w14:textId="77777777" w:rsidR="00C52A4F" w:rsidRPr="00C52A4F" w:rsidRDefault="00C52A4F" w:rsidP="00C52A4F"/>
    <w:p w14:paraId="370B6682" w14:textId="77777777" w:rsidR="00C52A4F" w:rsidRPr="00C52A4F" w:rsidRDefault="00C52A4F" w:rsidP="00C52A4F"/>
    <w:p w14:paraId="0028C3C8" w14:textId="77777777" w:rsidR="00C52A4F" w:rsidRPr="00C52A4F" w:rsidRDefault="00C52A4F" w:rsidP="00C52A4F"/>
    <w:p w14:paraId="02F8CDB4" w14:textId="77777777" w:rsidR="00C52A4F" w:rsidRPr="00C52A4F" w:rsidRDefault="00C52A4F" w:rsidP="00C52A4F"/>
    <w:p w14:paraId="53308E90" w14:textId="77777777" w:rsidR="00C52A4F" w:rsidRPr="00C52A4F" w:rsidRDefault="00C52A4F" w:rsidP="00C52A4F"/>
    <w:p w14:paraId="325655E1" w14:textId="77777777" w:rsidR="00C52A4F" w:rsidRPr="00C52A4F" w:rsidRDefault="00C52A4F" w:rsidP="00C52A4F"/>
    <w:p w14:paraId="10EF9705" w14:textId="77777777" w:rsidR="00C52A4F" w:rsidRDefault="00C52A4F" w:rsidP="00C52A4F"/>
    <w:p w14:paraId="78CC0FC7" w14:textId="77777777" w:rsidR="00C52A4F" w:rsidRPr="00A95698" w:rsidRDefault="00C52A4F" w:rsidP="00C52A4F">
      <w:pPr>
        <w:spacing w:line="360" w:lineRule="auto"/>
        <w:jc w:val="both"/>
        <w:rPr>
          <w:rFonts w:ascii="Arial" w:hAnsi="Arial" w:cs="Arial"/>
          <w:sz w:val="24"/>
          <w:lang w:val="en-US"/>
        </w:rPr>
      </w:pPr>
      <w:r w:rsidRPr="00A95698">
        <w:rPr>
          <w:rFonts w:ascii="Arial" w:hAnsi="Arial" w:cs="Arial"/>
          <w:sz w:val="24"/>
          <w:lang w:val="en-US"/>
        </w:rPr>
        <w:t xml:space="preserve">05. </w:t>
      </w:r>
    </w:p>
    <w:p w14:paraId="478646D8" w14:textId="79975979" w:rsidR="00C52A4F" w:rsidRDefault="00643988" w:rsidP="00C52A4F">
      <w:r>
        <w:rPr>
          <w:noProof/>
          <w:lang w:val="en-US"/>
        </w:rPr>
        <w:lastRenderedPageBreak/>
        <w:drawing>
          <wp:inline distT="0" distB="0" distL="0" distR="0" wp14:anchorId="3E506A46" wp14:editId="44A31E6A">
            <wp:extent cx="6102350" cy="8047355"/>
            <wp:effectExtent l="0" t="0" r="0" b="0"/>
            <wp:docPr id="1427064813" name="Immagine 2" descr="Immagine che contiene schermata, arte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064813" name="Immagine 2" descr="Immagine che contiene schermata, arte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8047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58A88F" w14:textId="1E7FC725" w:rsidR="00C52A4F" w:rsidRPr="00A95698" w:rsidRDefault="00C52A4F" w:rsidP="00C52A4F">
      <w:pPr>
        <w:spacing w:line="360" w:lineRule="auto"/>
        <w:jc w:val="both"/>
        <w:rPr>
          <w:rFonts w:ascii="Arial" w:hAnsi="Arial" w:cs="Arial"/>
          <w:sz w:val="24"/>
          <w:lang w:val="en-US"/>
        </w:rPr>
      </w:pPr>
      <w:r w:rsidRPr="00A95698">
        <w:rPr>
          <w:rFonts w:ascii="Arial" w:hAnsi="Arial" w:cs="Arial"/>
          <w:b/>
          <w:bCs/>
          <w:sz w:val="24"/>
          <w:lang w:val="en-US"/>
        </w:rPr>
        <w:t>Figure S</w:t>
      </w:r>
      <w:r>
        <w:rPr>
          <w:rFonts w:ascii="Arial" w:hAnsi="Arial" w:cs="Arial"/>
          <w:b/>
          <w:bCs/>
          <w:sz w:val="24"/>
          <w:lang w:val="en-US"/>
        </w:rPr>
        <w:t>3</w:t>
      </w:r>
      <w:r w:rsidRPr="00A95698">
        <w:rPr>
          <w:rFonts w:ascii="Arial" w:hAnsi="Arial" w:cs="Arial"/>
          <w:b/>
          <w:bCs/>
          <w:sz w:val="24"/>
          <w:lang w:val="en-US"/>
        </w:rPr>
        <w:t>:</w:t>
      </w:r>
      <w:r w:rsidRPr="00A95698">
        <w:rPr>
          <w:rFonts w:ascii="Arial" w:hAnsi="Arial" w:cs="Arial"/>
          <w:sz w:val="24"/>
          <w:lang w:val="en-US"/>
        </w:rPr>
        <w:t xml:space="preserve"> </w:t>
      </w:r>
      <w:r w:rsidRPr="00A95698">
        <w:rPr>
          <w:rFonts w:ascii="Arial" w:hAnsi="Arial" w:cs="Arial"/>
          <w:b/>
          <w:bCs/>
          <w:sz w:val="24"/>
          <w:lang w:val="en-US"/>
        </w:rPr>
        <w:t xml:space="preserve">Effect of RWP on lipid accumulation and oxidative stress in TNFα triggered human hepatocytes. </w:t>
      </w:r>
      <w:r w:rsidRPr="00A95698">
        <w:rPr>
          <w:rFonts w:ascii="Arial" w:hAnsi="Arial" w:cs="Arial"/>
          <w:sz w:val="24"/>
          <w:lang w:val="en-US"/>
        </w:rPr>
        <w:t>HH cells were triggered by 5 ng/mL TNFα in the absence (TNFα) or in the presence of 200 </w:t>
      </w:r>
      <w:proofErr w:type="spellStart"/>
      <w:r w:rsidRPr="00A95698">
        <w:rPr>
          <w:rFonts w:ascii="Arial" w:hAnsi="Arial" w:cs="Arial"/>
          <w:sz w:val="24"/>
          <w:lang w:val="en-US"/>
        </w:rPr>
        <w:t>μg</w:t>
      </w:r>
      <w:proofErr w:type="spellEnd"/>
      <w:r w:rsidRPr="00A95698">
        <w:rPr>
          <w:rFonts w:ascii="Arial" w:hAnsi="Arial" w:cs="Arial"/>
          <w:sz w:val="24"/>
          <w:lang w:val="en-US"/>
        </w:rPr>
        <w:t xml:space="preserve">/mL RWP (TNFα + RWP). Unstimulated cells (C) were used as a </w:t>
      </w:r>
      <w:r w:rsidRPr="00A95698">
        <w:rPr>
          <w:rFonts w:ascii="Arial" w:hAnsi="Arial" w:cs="Arial"/>
          <w:sz w:val="24"/>
          <w:lang w:val="en-US"/>
        </w:rPr>
        <w:lastRenderedPageBreak/>
        <w:t>negative control. (</w:t>
      </w:r>
      <w:r w:rsidRPr="00A95698">
        <w:rPr>
          <w:rFonts w:ascii="Arial" w:hAnsi="Arial" w:cs="Arial"/>
          <w:b/>
          <w:bCs/>
          <w:sz w:val="24"/>
          <w:lang w:val="en-US"/>
        </w:rPr>
        <w:t>A</w:t>
      </w:r>
      <w:r w:rsidRPr="00A95698">
        <w:rPr>
          <w:rFonts w:ascii="Arial" w:hAnsi="Arial" w:cs="Arial"/>
          <w:sz w:val="24"/>
          <w:lang w:val="en-US"/>
        </w:rPr>
        <w:t>)  Representative photomicrographs of intracellular lipids staining from three separate experiments. (</w:t>
      </w:r>
      <w:r w:rsidRPr="00A95698">
        <w:rPr>
          <w:rFonts w:ascii="Arial" w:hAnsi="Arial" w:cs="Arial"/>
          <w:b/>
          <w:bCs/>
          <w:sz w:val="24"/>
          <w:lang w:val="en-US"/>
        </w:rPr>
        <w:t>B</w:t>
      </w:r>
      <w:r w:rsidRPr="00A95698">
        <w:rPr>
          <w:rFonts w:ascii="Arial" w:hAnsi="Arial" w:cs="Arial"/>
          <w:sz w:val="24"/>
          <w:lang w:val="en-US"/>
        </w:rPr>
        <w:t xml:space="preserve">) Quantitative assessment of Oil Red O staining. In </w:t>
      </w:r>
      <w:r w:rsidRPr="00A95698">
        <w:rPr>
          <w:rFonts w:ascii="Arial" w:hAnsi="Arial" w:cs="Arial"/>
          <w:b/>
          <w:bCs/>
          <w:sz w:val="24"/>
          <w:lang w:val="en-US"/>
        </w:rPr>
        <w:t>(C-D)</w:t>
      </w:r>
      <w:r w:rsidRPr="00A95698">
        <w:rPr>
          <w:rFonts w:ascii="Arial" w:hAnsi="Arial" w:cs="Arial"/>
          <w:sz w:val="24"/>
          <w:lang w:val="en-US"/>
        </w:rPr>
        <w:t xml:space="preserve"> TNFα + RWP cells were cotreated with 5 mM sodium acetate (Ac) or 5 mM sodium malate (M) alone or in combination with 500 </w:t>
      </w:r>
      <w:proofErr w:type="spellStart"/>
      <w:r w:rsidRPr="00A95698">
        <w:rPr>
          <w:rFonts w:ascii="Arial" w:hAnsi="Arial" w:cs="Arial"/>
          <w:sz w:val="24"/>
          <w:lang w:val="en-US"/>
        </w:rPr>
        <w:t>μM</w:t>
      </w:r>
      <w:proofErr w:type="spellEnd"/>
      <w:r w:rsidRPr="00A95698">
        <w:rPr>
          <w:rFonts w:ascii="Arial" w:hAnsi="Arial" w:cs="Arial"/>
          <w:sz w:val="24"/>
          <w:lang w:val="en-US"/>
        </w:rPr>
        <w:t xml:space="preserve"> NADPH for 24 h and ROS (</w:t>
      </w:r>
      <w:r w:rsidRPr="00A95698">
        <w:rPr>
          <w:rFonts w:ascii="Arial" w:hAnsi="Arial" w:cs="Arial"/>
          <w:b/>
          <w:bCs/>
          <w:sz w:val="24"/>
          <w:lang w:val="en-US"/>
        </w:rPr>
        <w:t>C</w:t>
      </w:r>
      <w:r w:rsidRPr="00A95698">
        <w:rPr>
          <w:rFonts w:ascii="Arial" w:hAnsi="Arial" w:cs="Arial"/>
          <w:sz w:val="24"/>
          <w:lang w:val="en-US"/>
        </w:rPr>
        <w:t>) and MDA (</w:t>
      </w:r>
      <w:r w:rsidRPr="00A95698">
        <w:rPr>
          <w:rFonts w:ascii="Arial" w:hAnsi="Arial" w:cs="Arial"/>
          <w:b/>
          <w:bCs/>
          <w:sz w:val="24"/>
          <w:lang w:val="en-US"/>
        </w:rPr>
        <w:t>D</w:t>
      </w:r>
      <w:r w:rsidRPr="00A95698">
        <w:rPr>
          <w:rFonts w:ascii="Arial" w:hAnsi="Arial" w:cs="Arial"/>
          <w:sz w:val="24"/>
          <w:lang w:val="en-US"/>
        </w:rPr>
        <w:t>) levels were measured. ROS were expressed as the percentage of C, set at 100%. Data are shown as mean ± SD (error bars) and derived from 3 experiments with at least three replicates in each. Statistical significance of difference was evaluated in (</w:t>
      </w:r>
      <w:r w:rsidRPr="00A95698">
        <w:rPr>
          <w:rFonts w:ascii="Arial" w:hAnsi="Arial" w:cs="Arial"/>
          <w:b/>
          <w:bCs/>
          <w:sz w:val="24"/>
          <w:lang w:val="en-US"/>
        </w:rPr>
        <w:t>B-D</w:t>
      </w:r>
      <w:r w:rsidRPr="00A95698">
        <w:rPr>
          <w:rFonts w:ascii="Arial" w:hAnsi="Arial" w:cs="Arial"/>
          <w:sz w:val="24"/>
          <w:lang w:val="en-US"/>
        </w:rPr>
        <w:t>) by using one-way ANOVA followed by Tukey’s multiple comparison test and different letters indicate significant differences between treatments at p &lt; 0.05.</w:t>
      </w:r>
    </w:p>
    <w:p w14:paraId="472F3333" w14:textId="5AB847EF" w:rsidR="00C52A4F" w:rsidRDefault="00C52A4F" w:rsidP="00C52A4F">
      <w:pPr>
        <w:rPr>
          <w:lang w:val="en-US"/>
        </w:rPr>
      </w:pPr>
    </w:p>
    <w:p w14:paraId="48D71B43" w14:textId="77777777" w:rsidR="00C52A4F" w:rsidRDefault="00C52A4F" w:rsidP="00C52A4F">
      <w:pPr>
        <w:rPr>
          <w:lang w:val="en-US"/>
        </w:rPr>
      </w:pPr>
    </w:p>
    <w:p w14:paraId="0014FA99" w14:textId="77777777" w:rsidR="00C52A4F" w:rsidRDefault="00C52A4F" w:rsidP="00C52A4F">
      <w:pPr>
        <w:rPr>
          <w:lang w:val="en-US"/>
        </w:rPr>
      </w:pPr>
    </w:p>
    <w:p w14:paraId="547AD1EA" w14:textId="77777777" w:rsidR="00C52A4F" w:rsidRDefault="00C52A4F" w:rsidP="00C52A4F">
      <w:pPr>
        <w:rPr>
          <w:lang w:val="en-US"/>
        </w:rPr>
      </w:pPr>
    </w:p>
    <w:p w14:paraId="09206518" w14:textId="77777777" w:rsidR="00C52A4F" w:rsidRDefault="00C52A4F" w:rsidP="00C52A4F">
      <w:pPr>
        <w:rPr>
          <w:lang w:val="en-US"/>
        </w:rPr>
      </w:pPr>
    </w:p>
    <w:p w14:paraId="496B0E4E" w14:textId="77777777" w:rsidR="00C52A4F" w:rsidRDefault="00C52A4F" w:rsidP="00C52A4F">
      <w:pPr>
        <w:rPr>
          <w:lang w:val="en-US"/>
        </w:rPr>
      </w:pPr>
    </w:p>
    <w:p w14:paraId="36D53BEB" w14:textId="77777777" w:rsidR="00C52A4F" w:rsidRDefault="00C52A4F" w:rsidP="00C52A4F">
      <w:pPr>
        <w:rPr>
          <w:lang w:val="en-US"/>
        </w:rPr>
      </w:pPr>
    </w:p>
    <w:p w14:paraId="1C4DB1D4" w14:textId="77777777" w:rsidR="00C52A4F" w:rsidRDefault="00C52A4F" w:rsidP="00C52A4F">
      <w:pPr>
        <w:rPr>
          <w:lang w:val="en-US"/>
        </w:rPr>
      </w:pPr>
    </w:p>
    <w:p w14:paraId="38373F46" w14:textId="77777777" w:rsidR="00C52A4F" w:rsidRDefault="00C52A4F" w:rsidP="00C52A4F">
      <w:pPr>
        <w:rPr>
          <w:lang w:val="en-US"/>
        </w:rPr>
      </w:pPr>
    </w:p>
    <w:p w14:paraId="559ECEE9" w14:textId="77777777" w:rsidR="00C52A4F" w:rsidRDefault="00C52A4F" w:rsidP="00C52A4F">
      <w:pPr>
        <w:rPr>
          <w:lang w:val="en-US"/>
        </w:rPr>
      </w:pPr>
    </w:p>
    <w:p w14:paraId="40A16751" w14:textId="77777777" w:rsidR="00C52A4F" w:rsidRDefault="00C52A4F" w:rsidP="00C52A4F">
      <w:pPr>
        <w:rPr>
          <w:lang w:val="en-US"/>
        </w:rPr>
      </w:pPr>
    </w:p>
    <w:p w14:paraId="62912634" w14:textId="77777777" w:rsidR="00C52A4F" w:rsidRDefault="00C52A4F" w:rsidP="00C52A4F">
      <w:pPr>
        <w:rPr>
          <w:lang w:val="en-US"/>
        </w:rPr>
      </w:pPr>
    </w:p>
    <w:p w14:paraId="691680D4" w14:textId="77777777" w:rsidR="00C52A4F" w:rsidRPr="00C52A4F" w:rsidRDefault="00C52A4F" w:rsidP="00C52A4F">
      <w:pPr>
        <w:rPr>
          <w:lang w:val="en-US"/>
        </w:rPr>
      </w:pPr>
    </w:p>
    <w:p w14:paraId="035FE535" w14:textId="5DA8B232" w:rsidR="00A95698" w:rsidRDefault="00A95698">
      <w:r w:rsidRPr="00A95698">
        <w:rPr>
          <w:noProof/>
          <w:lang w:val="en-US"/>
        </w:rPr>
        <w:lastRenderedPageBreak/>
        <w:drawing>
          <wp:inline distT="0" distB="0" distL="0" distR="0" wp14:anchorId="6274777A" wp14:editId="5B64F3DB">
            <wp:extent cx="6120130" cy="2994660"/>
            <wp:effectExtent l="0" t="0" r="0" b="0"/>
            <wp:docPr id="34146576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EB271" w14:textId="6F6E8CD6" w:rsidR="00A95698" w:rsidRPr="00A95698" w:rsidRDefault="00A95698" w:rsidP="00C52A4F">
      <w:pPr>
        <w:spacing w:line="360" w:lineRule="auto"/>
        <w:jc w:val="both"/>
        <w:rPr>
          <w:rFonts w:ascii="Arial" w:hAnsi="Arial" w:cs="Arial"/>
          <w:sz w:val="24"/>
          <w:lang w:val="en-US"/>
        </w:rPr>
      </w:pPr>
      <w:r w:rsidRPr="00A95698">
        <w:rPr>
          <w:rFonts w:ascii="Arial" w:hAnsi="Arial" w:cs="Arial"/>
          <w:b/>
          <w:bCs/>
          <w:sz w:val="24"/>
          <w:lang w:val="en-US"/>
        </w:rPr>
        <w:t>Figure S</w:t>
      </w:r>
      <w:r w:rsidR="00C52A4F">
        <w:rPr>
          <w:rFonts w:ascii="Arial" w:hAnsi="Arial" w:cs="Arial"/>
          <w:b/>
          <w:bCs/>
          <w:sz w:val="24"/>
          <w:lang w:val="en-US"/>
        </w:rPr>
        <w:t>4</w:t>
      </w:r>
      <w:r w:rsidRPr="00A95698">
        <w:rPr>
          <w:rFonts w:ascii="Arial" w:hAnsi="Arial" w:cs="Arial"/>
          <w:b/>
          <w:bCs/>
          <w:sz w:val="24"/>
          <w:lang w:val="en-US"/>
        </w:rPr>
        <w:t>:</w:t>
      </w:r>
      <w:r w:rsidRPr="00A95698">
        <w:rPr>
          <w:rFonts w:ascii="Arial" w:hAnsi="Arial" w:cs="Arial"/>
          <w:sz w:val="24"/>
          <w:lang w:val="en-US"/>
        </w:rPr>
        <w:t xml:space="preserve"> </w:t>
      </w:r>
      <w:r w:rsidRPr="00A95698">
        <w:rPr>
          <w:rFonts w:ascii="Arial" w:hAnsi="Arial" w:cs="Arial"/>
          <w:b/>
          <w:bCs/>
          <w:sz w:val="24"/>
          <w:lang w:val="en-US"/>
        </w:rPr>
        <w:t>ACLY-dependent NF-kB binding to ACLY gene.</w:t>
      </w:r>
      <w:r w:rsidRPr="00A95698">
        <w:rPr>
          <w:rFonts w:ascii="Arial" w:hAnsi="Arial" w:cs="Arial"/>
          <w:sz w:val="24"/>
          <w:lang w:val="en-US"/>
        </w:rPr>
        <w:t xml:space="preserve"> H</w:t>
      </w:r>
      <w:r>
        <w:rPr>
          <w:rFonts w:ascii="Arial" w:hAnsi="Arial" w:cs="Arial"/>
          <w:sz w:val="24"/>
          <w:lang w:val="en-US"/>
        </w:rPr>
        <w:t>epG2</w:t>
      </w:r>
      <w:r w:rsidRPr="00A95698">
        <w:rPr>
          <w:rFonts w:ascii="Arial" w:hAnsi="Arial" w:cs="Arial"/>
          <w:sz w:val="24"/>
          <w:lang w:val="en-US"/>
        </w:rPr>
        <w:t xml:space="preserve"> cells were transiently transfected for 48 h with pGL3 basic-LUC vectors containing the −3116/−20 bp full-length region of the ACLY gene promoter (3000) or a truncated version of this region (1000). Then, cells were triggered by 5 ng/mL TNFα in the absence (TN</w:t>
      </w:r>
      <w:r>
        <w:rPr>
          <w:rFonts w:ascii="Arial" w:hAnsi="Arial" w:cs="Arial"/>
          <w:sz w:val="24"/>
          <w:lang w:val="en-US"/>
        </w:rPr>
        <w:t>F</w:t>
      </w:r>
      <w:r w:rsidRPr="00A95698">
        <w:rPr>
          <w:rFonts w:ascii="Arial" w:hAnsi="Arial" w:cs="Arial"/>
          <w:sz w:val="24"/>
          <w:lang w:val="en-US"/>
        </w:rPr>
        <w:t xml:space="preserve">α) or in the presence of 20 </w:t>
      </w:r>
      <w:proofErr w:type="spellStart"/>
      <w:r w:rsidRPr="00A95698">
        <w:rPr>
          <w:rFonts w:ascii="Arial" w:hAnsi="Arial" w:cs="Arial"/>
          <w:sz w:val="24"/>
          <w:lang w:val="en-US"/>
        </w:rPr>
        <w:t>μM</w:t>
      </w:r>
      <w:proofErr w:type="spellEnd"/>
      <w:r w:rsidRPr="00A95698">
        <w:rPr>
          <w:rFonts w:ascii="Arial" w:hAnsi="Arial" w:cs="Arial"/>
          <w:sz w:val="24"/>
          <w:lang w:val="en-US"/>
        </w:rPr>
        <w:t xml:space="preserve"> </w:t>
      </w:r>
      <w:r w:rsidRPr="00A95698">
        <w:rPr>
          <w:rFonts w:ascii="Arial" w:hAnsi="Arial" w:cs="Arial"/>
          <w:bCs/>
          <w:sz w:val="24"/>
          <w:lang w:val="en-US"/>
        </w:rPr>
        <w:t xml:space="preserve">IKK inhibitor VII </w:t>
      </w:r>
      <w:r w:rsidRPr="00A95698">
        <w:rPr>
          <w:rFonts w:ascii="Arial" w:hAnsi="Arial" w:cs="Arial"/>
          <w:sz w:val="24"/>
          <w:lang w:val="en-US"/>
        </w:rPr>
        <w:t>(IKK 16) (TNFα + IKK 16). The luciferase gene reporter activity was assessed after 24 hours. Data were analyzed by one-way ANOVA followed by Tukey’s multiple comparison test. Different letters indicate significant differences between treatments at p &lt; 0.</w:t>
      </w:r>
    </w:p>
    <w:p w14:paraId="0C47B499" w14:textId="77777777" w:rsidR="00A95698" w:rsidRDefault="00A95698" w:rsidP="00A95698">
      <w:pPr>
        <w:rPr>
          <w:lang w:val="en-US"/>
        </w:rPr>
      </w:pPr>
    </w:p>
    <w:p w14:paraId="3AFB7278" w14:textId="77777777" w:rsidR="00C52A4F" w:rsidRDefault="00C52A4F" w:rsidP="00A95698">
      <w:pPr>
        <w:rPr>
          <w:lang w:val="en-US"/>
        </w:rPr>
      </w:pPr>
    </w:p>
    <w:p w14:paraId="09FE1191" w14:textId="77777777" w:rsidR="00C52A4F" w:rsidRDefault="00C52A4F" w:rsidP="00A95698">
      <w:pPr>
        <w:rPr>
          <w:lang w:val="en-US"/>
        </w:rPr>
      </w:pPr>
    </w:p>
    <w:p w14:paraId="2FAE5949" w14:textId="77777777" w:rsidR="00C52A4F" w:rsidRDefault="00C52A4F" w:rsidP="00A95698">
      <w:pPr>
        <w:rPr>
          <w:lang w:val="en-US"/>
        </w:rPr>
      </w:pPr>
    </w:p>
    <w:p w14:paraId="0811EC95" w14:textId="77777777" w:rsidR="00C52A4F" w:rsidRDefault="00C52A4F" w:rsidP="00A95698">
      <w:pPr>
        <w:rPr>
          <w:lang w:val="en-US"/>
        </w:rPr>
      </w:pPr>
    </w:p>
    <w:p w14:paraId="4F52A1B0" w14:textId="77777777" w:rsidR="00C52A4F" w:rsidRDefault="00C52A4F" w:rsidP="00A95698">
      <w:pPr>
        <w:rPr>
          <w:lang w:val="en-US"/>
        </w:rPr>
      </w:pPr>
    </w:p>
    <w:p w14:paraId="321F47A8" w14:textId="77777777" w:rsidR="00C52A4F" w:rsidRDefault="00C52A4F" w:rsidP="00A95698">
      <w:pPr>
        <w:rPr>
          <w:lang w:val="en-US"/>
        </w:rPr>
      </w:pPr>
    </w:p>
    <w:p w14:paraId="06387C92" w14:textId="77777777" w:rsidR="00C52A4F" w:rsidRDefault="00C52A4F" w:rsidP="00A95698">
      <w:pPr>
        <w:rPr>
          <w:lang w:val="en-US"/>
        </w:rPr>
      </w:pPr>
    </w:p>
    <w:p w14:paraId="30AACF5A" w14:textId="77777777" w:rsidR="00C52A4F" w:rsidRDefault="00C52A4F" w:rsidP="00A95698">
      <w:pPr>
        <w:rPr>
          <w:lang w:val="en-US"/>
        </w:rPr>
      </w:pPr>
    </w:p>
    <w:p w14:paraId="1E99DC1E" w14:textId="77777777" w:rsidR="00C52A4F" w:rsidRDefault="00C52A4F" w:rsidP="00A95698">
      <w:pPr>
        <w:rPr>
          <w:lang w:val="en-US"/>
        </w:rPr>
      </w:pPr>
    </w:p>
    <w:p w14:paraId="405096ED" w14:textId="77777777" w:rsidR="00C52A4F" w:rsidRDefault="00C52A4F" w:rsidP="00A95698">
      <w:pPr>
        <w:rPr>
          <w:lang w:val="en-US"/>
        </w:rPr>
      </w:pPr>
    </w:p>
    <w:p w14:paraId="6277D45E" w14:textId="77777777" w:rsidR="006313FB" w:rsidRDefault="006313FB" w:rsidP="00A95698">
      <w:pPr>
        <w:rPr>
          <w:lang w:val="en-US"/>
        </w:rPr>
      </w:pPr>
    </w:p>
    <w:p w14:paraId="6B2DF31E" w14:textId="77777777" w:rsidR="006313FB" w:rsidRDefault="006313FB" w:rsidP="00A95698">
      <w:pPr>
        <w:rPr>
          <w:lang w:val="en-US"/>
        </w:rPr>
      </w:pPr>
    </w:p>
    <w:p w14:paraId="32FF3521" w14:textId="2A1B0F7D" w:rsidR="00C52A4F" w:rsidRDefault="006313FB" w:rsidP="00A95698">
      <w:pPr>
        <w:rPr>
          <w:noProof/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4F746CC" wp14:editId="16052D61">
            <wp:extent cx="6492875" cy="3566160"/>
            <wp:effectExtent l="0" t="0" r="0" b="0"/>
            <wp:docPr id="89194053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875" cy="3566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FDF0DB" w14:textId="77777777" w:rsidR="006313FB" w:rsidRDefault="006313FB" w:rsidP="006313FB">
      <w:pPr>
        <w:rPr>
          <w:noProof/>
          <w:lang w:val="en-US"/>
        </w:rPr>
      </w:pPr>
    </w:p>
    <w:p w14:paraId="2CEE2BB2" w14:textId="4FC599CB" w:rsidR="006313FB" w:rsidRPr="007F3C14" w:rsidRDefault="006313FB" w:rsidP="00A62B7A">
      <w:pPr>
        <w:spacing w:line="360" w:lineRule="auto"/>
        <w:jc w:val="both"/>
        <w:rPr>
          <w:rFonts w:ascii="Arial" w:hAnsi="Arial" w:cs="Arial"/>
          <w:sz w:val="24"/>
          <w:lang w:val="en-US"/>
        </w:rPr>
      </w:pPr>
      <w:bookmarkStart w:id="1" w:name="_Hlk141184005"/>
      <w:r w:rsidRPr="00A95698">
        <w:rPr>
          <w:rFonts w:ascii="Arial" w:hAnsi="Arial" w:cs="Arial"/>
          <w:b/>
          <w:bCs/>
          <w:sz w:val="24"/>
          <w:lang w:val="en-US"/>
        </w:rPr>
        <w:t>Figure S</w:t>
      </w:r>
      <w:r>
        <w:rPr>
          <w:rFonts w:ascii="Arial" w:hAnsi="Arial" w:cs="Arial"/>
          <w:b/>
          <w:bCs/>
          <w:sz w:val="24"/>
          <w:lang w:val="en-US"/>
        </w:rPr>
        <w:t>5</w:t>
      </w:r>
      <w:r w:rsidRPr="00A95698">
        <w:rPr>
          <w:rFonts w:ascii="Arial" w:hAnsi="Arial" w:cs="Arial"/>
          <w:b/>
          <w:bCs/>
          <w:sz w:val="24"/>
          <w:lang w:val="en-US"/>
        </w:rPr>
        <w:t>:</w:t>
      </w:r>
      <w:r w:rsidRPr="00A95698">
        <w:rPr>
          <w:rFonts w:ascii="Arial" w:hAnsi="Arial" w:cs="Arial"/>
          <w:sz w:val="24"/>
          <w:lang w:val="en-US"/>
        </w:rPr>
        <w:t xml:space="preserve"> </w:t>
      </w:r>
      <w:r w:rsidR="00643988" w:rsidRPr="00643988">
        <w:rPr>
          <w:rFonts w:ascii="Arial" w:hAnsi="Arial" w:cs="Arial"/>
          <w:b/>
          <w:bCs/>
          <w:sz w:val="24"/>
          <w:lang w:val="en-US"/>
        </w:rPr>
        <w:t xml:space="preserve">RWP affected IL-6 and IL-1β pro-inflammatory cytokines secretion in human hepatocytes. </w:t>
      </w:r>
      <w:bookmarkEnd w:id="1"/>
      <w:r w:rsidRPr="007F3C14">
        <w:rPr>
          <w:rFonts w:ascii="Arial" w:hAnsi="Arial" w:cs="Arial"/>
          <w:sz w:val="24"/>
          <w:lang w:val="en-US"/>
        </w:rPr>
        <w:t>HH were treated with 5 ng/mL TNFα alone (TNFα) or combined with</w:t>
      </w:r>
      <w:r>
        <w:rPr>
          <w:rFonts w:ascii="Arial" w:hAnsi="Arial" w:cs="Arial"/>
          <w:sz w:val="24"/>
          <w:lang w:val="en-US"/>
        </w:rPr>
        <w:t xml:space="preserve"> </w:t>
      </w:r>
      <w:r w:rsidRPr="00A95698">
        <w:rPr>
          <w:rFonts w:ascii="Arial" w:hAnsi="Arial" w:cs="Arial"/>
          <w:sz w:val="24"/>
          <w:lang w:val="en-US"/>
        </w:rPr>
        <w:t>200 </w:t>
      </w:r>
      <w:proofErr w:type="spellStart"/>
      <w:r w:rsidRPr="00A95698">
        <w:rPr>
          <w:rFonts w:ascii="Arial" w:hAnsi="Arial" w:cs="Arial"/>
          <w:sz w:val="24"/>
          <w:lang w:val="en-US"/>
        </w:rPr>
        <w:t>μg</w:t>
      </w:r>
      <w:proofErr w:type="spellEnd"/>
      <w:r w:rsidRPr="00A95698">
        <w:rPr>
          <w:rFonts w:ascii="Arial" w:hAnsi="Arial" w:cs="Arial"/>
          <w:sz w:val="24"/>
          <w:lang w:val="en-US"/>
        </w:rPr>
        <w:t>/mL RWP (TNFα + RWP)</w:t>
      </w:r>
      <w:r w:rsidRPr="007F3C14">
        <w:rPr>
          <w:rFonts w:ascii="Arial" w:hAnsi="Arial" w:cs="Arial"/>
          <w:sz w:val="24"/>
          <w:lang w:val="en-US"/>
        </w:rPr>
        <w:t>. Unstimulated cells (C) were used as negative control. The concentrations of the proinflammatory cytokines IL-6 (</w:t>
      </w:r>
      <w:r w:rsidRPr="00643988">
        <w:rPr>
          <w:rFonts w:ascii="Arial" w:hAnsi="Arial" w:cs="Arial"/>
          <w:b/>
          <w:bCs/>
          <w:sz w:val="24"/>
          <w:lang w:val="en-US"/>
        </w:rPr>
        <w:t>A</w:t>
      </w:r>
      <w:r w:rsidRPr="007F3C14">
        <w:rPr>
          <w:rFonts w:ascii="Arial" w:hAnsi="Arial" w:cs="Arial"/>
          <w:sz w:val="24"/>
          <w:lang w:val="en-US"/>
        </w:rPr>
        <w:t>) and IL-1β (</w:t>
      </w:r>
      <w:r w:rsidRPr="00643988">
        <w:rPr>
          <w:rFonts w:ascii="Arial" w:hAnsi="Arial" w:cs="Arial"/>
          <w:b/>
          <w:bCs/>
          <w:sz w:val="24"/>
          <w:lang w:val="en-US"/>
        </w:rPr>
        <w:t>B</w:t>
      </w:r>
      <w:r w:rsidRPr="007F3C14">
        <w:rPr>
          <w:rFonts w:ascii="Arial" w:hAnsi="Arial" w:cs="Arial"/>
          <w:sz w:val="24"/>
          <w:lang w:val="en-US"/>
        </w:rPr>
        <w:t xml:space="preserve">) were measured in free-cell culture supernatants following 24 h treatment with TNFα. Values represent the mean values ± SD of three independent experiments with three replicates in each. Statistical analysis was performed by one-way ANOVA followed by Tukey’s multiple comparison test. Different letters indicate significant differences between treatments at p &lt; 0.05. </w:t>
      </w:r>
    </w:p>
    <w:p w14:paraId="61D119E5" w14:textId="77777777" w:rsidR="006313FB" w:rsidRPr="006313FB" w:rsidRDefault="006313FB" w:rsidP="006313FB">
      <w:pPr>
        <w:rPr>
          <w:lang w:val="en-US"/>
        </w:rPr>
      </w:pPr>
    </w:p>
    <w:sectPr w:rsidR="006313FB" w:rsidRPr="006313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98"/>
    <w:rsid w:val="002277C1"/>
    <w:rsid w:val="00350C83"/>
    <w:rsid w:val="00584878"/>
    <w:rsid w:val="006313FB"/>
    <w:rsid w:val="00643988"/>
    <w:rsid w:val="00A62B7A"/>
    <w:rsid w:val="00A95698"/>
    <w:rsid w:val="00C5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FE3D2"/>
  <w15:chartTrackingRefBased/>
  <w15:docId w15:val="{CF04A007-9875-496F-9B47-A46A0DAB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6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Santarsiero</dc:creator>
  <cp:keywords/>
  <dc:description/>
  <cp:lastModifiedBy>Jini Mol</cp:lastModifiedBy>
  <cp:revision>8</cp:revision>
  <dcterms:created xsi:type="dcterms:W3CDTF">2023-07-25T11:21:00Z</dcterms:created>
  <dcterms:modified xsi:type="dcterms:W3CDTF">2023-08-16T21:02:00Z</dcterms:modified>
</cp:coreProperties>
</file>