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3AF" w:rsidRPr="00E60D39" w:rsidRDefault="001013AF" w:rsidP="001013A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</w:t>
      </w:r>
      <w:r w:rsidRPr="00E60D39">
        <w:rPr>
          <w:rFonts w:ascii="Times New Roman" w:hAnsi="Times New Roman" w:cs="Times New Roman"/>
          <w:b/>
          <w:sz w:val="24"/>
          <w:szCs w:val="24"/>
        </w:rPr>
        <w:t>data</w:t>
      </w:r>
    </w:p>
    <w:p w:rsidR="001013AF" w:rsidRDefault="001013AF" w:rsidP="001013AF">
      <w:pPr>
        <w:pStyle w:val="Caption"/>
        <w:keepNext/>
        <w:spacing w:line="480" w:lineRule="auto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Additional</w:t>
      </w:r>
      <w:r w:rsidRPr="00E60D39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 Mate</w:t>
      </w:r>
      <w:bookmarkStart w:id="0" w:name="_GoBack"/>
      <w:bookmarkEnd w:id="0"/>
      <w:r w:rsidRPr="00E60D39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rial and Methods</w:t>
      </w:r>
    </w:p>
    <w:p w:rsidR="001013AF" w:rsidRPr="00E60D39" w:rsidRDefault="001013AF" w:rsidP="001013AF">
      <w:pPr>
        <w:pStyle w:val="Style2"/>
        <w:numPr>
          <w:ilvl w:val="0"/>
          <w:numId w:val="0"/>
        </w:numPr>
        <w:spacing w:line="480" w:lineRule="auto"/>
        <w:rPr>
          <w:rFonts w:eastAsiaTheme="minorHAnsi"/>
          <w:szCs w:val="22"/>
          <w:lang w:eastAsia="en-US"/>
        </w:rPr>
      </w:pPr>
      <w:bookmarkStart w:id="1" w:name="_Hlk140243934"/>
      <w:r w:rsidRPr="00E60D39">
        <w:rPr>
          <w:rFonts w:eastAsiaTheme="minorHAnsi"/>
          <w:szCs w:val="22"/>
          <w:lang w:eastAsia="en-US"/>
        </w:rPr>
        <w:t>RNA extraction and RT-qPCR</w:t>
      </w:r>
    </w:p>
    <w:bookmarkEnd w:id="1"/>
    <w:p w:rsidR="001013AF" w:rsidRPr="00E60D39" w:rsidRDefault="001013AF" w:rsidP="001013AF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60D39">
        <w:rPr>
          <w:rFonts w:ascii="Times New Roman" w:hAnsi="Times New Roman" w:cs="Times New Roman"/>
          <w:sz w:val="20"/>
          <w:szCs w:val="20"/>
        </w:rPr>
        <w:t xml:space="preserve">The primers described in Supplementary Table 3 were designed using the “Primer Blast” tool from the NCBI website. </w:t>
      </w:r>
      <w:r w:rsidRPr="00E60D39">
        <w:rPr>
          <w:rFonts w:ascii="Times New Roman" w:eastAsia="Calibri" w:hAnsi="Times New Roman" w:cs="Times New Roman"/>
          <w:sz w:val="20"/>
          <w:szCs w:val="20"/>
        </w:rPr>
        <w:t xml:space="preserve">Reactions were performed in a </w:t>
      </w:r>
      <w:proofErr w:type="spellStart"/>
      <w:r w:rsidRPr="00E60D39">
        <w:rPr>
          <w:rFonts w:ascii="Times New Roman" w:eastAsia="Calibri" w:hAnsi="Times New Roman" w:cs="Times New Roman"/>
          <w:sz w:val="20"/>
          <w:szCs w:val="20"/>
        </w:rPr>
        <w:t>QuantStudio</w:t>
      </w:r>
      <w:proofErr w:type="spellEnd"/>
      <w:r w:rsidRPr="00E60D39">
        <w:rPr>
          <w:rFonts w:ascii="Times New Roman" w:eastAsia="Calibri" w:hAnsi="Times New Roman" w:cs="Times New Roman"/>
          <w:sz w:val="20"/>
          <w:szCs w:val="20"/>
        </w:rPr>
        <w:t xml:space="preserve"> 6 Real-Time PCR System, and amplification was carried out in a 384-well reaction plate as follows: 95°C for 10 minutes, followed by 40 cycles of 95°C for 15 seconds and 60°C for 1 minute. The limit of quantification values was set at 33 cycles. </w:t>
      </w:r>
      <w:r w:rsidRPr="00E60D39">
        <w:rPr>
          <w:rFonts w:ascii="Times New Roman" w:eastAsia="Calibri" w:hAnsi="Times New Roman" w:cs="Times New Roman"/>
          <w:color w:val="0D0D0D"/>
          <w:sz w:val="20"/>
          <w:szCs w:val="20"/>
        </w:rPr>
        <w:t>Each sample was analyzed in duplicate, and a negative control was prepared by using the same amount of total RNA without adding the enzyme transcriptase reverse.</w:t>
      </w:r>
    </w:p>
    <w:p w:rsidR="001013AF" w:rsidRPr="00700EC6" w:rsidRDefault="001013AF" w:rsidP="001013AF">
      <w:pPr>
        <w:rPr>
          <w:i/>
        </w:rPr>
      </w:pPr>
    </w:p>
    <w:p w:rsidR="001013AF" w:rsidRPr="00E60D39" w:rsidRDefault="001013AF" w:rsidP="001013AF">
      <w:pPr>
        <w:widowControl w:val="0"/>
        <w:autoSpaceDE w:val="0"/>
        <w:autoSpaceDN w:val="0"/>
        <w:adjustRightInd w:val="0"/>
        <w:spacing w:before="120" w:line="480" w:lineRule="auto"/>
        <w:jc w:val="both"/>
        <w:rPr>
          <w:rFonts w:ascii="Times New Roman" w:hAnsi="Times New Roman" w:cs="Times New Roman"/>
          <w:b/>
          <w:sz w:val="24"/>
        </w:rPr>
      </w:pPr>
      <w:r w:rsidRPr="00E60D39">
        <w:rPr>
          <w:rFonts w:ascii="Times New Roman" w:hAnsi="Times New Roman" w:cs="Times New Roman"/>
          <w:b/>
          <w:sz w:val="24"/>
        </w:rPr>
        <w:t>Proteomic</w:t>
      </w:r>
    </w:p>
    <w:p w:rsidR="001013AF" w:rsidRPr="00E60D39" w:rsidRDefault="001013AF" w:rsidP="001013AF">
      <w:pPr>
        <w:widowControl w:val="0"/>
        <w:autoSpaceDE w:val="0"/>
        <w:autoSpaceDN w:val="0"/>
        <w:adjustRightInd w:val="0"/>
        <w:spacing w:before="120" w:line="480" w:lineRule="auto"/>
        <w:jc w:val="both"/>
        <w:rPr>
          <w:rFonts w:ascii="Times New Roman" w:eastAsia="Times New Roman" w:hAnsi="Times New Roman" w:cs="Times New Roman"/>
          <w:i/>
          <w:iCs/>
          <w:color w:val="131413"/>
          <w:sz w:val="20"/>
          <w:szCs w:val="20"/>
          <w:lang w:eastAsia="en-ZW"/>
        </w:rPr>
      </w:pPr>
      <w:r w:rsidRPr="00E60D39">
        <w:rPr>
          <w:rFonts w:ascii="Times New Roman" w:eastAsia="Times New Roman" w:hAnsi="Times New Roman" w:cs="Times New Roman"/>
          <w:i/>
          <w:iCs/>
          <w:color w:val="131413"/>
          <w:sz w:val="20"/>
          <w:szCs w:val="20"/>
          <w:lang w:eastAsia="en-ZW"/>
        </w:rPr>
        <w:t>Sample preparation</w:t>
      </w:r>
    </w:p>
    <w:p w:rsidR="001013AF" w:rsidRPr="00E60D39" w:rsidRDefault="001013AF" w:rsidP="001013AF">
      <w:pPr>
        <w:widowControl w:val="0"/>
        <w:autoSpaceDE w:val="0"/>
        <w:autoSpaceDN w:val="0"/>
        <w:adjustRightInd w:val="0"/>
        <w:spacing w:before="120" w:line="480" w:lineRule="auto"/>
        <w:jc w:val="both"/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</w:pPr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 xml:space="preserve">Protein samples were separated by SDS-PAGE 12% and stained by </w:t>
      </w:r>
      <w:proofErr w:type="spellStart"/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>Coomassie</w:t>
      </w:r>
      <w:proofErr w:type="spellEnd"/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 xml:space="preserve">. Gel lanes were quantified by densitometry and cut between 55-120 </w:t>
      </w:r>
      <w:proofErr w:type="spellStart"/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>kDa</w:t>
      </w:r>
      <w:proofErr w:type="spellEnd"/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 xml:space="preserve">. Gel bands were digested with sequencing-grade trypsin. Extracted tryptic peptides were dried and </w:t>
      </w:r>
      <w:proofErr w:type="spellStart"/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>resuspended</w:t>
      </w:r>
      <w:proofErr w:type="spellEnd"/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 xml:space="preserve"> in 0.05% </w:t>
      </w:r>
      <w:proofErr w:type="spellStart"/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>trifluoroacetic</w:t>
      </w:r>
      <w:proofErr w:type="spellEnd"/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 xml:space="preserve"> acid, 2% (v/v) acetonitrile.</w:t>
      </w:r>
    </w:p>
    <w:p w:rsidR="001013AF" w:rsidRPr="00E60D39" w:rsidRDefault="001013AF" w:rsidP="001013AF">
      <w:pPr>
        <w:rPr>
          <w:rFonts w:ascii="Times New Roman" w:eastAsia="Times New Roman" w:hAnsi="Times New Roman" w:cs="Times New Roman"/>
          <w:i/>
          <w:iCs/>
          <w:color w:val="131413"/>
          <w:sz w:val="20"/>
          <w:szCs w:val="20"/>
          <w:lang w:eastAsia="en-ZW"/>
        </w:rPr>
      </w:pPr>
    </w:p>
    <w:p w:rsidR="001013AF" w:rsidRPr="00E60D39" w:rsidRDefault="001013AF" w:rsidP="001013AF">
      <w:pPr>
        <w:widowControl w:val="0"/>
        <w:autoSpaceDE w:val="0"/>
        <w:autoSpaceDN w:val="0"/>
        <w:adjustRightInd w:val="0"/>
        <w:spacing w:before="120" w:line="480" w:lineRule="auto"/>
        <w:jc w:val="both"/>
        <w:rPr>
          <w:rFonts w:ascii="Times New Roman" w:eastAsia="Times New Roman" w:hAnsi="Times New Roman" w:cs="Times New Roman"/>
          <w:i/>
          <w:iCs/>
          <w:color w:val="131413"/>
          <w:sz w:val="20"/>
          <w:szCs w:val="20"/>
          <w:lang w:eastAsia="en-ZW"/>
        </w:rPr>
      </w:pPr>
      <w:r w:rsidRPr="00E60D39">
        <w:rPr>
          <w:rFonts w:ascii="Times New Roman" w:eastAsia="Times New Roman" w:hAnsi="Times New Roman" w:cs="Times New Roman"/>
          <w:i/>
          <w:iCs/>
          <w:color w:val="131413"/>
          <w:sz w:val="20"/>
          <w:szCs w:val="20"/>
          <w:lang w:eastAsia="en-ZW"/>
        </w:rPr>
        <w:t xml:space="preserve">Mass spectrometry analyses </w:t>
      </w:r>
    </w:p>
    <w:p w:rsidR="001013AF" w:rsidRDefault="001013AF" w:rsidP="001013AF">
      <w:pPr>
        <w:widowControl w:val="0"/>
        <w:autoSpaceDE w:val="0"/>
        <w:autoSpaceDN w:val="0"/>
        <w:adjustRightInd w:val="0"/>
        <w:spacing w:before="120" w:line="480" w:lineRule="auto"/>
        <w:jc w:val="both"/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</w:pPr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 xml:space="preserve">Tryptic peptide mixtures were injected on an Ultimate RSLC 3000 </w:t>
      </w:r>
      <w:proofErr w:type="spellStart"/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>nanoHPLC</w:t>
      </w:r>
      <w:proofErr w:type="spellEnd"/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 xml:space="preserve"> system interfaced via a </w:t>
      </w:r>
      <w:proofErr w:type="spellStart"/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>nanospray</w:t>
      </w:r>
      <w:proofErr w:type="spellEnd"/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 xml:space="preserve"> Flex source to a high resolution </w:t>
      </w:r>
      <w:proofErr w:type="spellStart"/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>QExactive</w:t>
      </w:r>
      <w:proofErr w:type="spellEnd"/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 xml:space="preserve"> Plus mass spectrometer (</w:t>
      </w:r>
      <w:proofErr w:type="spellStart"/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>Thermo</w:t>
      </w:r>
      <w:proofErr w:type="spellEnd"/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 xml:space="preserve"> Scientific). Amounts injected were normalized based on gel densitometry results. Peptides were loaded onto a trapping </w:t>
      </w:r>
      <w:proofErr w:type="spellStart"/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>microcolumn</w:t>
      </w:r>
      <w:proofErr w:type="spellEnd"/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 xml:space="preserve"> Acclaim PepMap100 C18 (20 mm x 100 </w:t>
      </w:r>
      <w:proofErr w:type="spellStart"/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>μm</w:t>
      </w:r>
      <w:proofErr w:type="spellEnd"/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 xml:space="preserve"> ID, 5 </w:t>
      </w:r>
      <w:proofErr w:type="spellStart"/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>μm</w:t>
      </w:r>
      <w:proofErr w:type="spellEnd"/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 xml:space="preserve">, </w:t>
      </w:r>
      <w:proofErr w:type="spellStart"/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>Thermo</w:t>
      </w:r>
      <w:proofErr w:type="spellEnd"/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 xml:space="preserve"> Scientific) before separation on a C18 </w:t>
      </w:r>
      <w:r w:rsidRPr="00E60D39">
        <w:rPr>
          <w:rFonts w:ascii="Times New Roman" w:eastAsia="Times New Roman" w:hAnsi="Times New Roman" w:cs="Times New Roman"/>
          <w:sz w:val="20"/>
          <w:szCs w:val="20"/>
          <w:lang w:eastAsia="en-ZW"/>
        </w:rPr>
        <w:t xml:space="preserve">custom packed column (75 </w:t>
      </w:r>
      <w:proofErr w:type="spellStart"/>
      <w:r w:rsidRPr="00E60D39">
        <w:rPr>
          <w:rFonts w:ascii="Times New Roman" w:eastAsia="Times New Roman" w:hAnsi="Times New Roman" w:cs="Times New Roman"/>
          <w:sz w:val="20"/>
          <w:szCs w:val="20"/>
          <w:lang w:eastAsia="en-ZW"/>
        </w:rPr>
        <w:t>μm</w:t>
      </w:r>
      <w:proofErr w:type="spellEnd"/>
      <w:r w:rsidRPr="00E60D39">
        <w:rPr>
          <w:rFonts w:ascii="Times New Roman" w:eastAsia="Times New Roman" w:hAnsi="Times New Roman" w:cs="Times New Roman"/>
          <w:sz w:val="20"/>
          <w:szCs w:val="20"/>
          <w:lang w:eastAsia="en-ZW"/>
        </w:rPr>
        <w:t xml:space="preserve"> ID × 50 cm, 1.8 </w:t>
      </w:r>
      <w:proofErr w:type="spellStart"/>
      <w:r w:rsidRPr="00E60D39">
        <w:rPr>
          <w:rFonts w:ascii="Times New Roman" w:eastAsia="Times New Roman" w:hAnsi="Times New Roman" w:cs="Times New Roman"/>
          <w:sz w:val="20"/>
          <w:szCs w:val="20"/>
          <w:lang w:eastAsia="en-ZW"/>
        </w:rPr>
        <w:t>μm</w:t>
      </w:r>
      <w:proofErr w:type="spellEnd"/>
      <w:r w:rsidRPr="00E60D39">
        <w:rPr>
          <w:rFonts w:ascii="Times New Roman" w:eastAsia="Times New Roman" w:hAnsi="Times New Roman" w:cs="Times New Roman"/>
          <w:sz w:val="20"/>
          <w:szCs w:val="20"/>
          <w:lang w:eastAsia="en-ZW"/>
        </w:rPr>
        <w:t xml:space="preserve"> particles, </w:t>
      </w:r>
      <w:proofErr w:type="spellStart"/>
      <w:r w:rsidRPr="00E60D39">
        <w:rPr>
          <w:rFonts w:ascii="Times New Roman" w:eastAsia="Times New Roman" w:hAnsi="Times New Roman" w:cs="Times New Roman"/>
          <w:sz w:val="20"/>
          <w:szCs w:val="20"/>
          <w:lang w:eastAsia="en-ZW"/>
        </w:rPr>
        <w:t>Reprosil</w:t>
      </w:r>
      <w:proofErr w:type="spellEnd"/>
      <w:r w:rsidRPr="00E60D39">
        <w:rPr>
          <w:rFonts w:ascii="Times New Roman" w:eastAsia="Times New Roman" w:hAnsi="Times New Roman" w:cs="Times New Roman"/>
          <w:sz w:val="20"/>
          <w:szCs w:val="20"/>
          <w:lang w:eastAsia="en-ZW"/>
        </w:rPr>
        <w:t xml:space="preserve"> </w:t>
      </w:r>
      <w:proofErr w:type="spellStart"/>
      <w:r w:rsidRPr="00E60D39">
        <w:rPr>
          <w:rFonts w:ascii="Times New Roman" w:eastAsia="Times New Roman" w:hAnsi="Times New Roman" w:cs="Times New Roman"/>
          <w:sz w:val="20"/>
          <w:szCs w:val="20"/>
          <w:lang w:eastAsia="en-ZW"/>
        </w:rPr>
        <w:t>Pur</w:t>
      </w:r>
      <w:proofErr w:type="spellEnd"/>
      <w:r w:rsidRPr="00E60D39">
        <w:rPr>
          <w:rFonts w:ascii="Times New Roman" w:eastAsia="Times New Roman" w:hAnsi="Times New Roman" w:cs="Times New Roman"/>
          <w:sz w:val="20"/>
          <w:szCs w:val="20"/>
          <w:lang w:eastAsia="en-ZW"/>
        </w:rPr>
        <w:t xml:space="preserve">, Dr. </w:t>
      </w:r>
      <w:proofErr w:type="spellStart"/>
      <w:r w:rsidRPr="00E60D39">
        <w:rPr>
          <w:rFonts w:ascii="Times New Roman" w:eastAsia="Times New Roman" w:hAnsi="Times New Roman" w:cs="Times New Roman"/>
          <w:sz w:val="20"/>
          <w:szCs w:val="20"/>
          <w:lang w:eastAsia="en-ZW"/>
        </w:rPr>
        <w:t>Maisch</w:t>
      </w:r>
      <w:proofErr w:type="spellEnd"/>
      <w:r w:rsidRPr="00E60D39">
        <w:rPr>
          <w:rFonts w:ascii="Times New Roman" w:eastAsia="Times New Roman" w:hAnsi="Times New Roman" w:cs="Times New Roman"/>
          <w:sz w:val="20"/>
          <w:szCs w:val="20"/>
          <w:lang w:eastAsia="en-ZW"/>
        </w:rPr>
        <w:t>)</w:t>
      </w:r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 xml:space="preserve">, using a gradient from 4 to 76 % acetonitrile in 0.1 % formic acid for peptide separation (total time: 140 min). Full MS survey scans were performed at 70,000 resolution. In data-dependent acquisition controlled by </w:t>
      </w:r>
      <w:proofErr w:type="spellStart"/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>Xcalibur</w:t>
      </w:r>
      <w:proofErr w:type="spellEnd"/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 xml:space="preserve"> software  (</w:t>
      </w:r>
      <w:proofErr w:type="spellStart"/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>Thermo</w:t>
      </w:r>
      <w:proofErr w:type="spellEnd"/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 xml:space="preserve"> Scientific), the 10 most intense multiply charged precursor ions detected in the full MS survey scan were selected for higher energy collision-induced dissociation (HCD, normalized collision energy NCE=27 %) and analysis in the </w:t>
      </w:r>
      <w:proofErr w:type="spellStart"/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>orbitrap</w:t>
      </w:r>
      <w:proofErr w:type="spellEnd"/>
      <w:r w:rsidRPr="00E60D39"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  <w:t xml:space="preserve"> at 17’500 resolution. The window for precursor isolation was of 1.5 m/z units around the precursor and selected fragments were excluded for 60s from further analysis. </w:t>
      </w:r>
    </w:p>
    <w:p w:rsidR="001013AF" w:rsidRPr="00E60D39" w:rsidRDefault="001013AF" w:rsidP="001013AF">
      <w:pPr>
        <w:widowControl w:val="0"/>
        <w:autoSpaceDE w:val="0"/>
        <w:autoSpaceDN w:val="0"/>
        <w:adjustRightInd w:val="0"/>
        <w:spacing w:before="120" w:line="480" w:lineRule="auto"/>
        <w:jc w:val="both"/>
        <w:rPr>
          <w:rFonts w:ascii="Times New Roman" w:eastAsia="Times New Roman" w:hAnsi="Times New Roman" w:cs="Times New Roman"/>
          <w:color w:val="131413"/>
          <w:sz w:val="20"/>
          <w:szCs w:val="20"/>
          <w:lang w:eastAsia="en-ZW"/>
        </w:rPr>
      </w:pPr>
    </w:p>
    <w:p w:rsidR="001013AF" w:rsidRPr="00E60D39" w:rsidRDefault="001013AF" w:rsidP="001013AF">
      <w:pPr>
        <w:spacing w:before="120" w:line="48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en-ZW"/>
        </w:rPr>
      </w:pPr>
      <w:r w:rsidRPr="00E60D39">
        <w:rPr>
          <w:rFonts w:ascii="Times New Roman" w:eastAsia="Times New Roman" w:hAnsi="Times New Roman" w:cs="Times New Roman"/>
          <w:i/>
          <w:iCs/>
          <w:sz w:val="20"/>
          <w:szCs w:val="20"/>
          <w:lang w:eastAsia="en-ZW"/>
        </w:rPr>
        <w:t>Data analysis</w:t>
      </w:r>
    </w:p>
    <w:p w:rsidR="001013AF" w:rsidRDefault="001013AF" w:rsidP="001013AF">
      <w:pPr>
        <w:spacing w:before="120" w:line="48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en-ZW"/>
        </w:rPr>
      </w:pPr>
      <w:r w:rsidRPr="00E60D39">
        <w:rPr>
          <w:rFonts w:ascii="Times New Roman" w:eastAsia="Times New Roman" w:hAnsi="Times New Roman" w:cs="Times New Roman"/>
          <w:bCs/>
          <w:sz w:val="20"/>
          <w:szCs w:val="20"/>
          <w:lang w:eastAsia="en-ZW"/>
        </w:rPr>
        <w:t xml:space="preserve">Tandem MS data were processed by the </w:t>
      </w:r>
      <w:proofErr w:type="spellStart"/>
      <w:r w:rsidRPr="00E60D39">
        <w:rPr>
          <w:rFonts w:ascii="Times New Roman" w:eastAsia="Times New Roman" w:hAnsi="Times New Roman" w:cs="Times New Roman"/>
          <w:bCs/>
          <w:sz w:val="20"/>
          <w:szCs w:val="20"/>
          <w:lang w:eastAsia="en-ZW"/>
        </w:rPr>
        <w:t>MaxQuant</w:t>
      </w:r>
      <w:proofErr w:type="spellEnd"/>
      <w:r w:rsidRPr="00E60D39">
        <w:rPr>
          <w:rFonts w:ascii="Times New Roman" w:eastAsia="Times New Roman" w:hAnsi="Times New Roman" w:cs="Times New Roman"/>
          <w:bCs/>
          <w:sz w:val="20"/>
          <w:szCs w:val="20"/>
          <w:lang w:eastAsia="en-ZW"/>
        </w:rPr>
        <w:t xml:space="preserve"> software</w:t>
      </w:r>
      <w:r>
        <w:rPr>
          <w:rFonts w:ascii="Times New Roman" w:eastAsia="Times New Roman" w:hAnsi="Times New Roman" w:cs="Times New Roman"/>
          <w:bCs/>
          <w:noProof/>
          <w:sz w:val="20"/>
          <w:szCs w:val="20"/>
          <w:lang w:eastAsia="en-ZW"/>
        </w:rPr>
        <w:t>(46)</w:t>
      </w:r>
      <w:r w:rsidRPr="00E60D39">
        <w:rPr>
          <w:rFonts w:ascii="Times New Roman" w:eastAsia="Times New Roman" w:hAnsi="Times New Roman" w:cs="Times New Roman"/>
          <w:bCs/>
          <w:sz w:val="20"/>
          <w:szCs w:val="20"/>
          <w:lang w:eastAsia="en-ZW"/>
        </w:rPr>
        <w:t xml:space="preserve"> (version 1.6.3.4) incorporating the Andromeda search engine</w:t>
      </w:r>
      <w:r>
        <w:rPr>
          <w:rFonts w:ascii="Times New Roman" w:eastAsia="Times New Roman" w:hAnsi="Times New Roman" w:cs="Times New Roman"/>
          <w:bCs/>
          <w:noProof/>
          <w:sz w:val="20"/>
          <w:szCs w:val="20"/>
          <w:lang w:eastAsia="en-ZW"/>
        </w:rPr>
        <w:t>(47)</w:t>
      </w:r>
      <w:r w:rsidRPr="00E60D39">
        <w:rPr>
          <w:rFonts w:ascii="Times New Roman" w:eastAsia="Times New Roman" w:hAnsi="Times New Roman" w:cs="Times New Roman"/>
          <w:bCs/>
          <w:sz w:val="20"/>
          <w:szCs w:val="20"/>
          <w:lang w:eastAsia="en-ZW"/>
        </w:rPr>
        <w:t xml:space="preserve">. The </w:t>
      </w:r>
      <w:proofErr w:type="spellStart"/>
      <w:r w:rsidRPr="00E60D39">
        <w:rPr>
          <w:rFonts w:ascii="Times New Roman" w:eastAsia="Times New Roman" w:hAnsi="Times New Roman" w:cs="Times New Roman"/>
          <w:bCs/>
          <w:sz w:val="20"/>
          <w:szCs w:val="20"/>
          <w:lang w:eastAsia="en-ZW"/>
        </w:rPr>
        <w:t>UniProt</w:t>
      </w:r>
      <w:proofErr w:type="spellEnd"/>
      <w:r w:rsidRPr="00E60D39">
        <w:rPr>
          <w:rFonts w:ascii="Times New Roman" w:eastAsia="Times New Roman" w:hAnsi="Times New Roman" w:cs="Times New Roman"/>
          <w:bCs/>
          <w:sz w:val="20"/>
          <w:szCs w:val="20"/>
          <w:lang w:eastAsia="en-ZW"/>
        </w:rPr>
        <w:t xml:space="preserve"> </w:t>
      </w:r>
      <w:r w:rsidRPr="00E60D39">
        <w:rPr>
          <w:rFonts w:ascii="Times New Roman" w:eastAsia="Times New Roman" w:hAnsi="Times New Roman" w:cs="Times New Roman"/>
          <w:bCs/>
          <w:i/>
          <w:sz w:val="20"/>
          <w:szCs w:val="20"/>
          <w:lang w:eastAsia="en-ZW"/>
        </w:rPr>
        <w:t>Homo sapiens</w:t>
      </w:r>
      <w:r w:rsidRPr="00E60D39">
        <w:rPr>
          <w:rFonts w:ascii="Times New Roman" w:eastAsia="Times New Roman" w:hAnsi="Times New Roman" w:cs="Times New Roman"/>
          <w:bCs/>
          <w:sz w:val="20"/>
          <w:szCs w:val="20"/>
          <w:lang w:eastAsia="en-ZW"/>
        </w:rPr>
        <w:t xml:space="preserve"> reference proteome database of October 29</w:t>
      </w:r>
      <w:r w:rsidRPr="00E60D39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en-ZW"/>
        </w:rPr>
        <w:t>th</w:t>
      </w:r>
      <w:r w:rsidRPr="00E60D39">
        <w:rPr>
          <w:rFonts w:ascii="Times New Roman" w:eastAsia="Times New Roman" w:hAnsi="Times New Roman" w:cs="Times New Roman"/>
          <w:bCs/>
          <w:sz w:val="20"/>
          <w:szCs w:val="20"/>
          <w:lang w:eastAsia="en-ZW"/>
        </w:rPr>
        <w:t xml:space="preserve">, 2017 was used (71’803 sequences), supplemented with sequences of common contaminants. Trypsin (cleavage at K,R) was used as the enzyme definition, allowing 2 missed cleavages. </w:t>
      </w:r>
      <w:proofErr w:type="spellStart"/>
      <w:r w:rsidRPr="00E60D39">
        <w:rPr>
          <w:rFonts w:ascii="Times New Roman" w:eastAsia="Times New Roman" w:hAnsi="Times New Roman" w:cs="Times New Roman"/>
          <w:bCs/>
          <w:sz w:val="20"/>
          <w:szCs w:val="20"/>
          <w:lang w:eastAsia="en-ZW"/>
        </w:rPr>
        <w:t>Carbamidomethylation</w:t>
      </w:r>
      <w:proofErr w:type="spellEnd"/>
      <w:r w:rsidRPr="00E60D39">
        <w:rPr>
          <w:rFonts w:ascii="Times New Roman" w:eastAsia="Times New Roman" w:hAnsi="Times New Roman" w:cs="Times New Roman"/>
          <w:bCs/>
          <w:sz w:val="20"/>
          <w:szCs w:val="20"/>
          <w:lang w:eastAsia="en-ZW"/>
        </w:rPr>
        <w:t xml:space="preserve"> of cysteine was specified as a fixed modification. N-terminal acetylation of protein and oxidation of methionine were specified as variable modifications. All identifications were filtered at 1% FDR at both the peptide and protein levels with default </w:t>
      </w:r>
      <w:proofErr w:type="spellStart"/>
      <w:r w:rsidRPr="00E60D39">
        <w:rPr>
          <w:rFonts w:ascii="Times New Roman" w:eastAsia="Times New Roman" w:hAnsi="Times New Roman" w:cs="Times New Roman"/>
          <w:bCs/>
          <w:sz w:val="20"/>
          <w:szCs w:val="20"/>
          <w:lang w:eastAsia="en-ZW"/>
        </w:rPr>
        <w:t>MaxQuant</w:t>
      </w:r>
      <w:proofErr w:type="spellEnd"/>
      <w:r w:rsidRPr="00E60D39">
        <w:rPr>
          <w:rFonts w:ascii="Times New Roman" w:eastAsia="Times New Roman" w:hAnsi="Times New Roman" w:cs="Times New Roman"/>
          <w:bCs/>
          <w:sz w:val="20"/>
          <w:szCs w:val="20"/>
          <w:lang w:eastAsia="en-ZW"/>
        </w:rPr>
        <w:t xml:space="preserve"> parameters. </w:t>
      </w:r>
      <w:proofErr w:type="spellStart"/>
      <w:r w:rsidRPr="00E60D39">
        <w:rPr>
          <w:rFonts w:ascii="Times New Roman" w:eastAsia="Times New Roman" w:hAnsi="Times New Roman" w:cs="Times New Roman"/>
          <w:bCs/>
          <w:sz w:val="20"/>
          <w:szCs w:val="20"/>
          <w:lang w:eastAsia="en-ZW"/>
        </w:rPr>
        <w:t>MaxQuant</w:t>
      </w:r>
      <w:proofErr w:type="spellEnd"/>
      <w:r w:rsidRPr="00E60D39">
        <w:rPr>
          <w:rFonts w:ascii="Times New Roman" w:eastAsia="Times New Roman" w:hAnsi="Times New Roman" w:cs="Times New Roman"/>
          <w:bCs/>
          <w:sz w:val="20"/>
          <w:szCs w:val="20"/>
          <w:lang w:eastAsia="en-ZW"/>
        </w:rPr>
        <w:t xml:space="preserve"> data were further processed with Perseus software</w:t>
      </w:r>
      <w:r>
        <w:rPr>
          <w:rFonts w:ascii="Times New Roman" w:eastAsia="Times New Roman" w:hAnsi="Times New Roman" w:cs="Times New Roman"/>
          <w:bCs/>
          <w:noProof/>
          <w:sz w:val="20"/>
          <w:szCs w:val="20"/>
          <w:lang w:eastAsia="en-ZW"/>
        </w:rPr>
        <w:t>(48)</w:t>
      </w:r>
      <w:r w:rsidRPr="00E60D39">
        <w:rPr>
          <w:rFonts w:ascii="Times New Roman" w:eastAsia="Times New Roman" w:hAnsi="Times New Roman" w:cs="Times New Roman"/>
          <w:bCs/>
          <w:sz w:val="20"/>
          <w:szCs w:val="20"/>
          <w:lang w:eastAsia="en-ZW"/>
        </w:rPr>
        <w:t xml:space="preserve">. LFQ values </w:t>
      </w:r>
      <w:r>
        <w:rPr>
          <w:rFonts w:ascii="Times New Roman" w:eastAsia="Times New Roman" w:hAnsi="Times New Roman" w:cs="Times New Roman"/>
          <w:bCs/>
          <w:noProof/>
          <w:sz w:val="20"/>
          <w:szCs w:val="20"/>
          <w:lang w:eastAsia="en-ZW"/>
        </w:rPr>
        <w:t>(49)</w:t>
      </w:r>
      <w:r w:rsidRPr="00E60D39">
        <w:rPr>
          <w:rFonts w:ascii="Times New Roman" w:eastAsia="Times New Roman" w:hAnsi="Times New Roman" w:cs="Times New Roman"/>
          <w:bCs/>
          <w:sz w:val="20"/>
          <w:szCs w:val="20"/>
          <w:lang w:eastAsia="en-ZW"/>
        </w:rPr>
        <w:t xml:space="preserve"> were used for quantitation after log2 transformation. </w:t>
      </w:r>
    </w:p>
    <w:p w:rsidR="001013AF" w:rsidRPr="00E60D39" w:rsidRDefault="001013AF" w:rsidP="001013AF">
      <w:pPr>
        <w:spacing w:before="120" w:line="48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en-ZW"/>
        </w:rPr>
      </w:pPr>
    </w:p>
    <w:p w:rsidR="001013AF" w:rsidRPr="00C91BAA" w:rsidRDefault="001013AF" w:rsidP="001013AF">
      <w:pPr>
        <w:pStyle w:val="Caption"/>
        <w:keepNext/>
        <w:spacing w:after="0" w:line="480" w:lineRule="auto"/>
        <w:jc w:val="both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</w:pPr>
      <w:proofErr w:type="spellStart"/>
      <w:r w:rsidRPr="00C91BAA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  <w:t>mIBG</w:t>
      </w:r>
      <w:proofErr w:type="spellEnd"/>
      <w:r w:rsidRPr="00C91BAA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  <w:t xml:space="preserve"> extraction and LC-MS/MS</w:t>
      </w:r>
    </w:p>
    <w:p w:rsidR="001013AF" w:rsidRPr="00E60D39" w:rsidRDefault="001013AF" w:rsidP="001013AF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60D39">
        <w:rPr>
          <w:rFonts w:ascii="Times New Roman" w:hAnsi="Times New Roman" w:cs="Times New Roman"/>
          <w:sz w:val="20"/>
          <w:szCs w:val="20"/>
        </w:rPr>
        <w:t xml:space="preserve">Intracellular </w:t>
      </w:r>
      <w:proofErr w:type="spellStart"/>
      <w:r w:rsidRPr="00E60D39">
        <w:rPr>
          <w:rFonts w:ascii="Times New Roman" w:hAnsi="Times New Roman" w:cs="Times New Roman"/>
          <w:sz w:val="20"/>
          <w:szCs w:val="20"/>
        </w:rPr>
        <w:t>mIBG</w:t>
      </w:r>
      <w:proofErr w:type="spellEnd"/>
      <w:r w:rsidRPr="00E60D39">
        <w:rPr>
          <w:rFonts w:ascii="Times New Roman" w:hAnsi="Times New Roman" w:cs="Times New Roman"/>
          <w:sz w:val="20"/>
          <w:szCs w:val="20"/>
        </w:rPr>
        <w:t xml:space="preserve"> was extracted by solid-phase extraction performed on Waters Oasis WCX </w:t>
      </w:r>
      <w:proofErr w:type="spellStart"/>
      <w:r w:rsidRPr="00E60D39">
        <w:rPr>
          <w:rFonts w:ascii="Times New Roman" w:hAnsi="Times New Roman" w:cs="Times New Roman"/>
          <w:sz w:val="20"/>
          <w:szCs w:val="20"/>
        </w:rPr>
        <w:t>μElution</w:t>
      </w:r>
      <w:proofErr w:type="spellEnd"/>
      <w:r w:rsidRPr="00E60D39">
        <w:rPr>
          <w:rFonts w:ascii="Times New Roman" w:hAnsi="Times New Roman" w:cs="Times New Roman"/>
          <w:sz w:val="20"/>
          <w:szCs w:val="20"/>
        </w:rPr>
        <w:t xml:space="preserve"> 96-well plates (Waters), preconditioned with 200 µL of methanol and equilibrated with 200 µL of PBS. A total of 30 µL</w:t>
      </w:r>
      <w:r w:rsidRPr="00E60D39" w:rsidDel="004F73FF">
        <w:rPr>
          <w:rFonts w:ascii="Times New Roman" w:hAnsi="Times New Roman" w:cs="Times New Roman"/>
          <w:sz w:val="20"/>
          <w:szCs w:val="20"/>
        </w:rPr>
        <w:t xml:space="preserve"> </w:t>
      </w:r>
      <w:r w:rsidRPr="00E60D39">
        <w:rPr>
          <w:rFonts w:ascii="Times New Roman" w:hAnsi="Times New Roman" w:cs="Times New Roman"/>
          <w:sz w:val="20"/>
          <w:szCs w:val="20"/>
        </w:rPr>
        <w:t xml:space="preserve">or 40 µL of an internal standard solution at 2 </w:t>
      </w:r>
      <w:proofErr w:type="spellStart"/>
      <w:r w:rsidRPr="00E60D39">
        <w:rPr>
          <w:rFonts w:ascii="Times New Roman" w:hAnsi="Times New Roman" w:cs="Times New Roman"/>
          <w:sz w:val="20"/>
          <w:szCs w:val="20"/>
        </w:rPr>
        <w:t>nM</w:t>
      </w:r>
      <w:proofErr w:type="spellEnd"/>
      <w:r w:rsidRPr="00E60D39">
        <w:rPr>
          <w:rFonts w:ascii="Times New Roman" w:hAnsi="Times New Roman" w:cs="Times New Roman"/>
          <w:sz w:val="20"/>
          <w:szCs w:val="20"/>
        </w:rPr>
        <w:t xml:space="preserve"> (deuterated </w:t>
      </w:r>
      <w:proofErr w:type="spellStart"/>
      <w:r w:rsidRPr="00E60D39">
        <w:rPr>
          <w:rFonts w:ascii="Times New Roman" w:hAnsi="Times New Roman" w:cs="Times New Roman"/>
          <w:sz w:val="20"/>
          <w:szCs w:val="20"/>
        </w:rPr>
        <w:t>mIBG</w:t>
      </w:r>
      <w:proofErr w:type="spellEnd"/>
      <w:r w:rsidRPr="00E60D39">
        <w:rPr>
          <w:rFonts w:ascii="Times New Roman" w:hAnsi="Times New Roman" w:cs="Times New Roman"/>
          <w:sz w:val="20"/>
          <w:szCs w:val="20"/>
        </w:rPr>
        <w:t xml:space="preserve">), and 30 µL or 40 µL of each sample were loaded and washed three times for HEK cell and IGR-NB8 cell experiments, respectively. A first wash with 200 µL of water, then with 200 µL of methanol and finally with 200 µL of 0.2% formic acid in acetonitrile. Then, the analytes were eluted with a solution containing 2% formic acid in </w:t>
      </w:r>
      <w:proofErr w:type="spellStart"/>
      <w:r w:rsidRPr="00E60D39">
        <w:rPr>
          <w:rFonts w:ascii="Times New Roman" w:hAnsi="Times New Roman" w:cs="Times New Roman"/>
          <w:sz w:val="20"/>
          <w:szCs w:val="20"/>
        </w:rPr>
        <w:t>acetonitrile:water</w:t>
      </w:r>
      <w:proofErr w:type="spellEnd"/>
      <w:r w:rsidRPr="00E60D39">
        <w:rPr>
          <w:rFonts w:ascii="Times New Roman" w:hAnsi="Times New Roman" w:cs="Times New Roman"/>
          <w:sz w:val="20"/>
          <w:szCs w:val="20"/>
        </w:rPr>
        <w:t xml:space="preserve"> (95:5) in 350 </w:t>
      </w:r>
      <w:proofErr w:type="spellStart"/>
      <w:r w:rsidRPr="00E60D39">
        <w:rPr>
          <w:rFonts w:ascii="Times New Roman" w:hAnsi="Times New Roman" w:cs="Times New Roman"/>
          <w:sz w:val="20"/>
          <w:szCs w:val="20"/>
        </w:rPr>
        <w:t>μL</w:t>
      </w:r>
      <w:proofErr w:type="spellEnd"/>
      <w:r w:rsidRPr="00E60D39">
        <w:rPr>
          <w:rFonts w:ascii="Times New Roman" w:hAnsi="Times New Roman" w:cs="Times New Roman"/>
          <w:sz w:val="20"/>
          <w:szCs w:val="20"/>
        </w:rPr>
        <w:t xml:space="preserve"> 96‐well plates or in conical 700 </w:t>
      </w:r>
      <w:proofErr w:type="spellStart"/>
      <w:r w:rsidRPr="00E60D39">
        <w:rPr>
          <w:rFonts w:ascii="Times New Roman" w:hAnsi="Times New Roman" w:cs="Times New Roman"/>
          <w:sz w:val="20"/>
          <w:szCs w:val="20"/>
        </w:rPr>
        <w:t>μL</w:t>
      </w:r>
      <w:proofErr w:type="spellEnd"/>
      <w:r w:rsidRPr="00E60D39">
        <w:rPr>
          <w:rFonts w:ascii="Times New Roman" w:hAnsi="Times New Roman" w:cs="Times New Roman"/>
          <w:sz w:val="20"/>
          <w:szCs w:val="20"/>
        </w:rPr>
        <w:t xml:space="preserve"> 96‐well plates for HEK cell experiments and IGR-NB8 cell experiments, respectively. Separations were performed in HILIC mode on a Waters </w:t>
      </w:r>
      <w:proofErr w:type="spellStart"/>
      <w:r w:rsidRPr="00E60D39">
        <w:rPr>
          <w:rFonts w:ascii="Times New Roman" w:hAnsi="Times New Roman" w:cs="Times New Roman"/>
          <w:sz w:val="20"/>
          <w:szCs w:val="20"/>
        </w:rPr>
        <w:t>Acquity</w:t>
      </w:r>
      <w:proofErr w:type="spellEnd"/>
      <w:r w:rsidRPr="00E60D39">
        <w:rPr>
          <w:rFonts w:ascii="Times New Roman" w:hAnsi="Times New Roman" w:cs="Times New Roman"/>
          <w:sz w:val="20"/>
          <w:szCs w:val="20"/>
        </w:rPr>
        <w:t xml:space="preserve"> UPLC I‐class system (Waters) where 2 </w:t>
      </w:r>
      <w:proofErr w:type="spellStart"/>
      <w:r w:rsidRPr="00E60D39">
        <w:rPr>
          <w:rFonts w:ascii="Times New Roman" w:hAnsi="Times New Roman" w:cs="Times New Roman"/>
          <w:sz w:val="20"/>
          <w:szCs w:val="20"/>
        </w:rPr>
        <w:t>μL</w:t>
      </w:r>
      <w:proofErr w:type="spellEnd"/>
      <w:r w:rsidRPr="00E60D39">
        <w:rPr>
          <w:rFonts w:ascii="Times New Roman" w:hAnsi="Times New Roman" w:cs="Times New Roman"/>
          <w:sz w:val="20"/>
          <w:szCs w:val="20"/>
        </w:rPr>
        <w:t xml:space="preserve"> (HEK cell experiments) or 10 </w:t>
      </w:r>
      <w:proofErr w:type="spellStart"/>
      <w:r w:rsidRPr="00E60D39">
        <w:rPr>
          <w:rFonts w:ascii="Times New Roman" w:hAnsi="Times New Roman" w:cs="Times New Roman"/>
          <w:sz w:val="20"/>
          <w:szCs w:val="20"/>
        </w:rPr>
        <w:t>μL</w:t>
      </w:r>
      <w:proofErr w:type="spellEnd"/>
      <w:r w:rsidRPr="00E60D39">
        <w:rPr>
          <w:rFonts w:ascii="Times New Roman" w:hAnsi="Times New Roman" w:cs="Times New Roman"/>
          <w:sz w:val="20"/>
          <w:szCs w:val="20"/>
        </w:rPr>
        <w:t xml:space="preserve"> (IGR-NB8 cell experiments) of sample were injected on a silica column (</w:t>
      </w:r>
      <w:proofErr w:type="spellStart"/>
      <w:r w:rsidRPr="00E60D39">
        <w:rPr>
          <w:rFonts w:ascii="Times New Roman" w:hAnsi="Times New Roman" w:cs="Times New Roman"/>
          <w:sz w:val="20"/>
          <w:szCs w:val="20"/>
        </w:rPr>
        <w:t>Interchim</w:t>
      </w:r>
      <w:proofErr w:type="spellEnd"/>
      <w:r w:rsidRPr="00E60D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60D39">
        <w:rPr>
          <w:rFonts w:ascii="Times New Roman" w:hAnsi="Times New Roman" w:cs="Times New Roman"/>
          <w:sz w:val="20"/>
          <w:szCs w:val="20"/>
        </w:rPr>
        <w:t>Uptisphere</w:t>
      </w:r>
      <w:proofErr w:type="spellEnd"/>
      <w:r w:rsidRPr="00E60D39">
        <w:rPr>
          <w:rFonts w:ascii="Times New Roman" w:hAnsi="Times New Roman" w:cs="Times New Roman"/>
          <w:sz w:val="20"/>
          <w:szCs w:val="20"/>
        </w:rPr>
        <w:t xml:space="preserve"> Strategy 100 Å HILIC, 100 mm × 2.1 mm, 2.2 </w:t>
      </w:r>
      <w:proofErr w:type="spellStart"/>
      <w:r w:rsidRPr="00E60D39">
        <w:rPr>
          <w:rFonts w:ascii="Times New Roman" w:hAnsi="Times New Roman" w:cs="Times New Roman"/>
          <w:sz w:val="20"/>
          <w:szCs w:val="20"/>
        </w:rPr>
        <w:t>μm</w:t>
      </w:r>
      <w:proofErr w:type="spellEnd"/>
      <w:r w:rsidRPr="00E60D39">
        <w:rPr>
          <w:rFonts w:ascii="Times New Roman" w:hAnsi="Times New Roman" w:cs="Times New Roman"/>
          <w:sz w:val="20"/>
          <w:szCs w:val="20"/>
        </w:rPr>
        <w:t>) (</w:t>
      </w:r>
      <w:proofErr w:type="spellStart"/>
      <w:r w:rsidRPr="00E60D39">
        <w:rPr>
          <w:rFonts w:ascii="Times New Roman" w:hAnsi="Times New Roman" w:cs="Times New Roman"/>
          <w:sz w:val="20"/>
          <w:szCs w:val="20"/>
        </w:rPr>
        <w:t>Alsachim</w:t>
      </w:r>
      <w:proofErr w:type="spellEnd"/>
      <w:r w:rsidRPr="00E60D39">
        <w:rPr>
          <w:rFonts w:ascii="Times New Roman" w:hAnsi="Times New Roman" w:cs="Times New Roman"/>
          <w:sz w:val="20"/>
          <w:szCs w:val="20"/>
        </w:rPr>
        <w:t xml:space="preserve">). The mobile phases consisted of 100% acetonitrile (A) and 100 </w:t>
      </w:r>
      <w:proofErr w:type="spellStart"/>
      <w:r w:rsidRPr="00E60D39">
        <w:rPr>
          <w:rFonts w:ascii="Times New Roman" w:hAnsi="Times New Roman" w:cs="Times New Roman"/>
          <w:sz w:val="20"/>
          <w:szCs w:val="20"/>
        </w:rPr>
        <w:t>mM</w:t>
      </w:r>
      <w:proofErr w:type="spellEnd"/>
      <w:r w:rsidRPr="00E60D39">
        <w:rPr>
          <w:rFonts w:ascii="Times New Roman" w:hAnsi="Times New Roman" w:cs="Times New Roman"/>
          <w:sz w:val="20"/>
          <w:szCs w:val="20"/>
        </w:rPr>
        <w:t xml:space="preserve"> ammonium </w:t>
      </w:r>
      <w:proofErr w:type="spellStart"/>
      <w:r w:rsidRPr="00E60D39">
        <w:rPr>
          <w:rFonts w:ascii="Times New Roman" w:hAnsi="Times New Roman" w:cs="Times New Roman"/>
          <w:sz w:val="20"/>
          <w:szCs w:val="20"/>
        </w:rPr>
        <w:t>formate</w:t>
      </w:r>
      <w:proofErr w:type="spellEnd"/>
      <w:r w:rsidRPr="00E60D39">
        <w:rPr>
          <w:rFonts w:ascii="Times New Roman" w:hAnsi="Times New Roman" w:cs="Times New Roman"/>
          <w:sz w:val="20"/>
          <w:szCs w:val="20"/>
        </w:rPr>
        <w:t xml:space="preserve"> (B). The gradient and flow rates are described on Supplementary Table 4. A solution containing 50%, 95% and 5% of acetonitrile was used for the strong, weak and seal washes, respectively. The temperature of the </w:t>
      </w:r>
      <w:proofErr w:type="spellStart"/>
      <w:r w:rsidRPr="00E60D39">
        <w:rPr>
          <w:rFonts w:ascii="Times New Roman" w:hAnsi="Times New Roman" w:cs="Times New Roman"/>
          <w:sz w:val="20"/>
          <w:szCs w:val="20"/>
        </w:rPr>
        <w:t>autosampler</w:t>
      </w:r>
      <w:proofErr w:type="spellEnd"/>
      <w:r w:rsidRPr="00E60D39">
        <w:rPr>
          <w:rFonts w:ascii="Times New Roman" w:hAnsi="Times New Roman" w:cs="Times New Roman"/>
          <w:sz w:val="20"/>
          <w:szCs w:val="20"/>
        </w:rPr>
        <w:t xml:space="preserve"> and the column were 10°C and 25°C, respectively. A Waters </w:t>
      </w:r>
      <w:proofErr w:type="spellStart"/>
      <w:r w:rsidRPr="00E60D39">
        <w:rPr>
          <w:rFonts w:ascii="Times New Roman" w:hAnsi="Times New Roman" w:cs="Times New Roman"/>
          <w:sz w:val="20"/>
          <w:szCs w:val="20"/>
        </w:rPr>
        <w:t>Xevo</w:t>
      </w:r>
      <w:proofErr w:type="spellEnd"/>
      <w:r w:rsidRPr="00E60D39">
        <w:rPr>
          <w:rFonts w:ascii="Times New Roman" w:hAnsi="Times New Roman" w:cs="Times New Roman"/>
          <w:sz w:val="20"/>
          <w:szCs w:val="20"/>
        </w:rPr>
        <w:t xml:space="preserve"> TQ‐S triple quadrupole mass spectrometer equipped with an electrospray interface was coupled to the LC system, and the analyses were performed in a positive ionization mode. The MRM transitions used for quantification were 275.97 (m/z) and 89.93 (m/z) for the precursor ion and product ion, respectively, with cone voltage at 34 V and collision energy at 20 V. The ESI conditions were set as follows: capillary voltage 0.60 kV, </w:t>
      </w:r>
      <w:proofErr w:type="spellStart"/>
      <w:r w:rsidRPr="00E60D39">
        <w:rPr>
          <w:rFonts w:ascii="Times New Roman" w:hAnsi="Times New Roman" w:cs="Times New Roman"/>
          <w:sz w:val="20"/>
          <w:szCs w:val="20"/>
        </w:rPr>
        <w:t>desolvation</w:t>
      </w:r>
      <w:proofErr w:type="spellEnd"/>
      <w:r w:rsidRPr="00E60D39">
        <w:rPr>
          <w:rFonts w:ascii="Times New Roman" w:hAnsi="Times New Roman" w:cs="Times New Roman"/>
          <w:sz w:val="20"/>
          <w:szCs w:val="20"/>
        </w:rPr>
        <w:t xml:space="preserve"> temperature 600°C, source temperature 150°C, </w:t>
      </w:r>
      <w:proofErr w:type="spellStart"/>
      <w:r w:rsidRPr="00E60D39">
        <w:rPr>
          <w:rFonts w:ascii="Times New Roman" w:hAnsi="Times New Roman" w:cs="Times New Roman"/>
          <w:sz w:val="20"/>
          <w:szCs w:val="20"/>
        </w:rPr>
        <w:t>desolvation</w:t>
      </w:r>
      <w:proofErr w:type="spellEnd"/>
      <w:r w:rsidRPr="00E60D39">
        <w:rPr>
          <w:rFonts w:ascii="Times New Roman" w:hAnsi="Times New Roman" w:cs="Times New Roman"/>
          <w:sz w:val="20"/>
          <w:szCs w:val="20"/>
        </w:rPr>
        <w:t xml:space="preserve"> gas flow 900 L/h, cone gas flow 150 L/h, </w:t>
      </w:r>
      <w:r w:rsidRPr="00E60D39">
        <w:rPr>
          <w:rFonts w:ascii="Times New Roman" w:hAnsi="Times New Roman" w:cs="Times New Roman"/>
          <w:sz w:val="20"/>
          <w:szCs w:val="20"/>
        </w:rPr>
        <w:lastRenderedPageBreak/>
        <w:t xml:space="preserve">nebulizer gas 7.0 bar, and collision gas flow 0.25 mL/min. At the beginning of each series, a calibration curve was injected, and three quality controls samples were randomly injected. Data was processed using the </w:t>
      </w:r>
      <w:proofErr w:type="spellStart"/>
      <w:r w:rsidRPr="00E60D39">
        <w:rPr>
          <w:rFonts w:ascii="Times New Roman" w:hAnsi="Times New Roman" w:cs="Times New Roman"/>
          <w:sz w:val="20"/>
          <w:szCs w:val="20"/>
        </w:rPr>
        <w:t>TargetLynx</w:t>
      </w:r>
      <w:proofErr w:type="spellEnd"/>
      <w:r w:rsidRPr="00E60D39">
        <w:rPr>
          <w:rFonts w:ascii="Times New Roman" w:hAnsi="Times New Roman" w:cs="Times New Roman"/>
          <w:sz w:val="20"/>
          <w:szCs w:val="20"/>
        </w:rPr>
        <w:t xml:space="preserve"> module.</w:t>
      </w:r>
    </w:p>
    <w:p w:rsidR="001013AF" w:rsidRPr="00C91BAA" w:rsidRDefault="001013AF" w:rsidP="001013AF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91BAA">
        <w:rPr>
          <w:rFonts w:ascii="Times New Roman" w:hAnsi="Times New Roman" w:cs="Times New Roman"/>
          <w:b/>
          <w:sz w:val="20"/>
          <w:szCs w:val="20"/>
        </w:rPr>
        <w:t xml:space="preserve">SPECT/CT imaging </w:t>
      </w:r>
    </w:p>
    <w:p w:rsidR="001013AF" w:rsidRDefault="001013AF" w:rsidP="001013AF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60D39">
        <w:rPr>
          <w:rFonts w:ascii="Times New Roman" w:hAnsi="Times New Roman" w:cs="Times New Roman"/>
          <w:sz w:val="20"/>
          <w:szCs w:val="20"/>
        </w:rPr>
        <w:t xml:space="preserve">SPECT images were reconstructed iteratively and filtered using the </w:t>
      </w:r>
      <w:proofErr w:type="spellStart"/>
      <w:r w:rsidRPr="00E60D39">
        <w:rPr>
          <w:rFonts w:ascii="Times New Roman" w:hAnsi="Times New Roman" w:cs="Times New Roman"/>
          <w:sz w:val="20"/>
          <w:szCs w:val="20"/>
        </w:rPr>
        <w:t>HiSPECT</w:t>
      </w:r>
      <w:proofErr w:type="spellEnd"/>
      <w:r w:rsidRPr="00E60D39">
        <w:rPr>
          <w:rFonts w:ascii="Times New Roman" w:hAnsi="Times New Roman" w:cs="Times New Roman"/>
          <w:sz w:val="20"/>
          <w:szCs w:val="20"/>
        </w:rPr>
        <w:t xml:space="preserve"> software package (version 1.4.1876, </w:t>
      </w:r>
      <w:proofErr w:type="spellStart"/>
      <w:r w:rsidRPr="00E60D39">
        <w:rPr>
          <w:rFonts w:ascii="Times New Roman" w:hAnsi="Times New Roman" w:cs="Times New Roman"/>
          <w:sz w:val="20"/>
          <w:szCs w:val="20"/>
        </w:rPr>
        <w:t>SciVis</w:t>
      </w:r>
      <w:proofErr w:type="spellEnd"/>
      <w:r w:rsidRPr="00E60D39">
        <w:rPr>
          <w:rFonts w:ascii="Times New Roman" w:hAnsi="Times New Roman" w:cs="Times New Roman"/>
          <w:sz w:val="20"/>
          <w:szCs w:val="20"/>
        </w:rPr>
        <w:t xml:space="preserve"> GmbH) and the manufacturer’s algorithm (three subsets, nine iterations, 35% post-filtering, 128 × 128 matrix, and zoom 1.30 x 20 mm </w:t>
      </w:r>
      <w:proofErr w:type="spellStart"/>
      <w:r w:rsidRPr="00E60D39">
        <w:rPr>
          <w:rFonts w:ascii="Times New Roman" w:hAnsi="Times New Roman" w:cs="Times New Roman"/>
          <w:sz w:val="20"/>
          <w:szCs w:val="20"/>
        </w:rPr>
        <w:t>transaxial</w:t>
      </w:r>
      <w:proofErr w:type="spellEnd"/>
      <w:r w:rsidRPr="00E60D39">
        <w:rPr>
          <w:rFonts w:ascii="Times New Roman" w:hAnsi="Times New Roman" w:cs="Times New Roman"/>
          <w:sz w:val="20"/>
          <w:szCs w:val="20"/>
        </w:rPr>
        <w:t xml:space="preserve"> field of view, resulting in a pixel size of 0.3 mm). CT images were reconstructed using </w:t>
      </w:r>
      <w:proofErr w:type="spellStart"/>
      <w:r w:rsidRPr="00E60D39">
        <w:rPr>
          <w:rFonts w:ascii="Times New Roman" w:hAnsi="Times New Roman" w:cs="Times New Roman"/>
          <w:sz w:val="20"/>
          <w:szCs w:val="20"/>
        </w:rPr>
        <w:t>CTReco</w:t>
      </w:r>
      <w:proofErr w:type="spellEnd"/>
      <w:r w:rsidRPr="00E60D39">
        <w:rPr>
          <w:rFonts w:ascii="Times New Roman" w:hAnsi="Times New Roman" w:cs="Times New Roman"/>
          <w:sz w:val="20"/>
          <w:szCs w:val="20"/>
        </w:rPr>
        <w:t xml:space="preserve"> (version r1.146), with a standard filtered back projection algorithm (exact cone beam) and post-filtered (</w:t>
      </w:r>
      <w:proofErr w:type="spellStart"/>
      <w:r w:rsidRPr="00E60D39">
        <w:rPr>
          <w:rFonts w:ascii="Times New Roman" w:hAnsi="Times New Roman" w:cs="Times New Roman"/>
          <w:sz w:val="20"/>
          <w:szCs w:val="20"/>
        </w:rPr>
        <w:t>RamLak</w:t>
      </w:r>
      <w:proofErr w:type="spellEnd"/>
      <w:r w:rsidRPr="00E60D39">
        <w:rPr>
          <w:rFonts w:ascii="Times New Roman" w:hAnsi="Times New Roman" w:cs="Times New Roman"/>
          <w:sz w:val="20"/>
          <w:szCs w:val="20"/>
        </w:rPr>
        <w:t xml:space="preserve">, 100% frequency cut-off), resulting in a pixel size of 0.2 mm. Co-registered images were visualized in the three orthogonal planes using maximum intensity projection with </w:t>
      </w:r>
      <w:proofErr w:type="spellStart"/>
      <w:r w:rsidRPr="00E60D39">
        <w:rPr>
          <w:rFonts w:ascii="Times New Roman" w:hAnsi="Times New Roman" w:cs="Times New Roman"/>
          <w:sz w:val="20"/>
          <w:szCs w:val="20"/>
        </w:rPr>
        <w:t>InVivoScope</w:t>
      </w:r>
      <w:proofErr w:type="spellEnd"/>
      <w:r w:rsidRPr="00E60D39">
        <w:rPr>
          <w:rFonts w:ascii="Times New Roman" w:hAnsi="Times New Roman" w:cs="Times New Roman"/>
          <w:sz w:val="20"/>
          <w:szCs w:val="20"/>
        </w:rPr>
        <w:t xml:space="preserve"> (version 1.43, Bioscan Inc.).</w:t>
      </w:r>
    </w:p>
    <w:p w:rsidR="002C596C" w:rsidRDefault="002C596C"/>
    <w:sectPr w:rsidR="002C596C" w:rsidSect="00FE735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F126B"/>
    <w:multiLevelType w:val="multilevel"/>
    <w:tmpl w:val="7DBAA908"/>
    <w:lvl w:ilvl="0">
      <w:start w:val="1"/>
      <w:numFmt w:val="decimal"/>
      <w:pStyle w:val="Style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e2"/>
      <w:lvlText w:val="%1.%2."/>
      <w:lvlJc w:val="left"/>
      <w:pPr>
        <w:ind w:left="792" w:hanging="432"/>
      </w:pPr>
      <w:rPr>
        <w:color w:val="000000" w:themeColor="text1"/>
      </w:rPr>
    </w:lvl>
    <w:lvl w:ilvl="2">
      <w:start w:val="1"/>
      <w:numFmt w:val="decimal"/>
      <w:pStyle w:val="Style3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3AF"/>
    <w:rsid w:val="00004702"/>
    <w:rsid w:val="00025D26"/>
    <w:rsid w:val="00027BCE"/>
    <w:rsid w:val="00050FD7"/>
    <w:rsid w:val="00066191"/>
    <w:rsid w:val="00073BB9"/>
    <w:rsid w:val="0009355C"/>
    <w:rsid w:val="000976F0"/>
    <w:rsid w:val="000A5EFC"/>
    <w:rsid w:val="000A659C"/>
    <w:rsid w:val="000C4D68"/>
    <w:rsid w:val="000D136C"/>
    <w:rsid w:val="000D15AE"/>
    <w:rsid w:val="000E1E4D"/>
    <w:rsid w:val="000E585E"/>
    <w:rsid w:val="000E6807"/>
    <w:rsid w:val="000F065B"/>
    <w:rsid w:val="000F110F"/>
    <w:rsid w:val="000F1FB9"/>
    <w:rsid w:val="000F6E2F"/>
    <w:rsid w:val="001013AF"/>
    <w:rsid w:val="001041E3"/>
    <w:rsid w:val="00104916"/>
    <w:rsid w:val="00117B64"/>
    <w:rsid w:val="00130DF9"/>
    <w:rsid w:val="0013298F"/>
    <w:rsid w:val="00134C51"/>
    <w:rsid w:val="00137AAB"/>
    <w:rsid w:val="00155D28"/>
    <w:rsid w:val="00161C01"/>
    <w:rsid w:val="0016538A"/>
    <w:rsid w:val="00167C8B"/>
    <w:rsid w:val="0017081C"/>
    <w:rsid w:val="00190AA5"/>
    <w:rsid w:val="00191224"/>
    <w:rsid w:val="0019354B"/>
    <w:rsid w:val="00193A98"/>
    <w:rsid w:val="00193C17"/>
    <w:rsid w:val="001A05C7"/>
    <w:rsid w:val="001B291D"/>
    <w:rsid w:val="001D5C7D"/>
    <w:rsid w:val="001E11BC"/>
    <w:rsid w:val="001E23E0"/>
    <w:rsid w:val="001F4CDE"/>
    <w:rsid w:val="00217E48"/>
    <w:rsid w:val="00223F06"/>
    <w:rsid w:val="00234859"/>
    <w:rsid w:val="00242FF8"/>
    <w:rsid w:val="00250083"/>
    <w:rsid w:val="00250E3A"/>
    <w:rsid w:val="002537B6"/>
    <w:rsid w:val="002676FC"/>
    <w:rsid w:val="0028075A"/>
    <w:rsid w:val="00282982"/>
    <w:rsid w:val="00284108"/>
    <w:rsid w:val="002A68E9"/>
    <w:rsid w:val="002B149C"/>
    <w:rsid w:val="002B55BA"/>
    <w:rsid w:val="002B6FE3"/>
    <w:rsid w:val="002C0140"/>
    <w:rsid w:val="002C596C"/>
    <w:rsid w:val="002C7E04"/>
    <w:rsid w:val="002D0DF7"/>
    <w:rsid w:val="002D1746"/>
    <w:rsid w:val="002D45C2"/>
    <w:rsid w:val="002D5245"/>
    <w:rsid w:val="002E1CBB"/>
    <w:rsid w:val="002E3A18"/>
    <w:rsid w:val="00300F58"/>
    <w:rsid w:val="003039C6"/>
    <w:rsid w:val="003251CC"/>
    <w:rsid w:val="003327F3"/>
    <w:rsid w:val="003517BE"/>
    <w:rsid w:val="00362642"/>
    <w:rsid w:val="003742F6"/>
    <w:rsid w:val="00374498"/>
    <w:rsid w:val="00374EB3"/>
    <w:rsid w:val="00380651"/>
    <w:rsid w:val="00383425"/>
    <w:rsid w:val="00384AD8"/>
    <w:rsid w:val="00390342"/>
    <w:rsid w:val="00390E40"/>
    <w:rsid w:val="00393AC0"/>
    <w:rsid w:val="003948B6"/>
    <w:rsid w:val="00395770"/>
    <w:rsid w:val="003A120B"/>
    <w:rsid w:val="003A1DC1"/>
    <w:rsid w:val="003B718C"/>
    <w:rsid w:val="003C2863"/>
    <w:rsid w:val="003D1128"/>
    <w:rsid w:val="003D1BD4"/>
    <w:rsid w:val="003D294E"/>
    <w:rsid w:val="003D386E"/>
    <w:rsid w:val="003E7E68"/>
    <w:rsid w:val="003F47C4"/>
    <w:rsid w:val="00416DFC"/>
    <w:rsid w:val="00430DF0"/>
    <w:rsid w:val="004312B4"/>
    <w:rsid w:val="0043284E"/>
    <w:rsid w:val="00437380"/>
    <w:rsid w:val="004420D8"/>
    <w:rsid w:val="0044369C"/>
    <w:rsid w:val="00455B00"/>
    <w:rsid w:val="004635ED"/>
    <w:rsid w:val="00470D2C"/>
    <w:rsid w:val="00476391"/>
    <w:rsid w:val="0047733D"/>
    <w:rsid w:val="0049024C"/>
    <w:rsid w:val="004A444F"/>
    <w:rsid w:val="004B39F2"/>
    <w:rsid w:val="004B576B"/>
    <w:rsid w:val="004C03C2"/>
    <w:rsid w:val="004C316F"/>
    <w:rsid w:val="004C7DA6"/>
    <w:rsid w:val="004D1C97"/>
    <w:rsid w:val="004D4465"/>
    <w:rsid w:val="004D455B"/>
    <w:rsid w:val="004D6CFF"/>
    <w:rsid w:val="004D725A"/>
    <w:rsid w:val="004E25EB"/>
    <w:rsid w:val="004E730B"/>
    <w:rsid w:val="004F2A86"/>
    <w:rsid w:val="004F2B69"/>
    <w:rsid w:val="004F4FD0"/>
    <w:rsid w:val="004F5FCA"/>
    <w:rsid w:val="005021C5"/>
    <w:rsid w:val="00507AE8"/>
    <w:rsid w:val="00514BA9"/>
    <w:rsid w:val="005165D8"/>
    <w:rsid w:val="00516C77"/>
    <w:rsid w:val="0052763D"/>
    <w:rsid w:val="00527F6C"/>
    <w:rsid w:val="0054069A"/>
    <w:rsid w:val="0054155E"/>
    <w:rsid w:val="00556A77"/>
    <w:rsid w:val="005712EA"/>
    <w:rsid w:val="00583F4C"/>
    <w:rsid w:val="00586033"/>
    <w:rsid w:val="00595C88"/>
    <w:rsid w:val="005B3E3E"/>
    <w:rsid w:val="005B524C"/>
    <w:rsid w:val="005B6F2C"/>
    <w:rsid w:val="005C0D42"/>
    <w:rsid w:val="005C4959"/>
    <w:rsid w:val="005C5333"/>
    <w:rsid w:val="005E6290"/>
    <w:rsid w:val="005E63E4"/>
    <w:rsid w:val="005F1CA6"/>
    <w:rsid w:val="005F3959"/>
    <w:rsid w:val="005F4A56"/>
    <w:rsid w:val="0060219C"/>
    <w:rsid w:val="00605B24"/>
    <w:rsid w:val="00606773"/>
    <w:rsid w:val="00611747"/>
    <w:rsid w:val="006175CA"/>
    <w:rsid w:val="00621F4A"/>
    <w:rsid w:val="006248EE"/>
    <w:rsid w:val="00633DC2"/>
    <w:rsid w:val="0064609B"/>
    <w:rsid w:val="00650B5A"/>
    <w:rsid w:val="00651D91"/>
    <w:rsid w:val="00673F5D"/>
    <w:rsid w:val="00682C06"/>
    <w:rsid w:val="00692EFC"/>
    <w:rsid w:val="0069329D"/>
    <w:rsid w:val="006960D2"/>
    <w:rsid w:val="006B4390"/>
    <w:rsid w:val="006D06F5"/>
    <w:rsid w:val="006E0F83"/>
    <w:rsid w:val="006E7E8B"/>
    <w:rsid w:val="006F0425"/>
    <w:rsid w:val="006F1538"/>
    <w:rsid w:val="00712CB1"/>
    <w:rsid w:val="007332CC"/>
    <w:rsid w:val="00735AEE"/>
    <w:rsid w:val="0074154B"/>
    <w:rsid w:val="00741DF6"/>
    <w:rsid w:val="00750807"/>
    <w:rsid w:val="00757C96"/>
    <w:rsid w:val="007626CD"/>
    <w:rsid w:val="0077033F"/>
    <w:rsid w:val="00773CD7"/>
    <w:rsid w:val="00787944"/>
    <w:rsid w:val="007879BF"/>
    <w:rsid w:val="007A2D15"/>
    <w:rsid w:val="007A53E1"/>
    <w:rsid w:val="007A6790"/>
    <w:rsid w:val="007A77E2"/>
    <w:rsid w:val="007B05BD"/>
    <w:rsid w:val="007B174F"/>
    <w:rsid w:val="007C72AE"/>
    <w:rsid w:val="007D4167"/>
    <w:rsid w:val="007D6124"/>
    <w:rsid w:val="007E13F2"/>
    <w:rsid w:val="007E3E32"/>
    <w:rsid w:val="007E634B"/>
    <w:rsid w:val="00803ABD"/>
    <w:rsid w:val="00807A4D"/>
    <w:rsid w:val="00824981"/>
    <w:rsid w:val="008313CE"/>
    <w:rsid w:val="0083204B"/>
    <w:rsid w:val="00836ACC"/>
    <w:rsid w:val="00845656"/>
    <w:rsid w:val="00846012"/>
    <w:rsid w:val="008543DA"/>
    <w:rsid w:val="0086037D"/>
    <w:rsid w:val="00861D4F"/>
    <w:rsid w:val="00862B47"/>
    <w:rsid w:val="0086514D"/>
    <w:rsid w:val="00867E54"/>
    <w:rsid w:val="00870253"/>
    <w:rsid w:val="008715F9"/>
    <w:rsid w:val="0087266F"/>
    <w:rsid w:val="0087674E"/>
    <w:rsid w:val="00877194"/>
    <w:rsid w:val="008869FA"/>
    <w:rsid w:val="008C36B6"/>
    <w:rsid w:val="008D0D2E"/>
    <w:rsid w:val="008D4155"/>
    <w:rsid w:val="008E2037"/>
    <w:rsid w:val="008E2510"/>
    <w:rsid w:val="008F059B"/>
    <w:rsid w:val="008F3C1E"/>
    <w:rsid w:val="0092116D"/>
    <w:rsid w:val="00927E83"/>
    <w:rsid w:val="00940108"/>
    <w:rsid w:val="0097369F"/>
    <w:rsid w:val="00983CC2"/>
    <w:rsid w:val="00990160"/>
    <w:rsid w:val="00990691"/>
    <w:rsid w:val="009A363A"/>
    <w:rsid w:val="009A4D46"/>
    <w:rsid w:val="009A4F02"/>
    <w:rsid w:val="009B5FA2"/>
    <w:rsid w:val="009C7C63"/>
    <w:rsid w:val="009E14FA"/>
    <w:rsid w:val="009E46F5"/>
    <w:rsid w:val="009F134E"/>
    <w:rsid w:val="009F2002"/>
    <w:rsid w:val="00A036BE"/>
    <w:rsid w:val="00A071EE"/>
    <w:rsid w:val="00A164FB"/>
    <w:rsid w:val="00A175A1"/>
    <w:rsid w:val="00A22985"/>
    <w:rsid w:val="00A27DE5"/>
    <w:rsid w:val="00A300D5"/>
    <w:rsid w:val="00A30A46"/>
    <w:rsid w:val="00A3350E"/>
    <w:rsid w:val="00A47AE1"/>
    <w:rsid w:val="00A53C29"/>
    <w:rsid w:val="00A6363D"/>
    <w:rsid w:val="00A7004E"/>
    <w:rsid w:val="00A81177"/>
    <w:rsid w:val="00A85A41"/>
    <w:rsid w:val="00A94FC1"/>
    <w:rsid w:val="00AA4C0A"/>
    <w:rsid w:val="00AB1B1F"/>
    <w:rsid w:val="00AB52E9"/>
    <w:rsid w:val="00AC43EA"/>
    <w:rsid w:val="00AD40DA"/>
    <w:rsid w:val="00AE131C"/>
    <w:rsid w:val="00AE5B54"/>
    <w:rsid w:val="00AF06E1"/>
    <w:rsid w:val="00AF1D45"/>
    <w:rsid w:val="00AF401A"/>
    <w:rsid w:val="00B178AE"/>
    <w:rsid w:val="00B301D1"/>
    <w:rsid w:val="00B33EF2"/>
    <w:rsid w:val="00B376DF"/>
    <w:rsid w:val="00B4254B"/>
    <w:rsid w:val="00B45813"/>
    <w:rsid w:val="00B50028"/>
    <w:rsid w:val="00B60964"/>
    <w:rsid w:val="00B64D21"/>
    <w:rsid w:val="00B67B82"/>
    <w:rsid w:val="00B815AD"/>
    <w:rsid w:val="00B94FAA"/>
    <w:rsid w:val="00BA2059"/>
    <w:rsid w:val="00BA23D9"/>
    <w:rsid w:val="00BA50CE"/>
    <w:rsid w:val="00BA5604"/>
    <w:rsid w:val="00BA7455"/>
    <w:rsid w:val="00BB0C6D"/>
    <w:rsid w:val="00BB1B91"/>
    <w:rsid w:val="00BB1F47"/>
    <w:rsid w:val="00BB51A7"/>
    <w:rsid w:val="00BB6025"/>
    <w:rsid w:val="00BB63E2"/>
    <w:rsid w:val="00BC57BD"/>
    <w:rsid w:val="00BD528B"/>
    <w:rsid w:val="00BD6106"/>
    <w:rsid w:val="00BE05EB"/>
    <w:rsid w:val="00BE3718"/>
    <w:rsid w:val="00BE7186"/>
    <w:rsid w:val="00BF1BD8"/>
    <w:rsid w:val="00BF4354"/>
    <w:rsid w:val="00BF4F7D"/>
    <w:rsid w:val="00BF5799"/>
    <w:rsid w:val="00BF66A2"/>
    <w:rsid w:val="00C04256"/>
    <w:rsid w:val="00C113D9"/>
    <w:rsid w:val="00C23219"/>
    <w:rsid w:val="00C36305"/>
    <w:rsid w:val="00C363B6"/>
    <w:rsid w:val="00C37DF4"/>
    <w:rsid w:val="00C40A46"/>
    <w:rsid w:val="00C431B2"/>
    <w:rsid w:val="00C458BC"/>
    <w:rsid w:val="00C555D5"/>
    <w:rsid w:val="00C5656A"/>
    <w:rsid w:val="00C575B1"/>
    <w:rsid w:val="00C84777"/>
    <w:rsid w:val="00C9231C"/>
    <w:rsid w:val="00C954AE"/>
    <w:rsid w:val="00C96DFF"/>
    <w:rsid w:val="00CA1A2D"/>
    <w:rsid w:val="00CC2665"/>
    <w:rsid w:val="00CC3B0C"/>
    <w:rsid w:val="00CC434A"/>
    <w:rsid w:val="00CD392A"/>
    <w:rsid w:val="00CD6692"/>
    <w:rsid w:val="00CE0EE2"/>
    <w:rsid w:val="00CE274C"/>
    <w:rsid w:val="00CE4735"/>
    <w:rsid w:val="00CF2AED"/>
    <w:rsid w:val="00CF6915"/>
    <w:rsid w:val="00D03F99"/>
    <w:rsid w:val="00D05441"/>
    <w:rsid w:val="00D055C6"/>
    <w:rsid w:val="00D109D0"/>
    <w:rsid w:val="00D2382A"/>
    <w:rsid w:val="00D307EA"/>
    <w:rsid w:val="00D312D8"/>
    <w:rsid w:val="00D337D6"/>
    <w:rsid w:val="00D34657"/>
    <w:rsid w:val="00D34DD6"/>
    <w:rsid w:val="00D467F7"/>
    <w:rsid w:val="00D53674"/>
    <w:rsid w:val="00D55CDB"/>
    <w:rsid w:val="00D55F4D"/>
    <w:rsid w:val="00D630E3"/>
    <w:rsid w:val="00D70731"/>
    <w:rsid w:val="00D86326"/>
    <w:rsid w:val="00D933B9"/>
    <w:rsid w:val="00D9722B"/>
    <w:rsid w:val="00DC3B63"/>
    <w:rsid w:val="00DC6529"/>
    <w:rsid w:val="00DD1D86"/>
    <w:rsid w:val="00DD5ACB"/>
    <w:rsid w:val="00DE3B6F"/>
    <w:rsid w:val="00DE4563"/>
    <w:rsid w:val="00DF2025"/>
    <w:rsid w:val="00DF75E6"/>
    <w:rsid w:val="00E03F86"/>
    <w:rsid w:val="00E05A37"/>
    <w:rsid w:val="00E07EC2"/>
    <w:rsid w:val="00E128FC"/>
    <w:rsid w:val="00E20C76"/>
    <w:rsid w:val="00E21FEA"/>
    <w:rsid w:val="00E22A91"/>
    <w:rsid w:val="00E338FB"/>
    <w:rsid w:val="00E4215D"/>
    <w:rsid w:val="00E43809"/>
    <w:rsid w:val="00E466C2"/>
    <w:rsid w:val="00E56649"/>
    <w:rsid w:val="00E66D42"/>
    <w:rsid w:val="00E70252"/>
    <w:rsid w:val="00E70A57"/>
    <w:rsid w:val="00E81145"/>
    <w:rsid w:val="00E871F5"/>
    <w:rsid w:val="00E9020D"/>
    <w:rsid w:val="00E96686"/>
    <w:rsid w:val="00EB0C8E"/>
    <w:rsid w:val="00EB27B9"/>
    <w:rsid w:val="00EB4785"/>
    <w:rsid w:val="00EC10AF"/>
    <w:rsid w:val="00EC174E"/>
    <w:rsid w:val="00EC78B3"/>
    <w:rsid w:val="00F018ED"/>
    <w:rsid w:val="00F01AC9"/>
    <w:rsid w:val="00F03198"/>
    <w:rsid w:val="00F03C23"/>
    <w:rsid w:val="00F03EF7"/>
    <w:rsid w:val="00F313C2"/>
    <w:rsid w:val="00F3146F"/>
    <w:rsid w:val="00F327F7"/>
    <w:rsid w:val="00F40A0E"/>
    <w:rsid w:val="00F418E6"/>
    <w:rsid w:val="00F42375"/>
    <w:rsid w:val="00F81456"/>
    <w:rsid w:val="00F83DB0"/>
    <w:rsid w:val="00F84353"/>
    <w:rsid w:val="00F929DF"/>
    <w:rsid w:val="00FA008D"/>
    <w:rsid w:val="00FA5070"/>
    <w:rsid w:val="00FC25FE"/>
    <w:rsid w:val="00FC77A6"/>
    <w:rsid w:val="00FD1510"/>
    <w:rsid w:val="00FD16B2"/>
    <w:rsid w:val="00FD30FB"/>
    <w:rsid w:val="00FD3786"/>
    <w:rsid w:val="00FD45AA"/>
    <w:rsid w:val="00FD687B"/>
    <w:rsid w:val="00FE0EC1"/>
    <w:rsid w:val="00FE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E75C21-9B11-4CCE-A9EA-474F593BC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ListParagraph"/>
    <w:qFormat/>
    <w:rsid w:val="001013AF"/>
    <w:pPr>
      <w:numPr>
        <w:numId w:val="1"/>
      </w:numPr>
      <w:tabs>
        <w:tab w:val="num" w:pos="360"/>
      </w:tabs>
      <w:spacing w:after="0" w:line="360" w:lineRule="auto"/>
      <w:ind w:left="720" w:firstLine="0"/>
      <w:jc w:val="both"/>
    </w:pPr>
    <w:rPr>
      <w:rFonts w:ascii="Times New Roman" w:eastAsiaTheme="minorEastAsia" w:hAnsi="Times New Roman" w:cs="Times New Roman"/>
      <w:b/>
      <w:sz w:val="28"/>
      <w:szCs w:val="24"/>
      <w:lang w:eastAsia="fr-FR"/>
    </w:rPr>
  </w:style>
  <w:style w:type="paragraph" w:customStyle="1" w:styleId="Style2">
    <w:name w:val="Style2"/>
    <w:basedOn w:val="ListParagraph"/>
    <w:link w:val="Style2Car"/>
    <w:qFormat/>
    <w:rsid w:val="001013AF"/>
    <w:pPr>
      <w:numPr>
        <w:ilvl w:val="1"/>
        <w:numId w:val="1"/>
      </w:numPr>
      <w:spacing w:after="0" w:line="360" w:lineRule="auto"/>
      <w:jc w:val="both"/>
    </w:pPr>
    <w:rPr>
      <w:rFonts w:ascii="Times New Roman" w:eastAsiaTheme="minorEastAsia" w:hAnsi="Times New Roman" w:cs="Times New Roman"/>
      <w:b/>
      <w:sz w:val="24"/>
      <w:szCs w:val="24"/>
      <w:lang w:eastAsia="fr-FR"/>
    </w:rPr>
  </w:style>
  <w:style w:type="paragraph" w:customStyle="1" w:styleId="Style3">
    <w:name w:val="Style3"/>
    <w:basedOn w:val="ListParagraph"/>
    <w:qFormat/>
    <w:rsid w:val="001013AF"/>
    <w:pPr>
      <w:numPr>
        <w:ilvl w:val="2"/>
        <w:numId w:val="1"/>
      </w:numPr>
      <w:tabs>
        <w:tab w:val="num" w:pos="360"/>
      </w:tabs>
      <w:spacing w:after="0" w:line="360" w:lineRule="auto"/>
      <w:ind w:left="720" w:firstLine="0"/>
      <w:jc w:val="both"/>
    </w:pPr>
    <w:rPr>
      <w:rFonts w:ascii="Times New Roman" w:eastAsiaTheme="minorEastAsia" w:hAnsi="Times New Roman" w:cs="Times New Roman"/>
      <w:b/>
      <w:sz w:val="24"/>
      <w:szCs w:val="24"/>
      <w:lang w:eastAsia="fr-FR"/>
    </w:rPr>
  </w:style>
  <w:style w:type="character" w:customStyle="1" w:styleId="Style2Car">
    <w:name w:val="Style2 Car"/>
    <w:basedOn w:val="DefaultParagraphFont"/>
    <w:link w:val="Style2"/>
    <w:rsid w:val="001013AF"/>
    <w:rPr>
      <w:rFonts w:ascii="Times New Roman" w:eastAsiaTheme="minorEastAsia" w:hAnsi="Times New Roman" w:cs="Times New Roman"/>
      <w:b/>
      <w:sz w:val="24"/>
      <w:szCs w:val="24"/>
      <w:lang w:eastAsia="fr-FR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1013AF"/>
    <w:pPr>
      <w:spacing w:after="200" w:line="240" w:lineRule="auto"/>
    </w:pPr>
    <w:rPr>
      <w:i/>
      <w:iCs/>
      <w:color w:val="44546A" w:themeColor="text2"/>
      <w:sz w:val="18"/>
      <w:szCs w:val="18"/>
      <w:lang w:val="fr-CH"/>
    </w:rPr>
  </w:style>
  <w:style w:type="character" w:customStyle="1" w:styleId="CaptionChar">
    <w:name w:val="Caption Char"/>
    <w:basedOn w:val="DefaultParagraphFont"/>
    <w:link w:val="Caption"/>
    <w:uiPriority w:val="35"/>
    <w:rsid w:val="001013AF"/>
    <w:rPr>
      <w:i/>
      <w:iCs/>
      <w:color w:val="44546A" w:themeColor="text2"/>
      <w:sz w:val="18"/>
      <w:szCs w:val="18"/>
      <w:lang w:val="fr-CH"/>
    </w:rPr>
  </w:style>
  <w:style w:type="paragraph" w:styleId="ListParagraph">
    <w:name w:val="List Paragraph"/>
    <w:basedOn w:val="Normal"/>
    <w:uiPriority w:val="34"/>
    <w:qFormat/>
    <w:rsid w:val="001013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876</Words>
  <Characters>4997</Characters>
  <Application>Microsoft Office Word</Application>
  <DocSecurity>0</DocSecurity>
  <Lines>41</Lines>
  <Paragraphs>11</Paragraphs>
  <ScaleCrop>false</ScaleCrop>
  <Company/>
  <LinksUpToDate>false</LinksUpToDate>
  <CharactersWithSpaces>5862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Rajeshwari Arumugam</dc:creator>
  <cp:keywords/>
  <dc:description/>
  <cp:lastModifiedBy>Rajeshwari Arumugam</cp:lastModifiedBy>
  <cp:revision>1</cp:revision>
  <dcterms:created xsi:type="dcterms:W3CDTF">2023-08-24T13:27:00Z</dcterms:created>
  <dcterms:modified xsi:type="dcterms:W3CDTF">2023-08-24T13:27:00Z</dcterms:modified>
</cp:coreProperties>
</file>