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FEC" w:rsidRDefault="00F46FEC"/>
    <w:p w:rsidR="00F46FEC" w:rsidRPr="003956BA" w:rsidRDefault="003956BA">
      <w:r w:rsidRPr="003956BA">
        <w:rPr>
          <w:noProof/>
          <w:lang w:eastAsia="en-US"/>
        </w:rPr>
        <w:drawing>
          <wp:inline distT="0" distB="0" distL="0" distR="0">
            <wp:extent cx="5274310" cy="4537710"/>
            <wp:effectExtent l="0" t="0" r="2540" b="0"/>
            <wp:docPr id="13701961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196113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3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FEC" w:rsidRPr="003956BA" w:rsidRDefault="00F46FEC"/>
    <w:p w:rsidR="00F46FEC" w:rsidRPr="003956BA" w:rsidRDefault="003956BA">
      <w:pPr>
        <w:rPr>
          <w:rFonts w:ascii="Times New Roman" w:hAnsi="Times New Roman" w:cs="Times New Roman"/>
          <w:color w:val="242021"/>
          <w:sz w:val="18"/>
          <w:szCs w:val="18"/>
        </w:rPr>
      </w:pP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>Figure S1. A</w:t>
      </w:r>
      <w:r w:rsidRPr="003956BA">
        <w:rPr>
          <w:rFonts w:ascii="Times New Roman" w:hAnsi="Times New Roman" w:cs="Times New Roman" w:hint="eastAsia"/>
          <w:b/>
          <w:bCs/>
          <w:color w:val="242021"/>
          <w:sz w:val="18"/>
          <w:szCs w:val="18"/>
        </w:rPr>
        <w:t>nti</w:t>
      </w: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tumor effect and safety assessment of the triple combining </w:t>
      </w:r>
      <w:r w:rsidRPr="003956BA">
        <w:rPr>
          <w:rFonts w:ascii="Times New Roman" w:hAnsi="Times New Roman" w:cs="Times New Roman"/>
          <w:b/>
          <w:bCs/>
          <w:i/>
          <w:iCs/>
          <w:color w:val="242021"/>
          <w:sz w:val="18"/>
          <w:szCs w:val="18"/>
        </w:rPr>
        <w:t>in situ</w:t>
      </w: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 vaccine.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(A) Individual tumor growth curves until the day of death of each mouse in different groups</w:t>
      </w:r>
      <w:r w:rsidRPr="003956BA">
        <w:rPr>
          <w:rFonts w:ascii="Times New Roman" w:hAnsi="Times New Roman" w:cs="Times New Roman" w:hint="eastAsia"/>
          <w:color w:val="242021"/>
          <w:sz w:val="18"/>
          <w:szCs w:val="18"/>
        </w:rPr>
        <w:t>.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(B) Weight records of mice in every treatment group, no obvious weight loss was observed. </w:t>
      </w:r>
      <w:bookmarkStart w:id="0" w:name="_Hlk144046043"/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Data are represented as mean ± </w:t>
      </w:r>
      <w:proofErr w:type="spellStart"/>
      <w:r w:rsidRPr="003956BA">
        <w:rPr>
          <w:rFonts w:ascii="Times New Roman" w:hAnsi="Times New Roman" w:cs="Times New Roman"/>
          <w:color w:val="242021"/>
          <w:sz w:val="18"/>
          <w:szCs w:val="18"/>
        </w:rPr>
        <w:t>s.e.m</w:t>
      </w:r>
      <w:proofErr w:type="spellEnd"/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., n=6-7. Student’s t test was used for statistical analysis. ns, not significant representing </w:t>
      </w:r>
      <w:r w:rsidRPr="003956BA">
        <w:rPr>
          <w:rFonts w:ascii="Times New Roman" w:hAnsi="Times New Roman" w:cs="Times New Roman"/>
          <w:i/>
          <w:iCs/>
          <w:color w:val="242021"/>
          <w:sz w:val="18"/>
          <w:szCs w:val="18"/>
        </w:rPr>
        <w:t>p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&gt; 0.05.</w:t>
      </w:r>
      <w:bookmarkEnd w:id="0"/>
    </w:p>
    <w:p w:rsidR="00F46FEC" w:rsidRPr="003956BA" w:rsidRDefault="00F46FEC">
      <w:pPr>
        <w:rPr>
          <w:rFonts w:ascii="Calibri" w:hAnsi="Calibri" w:cs="Calibri"/>
          <w:b/>
          <w:bCs/>
          <w:color w:val="242021"/>
          <w:sz w:val="16"/>
          <w:szCs w:val="16"/>
        </w:rPr>
      </w:pPr>
    </w:p>
    <w:p w:rsidR="00F46FEC" w:rsidRPr="003956BA" w:rsidRDefault="003956BA">
      <w:pPr>
        <w:ind w:firstLineChars="150" w:firstLine="315"/>
      </w:pPr>
      <w:r w:rsidRPr="003956BA"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4944745" cy="4437380"/>
            <wp:effectExtent l="0" t="0" r="8255" b="7620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4745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FEC" w:rsidRPr="003956BA" w:rsidRDefault="003956BA">
      <w:r w:rsidRPr="003956BA">
        <w:rPr>
          <w:rFonts w:hint="eastAsia"/>
        </w:rPr>
        <w:t xml:space="preserve"> </w:t>
      </w:r>
    </w:p>
    <w:p w:rsidR="00F46FEC" w:rsidRPr="003956BA" w:rsidRDefault="003956BA">
      <w:pPr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Figure S2. </w:t>
      </w: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>Representative picture of pulmonary metastasis of individual mouse in each treatment group.</w:t>
      </w:r>
    </w:p>
    <w:p w:rsidR="00F46FEC" w:rsidRPr="003956BA" w:rsidRDefault="00F46FEC">
      <w:pPr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</w:p>
    <w:p w:rsidR="00F46FEC" w:rsidRPr="003956BA" w:rsidRDefault="00F46FEC">
      <w:pPr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</w:p>
    <w:p w:rsidR="00F46FEC" w:rsidRPr="003956BA" w:rsidRDefault="003956BA">
      <w:pPr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  <w:r w:rsidRPr="003956BA">
        <w:rPr>
          <w:rFonts w:ascii="Times New Roman" w:hAnsi="Times New Roman" w:cs="Times New Roman"/>
          <w:b/>
          <w:bCs/>
          <w:noProof/>
          <w:color w:val="242021"/>
          <w:sz w:val="18"/>
          <w:szCs w:val="18"/>
          <w:lang w:eastAsia="en-US"/>
        </w:rPr>
        <w:lastRenderedPageBreak/>
        <w:drawing>
          <wp:inline distT="0" distB="0" distL="0" distR="0">
            <wp:extent cx="5274310" cy="6387465"/>
            <wp:effectExtent l="0" t="0" r="2540" b="0"/>
            <wp:docPr id="12489730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973006" name="图片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8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FEC" w:rsidRPr="003956BA" w:rsidRDefault="00F46FEC">
      <w:pPr>
        <w:jc w:val="center"/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</w:p>
    <w:p w:rsidR="00F46FEC" w:rsidRPr="003956BA" w:rsidRDefault="003956BA">
      <w:pPr>
        <w:rPr>
          <w:rFonts w:ascii="Times New Roman" w:hAnsi="Times New Roman" w:cs="Times New Roman"/>
          <w:color w:val="242021"/>
          <w:sz w:val="18"/>
          <w:szCs w:val="18"/>
        </w:rPr>
      </w:pP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Figure S3. Gating strategies for all flow cytometric analyses.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(A)</w:t>
      </w:r>
      <w:r w:rsidRPr="003956BA">
        <w:t xml:space="preserve">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Gating strategies for Figure 4A, B, E and Figure 5 A, B, E</w:t>
      </w:r>
      <w:r w:rsidRPr="003956BA">
        <w:rPr>
          <w:rFonts w:ascii="Times New Roman" w:hAnsi="Times New Roman" w:cs="Times New Roman" w:hint="eastAsia"/>
          <w:color w:val="242021"/>
          <w:sz w:val="18"/>
          <w:szCs w:val="18"/>
        </w:rPr>
        <w:t>.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(B) Gating strategies for Figure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4C. (C) Gating strategies for Figure 4D and Figure 5F.</w:t>
      </w:r>
    </w:p>
    <w:p w:rsidR="00F46FEC" w:rsidRPr="003956BA" w:rsidRDefault="00F46FEC">
      <w:pPr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</w:p>
    <w:p w:rsidR="00F46FEC" w:rsidRPr="003956BA" w:rsidRDefault="003956BA">
      <w:pPr>
        <w:jc w:val="center"/>
        <w:rPr>
          <w:rFonts w:ascii="Calibri" w:hAnsi="Calibri" w:cs="Calibri"/>
          <w:b/>
          <w:bCs/>
          <w:color w:val="242021"/>
          <w:sz w:val="16"/>
          <w:szCs w:val="16"/>
        </w:rPr>
      </w:pPr>
      <w:r w:rsidRPr="003956BA">
        <w:rPr>
          <w:rFonts w:ascii="Calibri" w:hAnsi="Calibri" w:cs="Calibri"/>
          <w:b/>
          <w:bCs/>
          <w:noProof/>
          <w:color w:val="242021"/>
          <w:sz w:val="16"/>
          <w:szCs w:val="16"/>
          <w:lang w:eastAsia="en-US"/>
        </w:rPr>
        <w:lastRenderedPageBreak/>
        <w:drawing>
          <wp:inline distT="0" distB="0" distL="0" distR="0">
            <wp:extent cx="5146675" cy="2943225"/>
            <wp:effectExtent l="0" t="0" r="0" b="9525"/>
            <wp:docPr id="115625459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254596" name="图片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358" cy="294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FEC" w:rsidRPr="003956BA" w:rsidRDefault="00F46FEC">
      <w:pPr>
        <w:rPr>
          <w:rFonts w:ascii="Calibri" w:hAnsi="Calibri" w:cs="Calibri"/>
          <w:b/>
          <w:bCs/>
          <w:color w:val="242021"/>
          <w:sz w:val="16"/>
          <w:szCs w:val="16"/>
        </w:rPr>
      </w:pPr>
    </w:p>
    <w:p w:rsidR="00F46FEC" w:rsidRPr="003956BA" w:rsidRDefault="003956BA">
      <w:pPr>
        <w:rPr>
          <w:rFonts w:ascii="Times New Roman" w:hAnsi="Times New Roman" w:cs="Times New Roman"/>
          <w:color w:val="242021"/>
          <w:sz w:val="18"/>
          <w:szCs w:val="18"/>
        </w:rPr>
      </w:pP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>Figure S4. The influence of triple combining</w:t>
      </w:r>
      <w:r w:rsidRPr="003956BA">
        <w:rPr>
          <w:rFonts w:ascii="Times New Roman" w:hAnsi="Times New Roman" w:cs="Times New Roman"/>
          <w:b/>
          <w:bCs/>
          <w:i/>
          <w:iCs/>
          <w:color w:val="242021"/>
          <w:sz w:val="18"/>
          <w:szCs w:val="18"/>
        </w:rPr>
        <w:t xml:space="preserve"> in situ</w:t>
      </w: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 vaccine on the tumor microenvironment of </w:t>
      </w: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>treated</w:t>
      </w: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 tumors.</w:t>
      </w:r>
      <w:bookmarkStart w:id="1" w:name="OLE_LINK2"/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(A)</w:t>
      </w:r>
      <w:bookmarkEnd w:id="1"/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Proportion of</w:t>
      </w:r>
      <w:bookmarkStart w:id="2" w:name="OLE_LINK29"/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T cells (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CD3+ gate on CD45+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)</w:t>
      </w:r>
      <w:bookmarkEnd w:id="2"/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, (B) </w:t>
      </w:r>
      <w:bookmarkStart w:id="3" w:name="OLE_LINK1"/>
      <w:r w:rsidRPr="003956BA">
        <w:rPr>
          <w:rFonts w:ascii="Times New Roman" w:hAnsi="Times New Roman" w:cs="Times New Roman"/>
          <w:color w:val="242021"/>
          <w:sz w:val="18"/>
          <w:szCs w:val="18"/>
        </w:rPr>
        <w:t>M1</w:t>
      </w:r>
      <w:bookmarkEnd w:id="3"/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-like macrophages (M1,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F4/80+CD86+ gate on CD11b+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), </w:t>
      </w:r>
      <w:bookmarkStart w:id="4" w:name="OLE_LINK31"/>
      <w:r w:rsidRPr="003956BA">
        <w:rPr>
          <w:rFonts w:ascii="Times New Roman" w:hAnsi="Times New Roman" w:cs="Times New Roman"/>
          <w:color w:val="242021"/>
          <w:sz w:val="18"/>
          <w:szCs w:val="18"/>
        </w:rPr>
        <w:t>and (C)</w:t>
      </w:r>
      <w:r w:rsidRPr="003956BA">
        <w:rPr>
          <w:rFonts w:ascii="Times New Roman" w:hAnsi="Times New Roman" w:cs="Times New Roman"/>
          <w:sz w:val="18"/>
          <w:szCs w:val="18"/>
        </w:rPr>
        <w:t xml:space="preserve">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M1/M2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proportion </w:t>
      </w:r>
      <w:bookmarkEnd w:id="4"/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in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treated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tumors of C57BL/6 mice in each group a week after the last administration. Data are represented as mean ± </w:t>
      </w:r>
      <w:proofErr w:type="spellStart"/>
      <w:r w:rsidRPr="003956BA">
        <w:rPr>
          <w:rFonts w:ascii="Times New Roman" w:hAnsi="Times New Roman" w:cs="Times New Roman"/>
          <w:color w:val="242021"/>
          <w:sz w:val="18"/>
          <w:szCs w:val="18"/>
        </w:rPr>
        <w:t>s.e.m</w:t>
      </w:r>
      <w:proofErr w:type="spellEnd"/>
      <w:r w:rsidRPr="003956BA">
        <w:rPr>
          <w:rFonts w:ascii="Times New Roman" w:hAnsi="Times New Roman" w:cs="Times New Roman"/>
          <w:color w:val="242021"/>
          <w:sz w:val="18"/>
          <w:szCs w:val="18"/>
        </w:rPr>
        <w:t>. n=4-5. Student’s t test was used for statistical analysis. ns, not significant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representing </w:t>
      </w:r>
      <w:r w:rsidRPr="003956BA">
        <w:rPr>
          <w:rFonts w:ascii="Times New Roman" w:hAnsi="Times New Roman" w:cs="Times New Roman"/>
          <w:i/>
          <w:iCs/>
          <w:color w:val="242021"/>
          <w:sz w:val="18"/>
          <w:szCs w:val="18"/>
        </w:rPr>
        <w:t>p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&gt; 0.05, *</w:t>
      </w:r>
      <w:r w:rsidRPr="003956BA">
        <w:rPr>
          <w:rFonts w:ascii="Times New Roman" w:hAnsi="Times New Roman" w:cs="Times New Roman"/>
          <w:i/>
          <w:iCs/>
          <w:color w:val="242021"/>
          <w:sz w:val="18"/>
          <w:szCs w:val="18"/>
        </w:rPr>
        <w:t>p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&lt; 0.05, ** </w:t>
      </w:r>
      <w:r w:rsidRPr="003956BA">
        <w:rPr>
          <w:rFonts w:ascii="Times New Roman" w:hAnsi="Times New Roman" w:cs="Times New Roman"/>
          <w:i/>
          <w:iCs/>
          <w:color w:val="242021"/>
          <w:sz w:val="18"/>
          <w:szCs w:val="18"/>
        </w:rPr>
        <w:t>p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&lt; 0.01.</w:t>
      </w:r>
    </w:p>
    <w:p w:rsidR="00F46FEC" w:rsidRPr="003956BA" w:rsidRDefault="00F46FEC">
      <w:pPr>
        <w:rPr>
          <w:rFonts w:ascii="Calibri" w:hAnsi="Calibri" w:cs="Calibri"/>
          <w:color w:val="242021"/>
          <w:sz w:val="16"/>
          <w:szCs w:val="16"/>
        </w:rPr>
      </w:pPr>
    </w:p>
    <w:p w:rsidR="00F46FEC" w:rsidRPr="003956BA" w:rsidRDefault="00F46FEC">
      <w:pPr>
        <w:rPr>
          <w:rFonts w:ascii="Calibri" w:hAnsi="Calibri" w:cs="Calibri"/>
          <w:color w:val="242021"/>
          <w:sz w:val="16"/>
          <w:szCs w:val="16"/>
        </w:rPr>
      </w:pPr>
    </w:p>
    <w:p w:rsidR="00F46FEC" w:rsidRPr="003956BA" w:rsidRDefault="003956BA">
      <w:pPr>
        <w:rPr>
          <w:rFonts w:ascii="Calibri" w:hAnsi="Calibri" w:cs="Calibri"/>
          <w:color w:val="242021"/>
          <w:sz w:val="16"/>
          <w:szCs w:val="16"/>
        </w:rPr>
      </w:pPr>
      <w:r w:rsidRPr="003956BA">
        <w:rPr>
          <w:rFonts w:ascii="Calibri" w:hAnsi="Calibri" w:cs="Calibri"/>
          <w:noProof/>
          <w:color w:val="242021"/>
          <w:sz w:val="16"/>
          <w:szCs w:val="16"/>
          <w:lang w:eastAsia="en-US"/>
        </w:rPr>
        <w:drawing>
          <wp:inline distT="0" distB="0" distL="0" distR="0">
            <wp:extent cx="5274310" cy="28638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FEC" w:rsidRPr="003956BA" w:rsidRDefault="00F46FEC">
      <w:pPr>
        <w:rPr>
          <w:rFonts w:ascii="Calibri" w:hAnsi="Calibri" w:cs="Calibri"/>
          <w:color w:val="242021"/>
          <w:sz w:val="16"/>
          <w:szCs w:val="16"/>
        </w:rPr>
      </w:pPr>
    </w:p>
    <w:p w:rsidR="00F46FEC" w:rsidRPr="003956BA" w:rsidRDefault="003956BA">
      <w:pPr>
        <w:rPr>
          <w:rFonts w:ascii="Times New Roman" w:hAnsi="Times New Roman" w:cs="Times New Roman"/>
          <w:sz w:val="18"/>
          <w:szCs w:val="18"/>
        </w:rPr>
      </w:pP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Figure S5. The influence of triple combining </w:t>
      </w:r>
      <w:r w:rsidRPr="003956BA">
        <w:rPr>
          <w:rFonts w:ascii="Times New Roman" w:hAnsi="Times New Roman" w:cs="Times New Roman"/>
          <w:b/>
          <w:bCs/>
          <w:i/>
          <w:iCs/>
          <w:color w:val="242021"/>
          <w:sz w:val="18"/>
          <w:szCs w:val="18"/>
        </w:rPr>
        <w:t>in situ</w:t>
      </w: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 vaccine on the tumor microenvironment of untreated </w:t>
      </w:r>
      <w:proofErr w:type="spellStart"/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>abscopal</w:t>
      </w:r>
      <w:proofErr w:type="spellEnd"/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 tumors.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(A, B) Proportion of (A) T cells (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CD3+ gate on CD45+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) and (B) cytotoxic T cells (</w:t>
      </w:r>
      <w:bookmarkStart w:id="5" w:name="OLE_LINK30"/>
      <w:r w:rsidRPr="003956BA">
        <w:rPr>
          <w:rFonts w:ascii="Times New Roman" w:hAnsi="Times New Roman" w:cs="Times New Roman"/>
          <w:color w:val="242021"/>
          <w:sz w:val="18"/>
          <w:szCs w:val="18"/>
        </w:rPr>
        <w:t>CTLs</w:t>
      </w:r>
      <w:bookmarkEnd w:id="5"/>
      <w:r w:rsidRPr="003956BA">
        <w:rPr>
          <w:rFonts w:ascii="Times New Roman" w:hAnsi="Times New Roman" w:cs="Times New Roman"/>
          <w:color w:val="242021"/>
          <w:sz w:val="18"/>
          <w:szCs w:val="18"/>
        </w:rPr>
        <w:t>, CD8+ gate on CD3+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) in untreated </w:t>
      </w:r>
      <w:proofErr w:type="spellStart"/>
      <w:r w:rsidRPr="003956BA">
        <w:rPr>
          <w:rFonts w:ascii="Times New Roman" w:hAnsi="Times New Roman" w:cs="Times New Roman"/>
          <w:color w:val="242021"/>
          <w:sz w:val="18"/>
          <w:szCs w:val="18"/>
        </w:rPr>
        <w:t>abscopal</w:t>
      </w:r>
      <w:proofErr w:type="spellEnd"/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tumors of C57BL/6 mice in each group a week after the last administration. Data are represented as mean ± </w:t>
      </w:r>
      <w:proofErr w:type="spellStart"/>
      <w:r w:rsidRPr="003956BA">
        <w:rPr>
          <w:rFonts w:ascii="Times New Roman" w:hAnsi="Times New Roman" w:cs="Times New Roman"/>
          <w:color w:val="242021"/>
          <w:sz w:val="18"/>
          <w:szCs w:val="18"/>
        </w:rPr>
        <w:t>s.e.m</w:t>
      </w:r>
      <w:proofErr w:type="spellEnd"/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. n=4-9. Student’s t test was used for statistical analysis. ns, not significant representing </w:t>
      </w:r>
      <w:r w:rsidRPr="003956BA">
        <w:rPr>
          <w:rFonts w:ascii="Times New Roman" w:hAnsi="Times New Roman" w:cs="Times New Roman"/>
          <w:i/>
          <w:iCs/>
          <w:color w:val="242021"/>
          <w:sz w:val="18"/>
          <w:szCs w:val="18"/>
        </w:rPr>
        <w:t>p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&gt;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0.05.</w:t>
      </w:r>
    </w:p>
    <w:p w:rsidR="00F46FEC" w:rsidRPr="003956BA" w:rsidRDefault="00F46FEC">
      <w:pPr>
        <w:rPr>
          <w:rFonts w:ascii="Calibri" w:hAnsi="Calibri" w:cs="Calibri"/>
          <w:color w:val="242021"/>
          <w:sz w:val="16"/>
          <w:szCs w:val="16"/>
        </w:rPr>
      </w:pPr>
    </w:p>
    <w:p w:rsidR="00F46FEC" w:rsidRPr="003956BA" w:rsidRDefault="003956BA">
      <w:r w:rsidRPr="003956BA">
        <w:rPr>
          <w:noProof/>
          <w:lang w:eastAsia="en-US"/>
        </w:rPr>
        <w:drawing>
          <wp:inline distT="0" distB="0" distL="0" distR="0">
            <wp:extent cx="5274310" cy="2640965"/>
            <wp:effectExtent l="0" t="0" r="2540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FEC" w:rsidRPr="003956BA" w:rsidRDefault="00F46FEC"/>
    <w:p w:rsidR="00F46FEC" w:rsidRPr="003956BA" w:rsidRDefault="003956BA">
      <w:pPr>
        <w:rPr>
          <w:rFonts w:ascii="Times New Roman" w:hAnsi="Times New Roman" w:cs="Times New Roman"/>
          <w:color w:val="242021"/>
          <w:sz w:val="18"/>
          <w:szCs w:val="18"/>
        </w:rPr>
      </w:pP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Figure S6. GSEA plot of some notable up-regulated and down-regulated enriched gene sets in </w:t>
      </w: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tumors receiving triple </w:t>
      </w:r>
      <w:r w:rsidRPr="003956BA">
        <w:rPr>
          <w:rFonts w:ascii="Times New Roman" w:hAnsi="Times New Roman" w:cs="Times New Roman"/>
          <w:b/>
          <w:bCs/>
          <w:i/>
          <w:iCs/>
          <w:color w:val="242021"/>
          <w:sz w:val="18"/>
          <w:szCs w:val="18"/>
        </w:rPr>
        <w:t>in situ</w:t>
      </w: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 vaccine</w:t>
      </w: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. </w:t>
      </w:r>
      <w:r w:rsidRPr="003956BA">
        <w:rPr>
          <w:rFonts w:ascii="Times New Roman" w:hAnsi="Times New Roman" w:cs="Times New Roman"/>
          <w:color w:val="242021"/>
          <w:kern w:val="0"/>
          <w:sz w:val="18"/>
          <w:szCs w:val="18"/>
        </w:rPr>
        <w:t xml:space="preserve">(A)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Up-regulated enriched gene sets associated with immune activation. </w:t>
      </w:r>
      <w:r w:rsidRPr="003956BA">
        <w:rPr>
          <w:rFonts w:ascii="Times New Roman" w:hAnsi="Times New Roman" w:cs="Times New Roman"/>
          <w:color w:val="242021"/>
          <w:kern w:val="0"/>
          <w:sz w:val="18"/>
          <w:szCs w:val="18"/>
        </w:rPr>
        <w:t xml:space="preserve">(B, C)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Down-regulated enriched gene sets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associated with (B) amino acids metabolism and (C) DNA repair.</w:t>
      </w:r>
    </w:p>
    <w:p w:rsidR="00F46FEC" w:rsidRPr="003956BA" w:rsidRDefault="00F46FEC">
      <w:pPr>
        <w:rPr>
          <w:rFonts w:ascii="Times New Roman" w:hAnsi="Times New Roman" w:cs="Times New Roman"/>
          <w:color w:val="242021"/>
          <w:sz w:val="18"/>
          <w:szCs w:val="18"/>
        </w:rPr>
      </w:pPr>
    </w:p>
    <w:p w:rsidR="00F46FEC" w:rsidRPr="003956BA" w:rsidRDefault="00F46FEC">
      <w:pPr>
        <w:rPr>
          <w:rFonts w:ascii="Times New Roman" w:hAnsi="Times New Roman" w:cs="Times New Roman"/>
          <w:color w:val="242021"/>
          <w:sz w:val="18"/>
          <w:szCs w:val="18"/>
        </w:rPr>
      </w:pPr>
    </w:p>
    <w:p w:rsidR="00F46FEC" w:rsidRPr="003956BA" w:rsidRDefault="00F46FEC">
      <w:pPr>
        <w:rPr>
          <w:rFonts w:ascii="Times New Roman" w:hAnsi="Times New Roman" w:cs="Times New Roman"/>
          <w:color w:val="242021"/>
          <w:sz w:val="18"/>
          <w:szCs w:val="18"/>
        </w:rPr>
      </w:pPr>
    </w:p>
    <w:p w:rsidR="00F46FEC" w:rsidRPr="003956BA" w:rsidRDefault="003956BA">
      <w:pPr>
        <w:jc w:val="center"/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  <w:r w:rsidRPr="003956BA">
        <w:rPr>
          <w:rFonts w:ascii="Times New Roman" w:hAnsi="Times New Roman" w:cs="Times New Roman" w:hint="eastAsia"/>
          <w:b/>
          <w:bCs/>
          <w:noProof/>
          <w:color w:val="242021"/>
          <w:sz w:val="18"/>
          <w:szCs w:val="18"/>
          <w:lang w:eastAsia="en-US"/>
        </w:rPr>
        <w:drawing>
          <wp:inline distT="0" distB="0" distL="0" distR="0">
            <wp:extent cx="4888865" cy="3536950"/>
            <wp:effectExtent l="0" t="0" r="6985" b="6350"/>
            <wp:docPr id="475059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05923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3514" cy="3547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FEC" w:rsidRPr="003956BA" w:rsidRDefault="00F46FEC">
      <w:pPr>
        <w:jc w:val="center"/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</w:p>
    <w:p w:rsidR="00F46FEC" w:rsidRPr="003956BA" w:rsidRDefault="003956BA">
      <w:pPr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Figure S7. </w:t>
      </w:r>
      <w:bookmarkStart w:id="6" w:name="_Hlk142082103"/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Individual </w:t>
      </w:r>
      <w:r w:rsidRPr="003956BA">
        <w:rPr>
          <w:rFonts w:ascii="Times New Roman" w:hAnsi="Times New Roman" w:cs="Times New Roman" w:hint="eastAsia"/>
          <w:b/>
          <w:bCs/>
          <w:color w:val="242021"/>
          <w:sz w:val="18"/>
          <w:szCs w:val="18"/>
        </w:rPr>
        <w:t>t</w:t>
      </w:r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>umor growth curves of each mouse in different groups</w:t>
      </w:r>
      <w:bookmarkEnd w:id="6"/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 xml:space="preserve"> (n = 6-7).</w:t>
      </w:r>
    </w:p>
    <w:p w:rsidR="00F46FEC" w:rsidRPr="003956BA" w:rsidRDefault="00F46FEC">
      <w:pPr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</w:p>
    <w:p w:rsidR="00F46FEC" w:rsidRPr="003956BA" w:rsidRDefault="00F46FEC">
      <w:pPr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</w:p>
    <w:p w:rsidR="00F46FEC" w:rsidRPr="003956BA" w:rsidRDefault="00F46FEC">
      <w:pPr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</w:p>
    <w:p w:rsidR="00F46FEC" w:rsidRPr="003956BA" w:rsidRDefault="00F46FEC">
      <w:pPr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</w:p>
    <w:p w:rsidR="00F46FEC" w:rsidRPr="003956BA" w:rsidRDefault="003956BA">
      <w:pPr>
        <w:jc w:val="center"/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  <w:r w:rsidRPr="003956BA">
        <w:rPr>
          <w:rFonts w:ascii="Times New Roman" w:hAnsi="Times New Roman" w:cs="Times New Roman" w:hint="eastAsia"/>
          <w:noProof/>
          <w:color w:val="242021"/>
          <w:sz w:val="18"/>
          <w:szCs w:val="18"/>
          <w:lang w:eastAsia="en-US"/>
        </w:rPr>
        <w:drawing>
          <wp:inline distT="0" distB="0" distL="114300" distR="114300">
            <wp:extent cx="3785870" cy="2563495"/>
            <wp:effectExtent l="0" t="0" r="0" b="0"/>
            <wp:docPr id="3" name="图片 3" descr="volu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volum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09889" cy="258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FEC" w:rsidRPr="003956BA" w:rsidRDefault="00F46FEC">
      <w:pPr>
        <w:jc w:val="center"/>
        <w:rPr>
          <w:rFonts w:ascii="Times New Roman" w:hAnsi="Times New Roman" w:cs="Times New Roman"/>
          <w:b/>
          <w:bCs/>
          <w:color w:val="242021"/>
          <w:sz w:val="18"/>
          <w:szCs w:val="18"/>
        </w:rPr>
      </w:pPr>
    </w:p>
    <w:p w:rsidR="00F46FEC" w:rsidRDefault="003956BA">
      <w:pPr>
        <w:rPr>
          <w:rFonts w:ascii="Times New Roman" w:hAnsi="Times New Roman" w:cs="Times New Roman"/>
          <w:color w:val="242021"/>
          <w:sz w:val="18"/>
          <w:szCs w:val="18"/>
        </w:rPr>
      </w:pPr>
      <w:bookmarkStart w:id="7" w:name="_GoBack"/>
      <w:r w:rsidRPr="003956BA">
        <w:rPr>
          <w:rFonts w:ascii="Times New Roman" w:hAnsi="Times New Roman" w:cs="Times New Roman"/>
          <w:b/>
          <w:bCs/>
          <w:color w:val="242021"/>
          <w:sz w:val="18"/>
          <w:szCs w:val="18"/>
        </w:rPr>
        <w:t>Figure S8. Tumor growth curves of different genders.</w:t>
      </w:r>
      <w:r w:rsidRPr="003956BA">
        <w:rPr>
          <w:rFonts w:ascii="Times New Roman" w:hAnsi="Times New Roman" w:cs="Times New Roman"/>
          <w:color w:val="002060"/>
          <w:szCs w:val="21"/>
        </w:rPr>
        <w:t xml:space="preserve">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Male and female C57BL/6 mice </w:t>
      </w:r>
      <w:r w:rsidRPr="003956BA">
        <w:rPr>
          <w:rFonts w:ascii="Times New Roman" w:hAnsi="Times New Roman" w:cs="Times New Roman" w:hint="eastAsia"/>
          <w:color w:val="242021"/>
          <w:sz w:val="18"/>
          <w:szCs w:val="18"/>
        </w:rPr>
        <w:t>aged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6-7 w</w:t>
      </w:r>
      <w:r w:rsidRPr="003956BA">
        <w:rPr>
          <w:rFonts w:ascii="Times New Roman" w:hAnsi="Times New Roman" w:cs="Times New Roman" w:hint="eastAsia"/>
          <w:color w:val="242021"/>
          <w:sz w:val="18"/>
          <w:szCs w:val="18"/>
        </w:rPr>
        <w:t>ee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k</w:t>
      </w:r>
      <w:r w:rsidRPr="003956BA">
        <w:rPr>
          <w:rFonts w:ascii="Times New Roman" w:hAnsi="Times New Roman" w:cs="Times New Roman" w:hint="eastAsia"/>
          <w:color w:val="242021"/>
          <w:sz w:val="18"/>
          <w:szCs w:val="18"/>
        </w:rPr>
        <w:t>s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, kept under the same condition, </w:t>
      </w:r>
      <w:r w:rsidRPr="003956BA">
        <w:rPr>
          <w:rFonts w:ascii="Times New Roman" w:hAnsi="Times New Roman" w:cs="Times New Roman" w:hint="eastAsia"/>
          <w:color w:val="242021"/>
          <w:sz w:val="18"/>
          <w:szCs w:val="18"/>
        </w:rPr>
        <w:t>were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subcutaneously inoculated </w:t>
      </w:r>
      <w:r w:rsidRPr="003956BA">
        <w:rPr>
          <w:rFonts w:ascii="Times New Roman" w:hAnsi="Times New Roman" w:cs="Times New Roman" w:hint="eastAsia"/>
          <w:color w:val="242021"/>
          <w:sz w:val="18"/>
          <w:szCs w:val="18"/>
        </w:rPr>
        <w:t>with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5</w:t>
      </w:r>
      <w:r w:rsidRPr="003956BA">
        <w:rPr>
          <w:rFonts w:ascii="Times New Roman" w:hAnsi="Times New Roman" w:cs="Times New Roman" w:hint="eastAsia"/>
          <w:color w:val="242021"/>
          <w:sz w:val="18"/>
          <w:szCs w:val="18"/>
        </w:rPr>
        <w:t>×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>10</w:t>
      </w:r>
      <w:r w:rsidRPr="003956BA">
        <w:rPr>
          <w:rFonts w:ascii="Times New Roman" w:hAnsi="Times New Roman" w:cs="Times New Roman"/>
          <w:color w:val="242021"/>
          <w:sz w:val="18"/>
          <w:szCs w:val="18"/>
          <w:vertAlign w:val="superscript"/>
        </w:rPr>
        <w:t>5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B16F10 cells. Tumor growth curves were recorded as mentioned in “Methods”.</w:t>
      </w:r>
      <w:r w:rsidRPr="003956BA">
        <w:t xml:space="preserve"> 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Data are represented as mean ± </w:t>
      </w:r>
      <w:proofErr w:type="spellStart"/>
      <w:r w:rsidRPr="003956BA">
        <w:rPr>
          <w:rFonts w:ascii="Times New Roman" w:hAnsi="Times New Roman" w:cs="Times New Roman"/>
          <w:color w:val="242021"/>
          <w:sz w:val="18"/>
          <w:szCs w:val="18"/>
        </w:rPr>
        <w:t>s.e.m</w:t>
      </w:r>
      <w:proofErr w:type="spellEnd"/>
      <w:r w:rsidRPr="003956BA">
        <w:rPr>
          <w:rFonts w:ascii="Times New Roman" w:hAnsi="Times New Roman" w:cs="Times New Roman"/>
          <w:color w:val="242021"/>
          <w:sz w:val="18"/>
          <w:szCs w:val="18"/>
        </w:rPr>
        <w:t>., n=5. Student’s t test was used for statistical analysis. ns, no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t significant representing </w:t>
      </w:r>
      <w:r w:rsidRPr="003956BA">
        <w:rPr>
          <w:rFonts w:ascii="Times New Roman" w:hAnsi="Times New Roman" w:cs="Times New Roman"/>
          <w:i/>
          <w:iCs/>
          <w:color w:val="242021"/>
          <w:sz w:val="18"/>
          <w:szCs w:val="18"/>
        </w:rPr>
        <w:t>p</w:t>
      </w:r>
      <w:r w:rsidRPr="003956BA">
        <w:rPr>
          <w:rFonts w:ascii="Times New Roman" w:hAnsi="Times New Roman" w:cs="Times New Roman"/>
          <w:color w:val="242021"/>
          <w:sz w:val="18"/>
          <w:szCs w:val="18"/>
        </w:rPr>
        <w:t xml:space="preserve"> &gt; 0.05.</w:t>
      </w:r>
      <w:bookmarkEnd w:id="7"/>
      <w:r>
        <w:rPr>
          <w:rFonts w:ascii="Times New Roman" w:hAnsi="Times New Roman" w:cs="Times New Roman"/>
          <w:color w:val="242021"/>
          <w:sz w:val="18"/>
          <w:szCs w:val="18"/>
        </w:rPr>
        <w:t xml:space="preserve"> </w:t>
      </w:r>
    </w:p>
    <w:p w:rsidR="00F46FEC" w:rsidRDefault="00F46FEC"/>
    <w:sectPr w:rsidR="00F46F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ZhNTI5YjNlNTBlYzhlYWU4YjUyYTg1ZDljMjIwYmIifQ=="/>
  </w:docVars>
  <w:rsids>
    <w:rsidRoot w:val="00BA012D"/>
    <w:rsid w:val="00063A70"/>
    <w:rsid w:val="000A6592"/>
    <w:rsid w:val="000E61FB"/>
    <w:rsid w:val="00146F5D"/>
    <w:rsid w:val="001B3FD2"/>
    <w:rsid w:val="002479A7"/>
    <w:rsid w:val="00271B56"/>
    <w:rsid w:val="002B3494"/>
    <w:rsid w:val="003504AC"/>
    <w:rsid w:val="00376728"/>
    <w:rsid w:val="003956BA"/>
    <w:rsid w:val="003C041E"/>
    <w:rsid w:val="003D3E7E"/>
    <w:rsid w:val="00453EEA"/>
    <w:rsid w:val="00480A82"/>
    <w:rsid w:val="004815FB"/>
    <w:rsid w:val="004A1B93"/>
    <w:rsid w:val="00576ADD"/>
    <w:rsid w:val="00597C58"/>
    <w:rsid w:val="005F3FD5"/>
    <w:rsid w:val="006513B9"/>
    <w:rsid w:val="006C38F8"/>
    <w:rsid w:val="006D74B4"/>
    <w:rsid w:val="006E7F75"/>
    <w:rsid w:val="006F317C"/>
    <w:rsid w:val="0070459E"/>
    <w:rsid w:val="007E6EE5"/>
    <w:rsid w:val="00804646"/>
    <w:rsid w:val="00827D3F"/>
    <w:rsid w:val="0083648C"/>
    <w:rsid w:val="008F7A4A"/>
    <w:rsid w:val="009D7AA6"/>
    <w:rsid w:val="00A40CBC"/>
    <w:rsid w:val="00A51456"/>
    <w:rsid w:val="00AD5EDF"/>
    <w:rsid w:val="00BA012D"/>
    <w:rsid w:val="00BF3EAF"/>
    <w:rsid w:val="00C20493"/>
    <w:rsid w:val="00C92EBC"/>
    <w:rsid w:val="00D103FC"/>
    <w:rsid w:val="00D37305"/>
    <w:rsid w:val="00D3755C"/>
    <w:rsid w:val="00D95977"/>
    <w:rsid w:val="00E43C88"/>
    <w:rsid w:val="00EB6FD2"/>
    <w:rsid w:val="00F3313D"/>
    <w:rsid w:val="00F367E7"/>
    <w:rsid w:val="00F46FEC"/>
    <w:rsid w:val="00F91B20"/>
    <w:rsid w:val="00F94ACB"/>
    <w:rsid w:val="00FE2A87"/>
    <w:rsid w:val="00FF305E"/>
    <w:rsid w:val="11626D4D"/>
    <w:rsid w:val="324E734D"/>
    <w:rsid w:val="69A71C19"/>
    <w:rsid w:val="71F7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7D0507-D929-4791-8449-EA98DD11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6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 智沉</dc:creator>
  <cp:lastModifiedBy>Jini Mol</cp:lastModifiedBy>
  <cp:revision>34</cp:revision>
  <dcterms:created xsi:type="dcterms:W3CDTF">2022-10-19T12:20:00Z</dcterms:created>
  <dcterms:modified xsi:type="dcterms:W3CDTF">2023-09-06T13:40:00Z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9B9F1BA5073A45C9823016A9363ADD91_13</vt:lpwstr>
  </property>
</Properties>
</file>