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71" w:rsidRPr="009336AC" w:rsidRDefault="009336AC">
      <w:pPr>
        <w:widowControl/>
        <w:jc w:val="left"/>
        <w:rPr>
          <w:rFonts w:ascii="Calibri" w:eastAsia="Times New Roman" w:hAnsi="Calibri" w:cs="Calibri"/>
          <w:kern w:val="0"/>
          <w:sz w:val="24"/>
          <w:szCs w:val="24"/>
        </w:rPr>
      </w:pPr>
      <w:bookmarkStart w:id="0" w:name="_Hlk133440478"/>
      <w:r w:rsidRPr="009336AC">
        <w:rPr>
          <w:rFonts w:ascii="Calibri" w:eastAsia="Times New Roman" w:hAnsi="Calibri" w:cs="Calibri"/>
          <w:kern w:val="0"/>
          <w:sz w:val="24"/>
          <w:szCs w:val="24"/>
        </w:rPr>
        <w:t>Supporting information for</w:t>
      </w:r>
    </w:p>
    <w:p w:rsidR="00074171" w:rsidRPr="009336AC" w:rsidRDefault="00074171">
      <w:pPr>
        <w:widowControl/>
        <w:jc w:val="center"/>
        <w:rPr>
          <w:rFonts w:ascii="Calibri" w:eastAsia="Times New Roman" w:hAnsi="Calibri" w:cs="Calibri"/>
          <w:kern w:val="0"/>
          <w:sz w:val="24"/>
          <w:szCs w:val="24"/>
        </w:rPr>
      </w:pPr>
    </w:p>
    <w:p w:rsidR="00074171" w:rsidRPr="009336AC" w:rsidRDefault="009336AC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9336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Genetic evidence strengthens the bidirectional connection between gut microbiota and periodontitis: </w:t>
      </w:r>
      <w:r w:rsidRPr="009336AC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</w:rPr>
        <w:t>i</w:t>
      </w:r>
      <w:r w:rsidRPr="009336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nsights from a two-sample Mendelian randomization study</w:t>
      </w:r>
    </w:p>
    <w:p w:rsidR="00074171" w:rsidRPr="009336AC" w:rsidRDefault="00074171">
      <w:pPr>
        <w:widowControl/>
        <w:jc w:val="center"/>
        <w:rPr>
          <w:rFonts w:ascii="Calibri" w:eastAsia="DengXian" w:hAnsi="Calibri" w:cs="Calibri"/>
          <w:kern w:val="0"/>
          <w:sz w:val="24"/>
          <w:szCs w:val="24"/>
        </w:rPr>
      </w:pPr>
    </w:p>
    <w:p w:rsidR="00074171" w:rsidRPr="009336AC" w:rsidRDefault="009336AC">
      <w:pPr>
        <w:widowControl/>
        <w:spacing w:line="360" w:lineRule="auto"/>
        <w:jc w:val="center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</w:rPr>
      </w:pPr>
      <w:r w:rsidRPr="009336A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</w:rPr>
        <w:t>Xinjian Ye, Bin Liu, Yijing Bai, Yue Cao, Sirui Lin, Linshuoshuo Lyu,</w:t>
      </w:r>
      <w:r w:rsidRPr="009336A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</w:rPr>
        <w:t xml:space="preserve"> Haohao Meng, Yuwei Dai, Ding Ye, Weiyi Pan, Z</w:t>
      </w:r>
      <w:r w:rsidRPr="009336AC">
        <w:rPr>
          <w:rFonts w:ascii="Calibri" w:hAnsi="Calibri" w:cs="Calibri"/>
          <w:i/>
          <w:iCs/>
          <w:color w:val="000000"/>
          <w:kern w:val="0"/>
          <w:sz w:val="24"/>
          <w:szCs w:val="24"/>
        </w:rPr>
        <w:t>hiyong</w:t>
      </w:r>
      <w:r w:rsidRPr="009336A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</w:rPr>
        <w:t xml:space="preserve"> Wang, Yingying Mao &amp; Qianming Chen</w:t>
      </w:r>
    </w:p>
    <w:p w:rsidR="00074171" w:rsidRPr="009336AC" w:rsidRDefault="00074171">
      <w:pPr>
        <w:widowControl/>
        <w:spacing w:line="360" w:lineRule="auto"/>
        <w:jc w:val="center"/>
        <w:rPr>
          <w:rFonts w:ascii="Calibri" w:eastAsia="DengXian Light" w:hAnsi="Calibri" w:cs="Calibri"/>
          <w:b/>
          <w:bCs/>
          <w:kern w:val="0"/>
          <w:sz w:val="28"/>
          <w:szCs w:val="28"/>
          <w:lang w:eastAsia="en-US"/>
        </w:rPr>
      </w:pPr>
    </w:p>
    <w:p w:rsidR="00074171" w:rsidRPr="009336AC" w:rsidRDefault="009336AC">
      <w:pPr>
        <w:pStyle w:val="et10"/>
        <w:jc w:val="center"/>
        <w:rPr>
          <w:rFonts w:ascii="Calibri" w:hAnsi="Calibri" w:cs="Calibri"/>
          <w:b/>
          <w:bCs/>
        </w:rPr>
      </w:pPr>
      <w:bookmarkStart w:id="1" w:name="OLE_LINK1"/>
      <w:r w:rsidRPr="009336AC">
        <w:rPr>
          <w:rFonts w:ascii="Calibri" w:hAnsi="Calibri" w:cs="Calibri"/>
          <w:b/>
          <w:bCs/>
        </w:rPr>
        <w:t>Additional file 2: Supplementary Figures</w:t>
      </w:r>
      <w:bookmarkEnd w:id="1"/>
    </w:p>
    <w:bookmarkStart w:id="2" w:name="_Hlk133505310" w:displacedByCustomXml="next"/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zh-CN"/>
        </w:rPr>
        <w:id w:val="-1656597243"/>
        <w:docPartObj>
          <w:docPartGallery w:val="Table of Contents"/>
          <w:docPartUnique/>
        </w:docPartObj>
      </w:sdtPr>
      <w:sdtEndPr/>
      <w:sdtContent>
        <w:p w:rsidR="00074171" w:rsidRPr="009336AC" w:rsidRDefault="009336AC">
          <w:pPr>
            <w:pStyle w:val="TOCHeading1"/>
            <w:spacing w:line="360" w:lineRule="auto"/>
            <w:rPr>
              <w:rFonts w:ascii="Calibri" w:hAnsi="Calibri" w:cs="Calibri"/>
              <w:b/>
              <w:bCs/>
              <w:color w:val="auto"/>
              <w:sz w:val="28"/>
              <w:szCs w:val="28"/>
            </w:rPr>
          </w:pPr>
          <w:r w:rsidRPr="009336AC">
            <w:rPr>
              <w:rFonts w:ascii="Calibri" w:hAnsi="Calibri" w:cs="Calibri"/>
              <w:b/>
              <w:bCs/>
              <w:color w:val="auto"/>
              <w:sz w:val="28"/>
              <w:szCs w:val="28"/>
            </w:rPr>
            <w:t>Figure of Contents</w:t>
          </w:r>
        </w:p>
        <w:p w:rsidR="00074171" w:rsidRPr="009336AC" w:rsidRDefault="00074171"/>
        <w:bookmarkEnd w:id="2"/>
        <w:p w:rsidR="00074171" w:rsidRPr="009336AC" w:rsidRDefault="009336AC">
          <w:pPr>
            <w:pStyle w:val="TableofFigures"/>
            <w:tabs>
              <w:tab w:val="right" w:leader="dot" w:pos="9736"/>
            </w:tabs>
            <w:spacing w:line="360" w:lineRule="auto"/>
            <w:ind w:left="900" w:hanging="480"/>
            <w:jc w:val="left"/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</w:pPr>
          <w:r w:rsidRPr="009336AC"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  <w:fldChar w:fldCharType="begin"/>
          </w:r>
          <w:r w:rsidRPr="009336AC"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  <w:instrText xml:space="preserve"> TOC \h \z \c "Figure" </w:instrText>
          </w:r>
          <w:r w:rsidRPr="009336AC"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  <w:fldChar w:fldCharType="separate"/>
          </w:r>
          <w:hyperlink w:anchor="_Toc133445277" w:history="1"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Fig</w:t>
            </w:r>
            <w:r w:rsidRPr="009336AC">
              <w:rPr>
                <w:rStyle w:val="Hyperlink"/>
                <w:rFonts w:ascii="Calibri" w:eastAsia="Microsoft YaHei" w:hAnsi="Calibri" w:cs="Calibri" w:hint="eastAsia"/>
                <w:b/>
                <w:bCs/>
                <w:i/>
                <w:iCs/>
                <w:sz w:val="24"/>
                <w:szCs w:val="24"/>
              </w:rPr>
              <w:t>.</w:t>
            </w:r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 xml:space="preserve"> S1. Forest plot of the results after removing potential pleiotropic SNPs. </w: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ab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instrText xml:space="preserve"> PAGEREF _Toc133445277 \h </w:instrTex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2</w: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end"/>
            </w:r>
          </w:hyperlink>
        </w:p>
        <w:p w:rsidR="00074171" w:rsidRPr="009336AC" w:rsidRDefault="009336AC">
          <w:pPr>
            <w:pStyle w:val="TableofFigures"/>
            <w:tabs>
              <w:tab w:val="right" w:leader="dot" w:pos="9736"/>
            </w:tabs>
            <w:spacing w:line="360" w:lineRule="auto"/>
            <w:ind w:left="840" w:hanging="420"/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</w:pPr>
          <w:hyperlink w:anchor="_Toc133445278" w:history="1"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Fig</w:t>
            </w:r>
            <w:r w:rsidRPr="009336AC">
              <w:rPr>
                <w:rStyle w:val="Hyperlink"/>
                <w:rFonts w:ascii="Calibri" w:eastAsia="Microsoft YaHei" w:hAnsi="Calibri" w:cs="Calibri" w:hint="eastAsia"/>
                <w:b/>
                <w:bCs/>
                <w:i/>
                <w:iCs/>
                <w:sz w:val="24"/>
                <w:szCs w:val="24"/>
              </w:rPr>
              <w:t>.</w:t>
            </w:r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 xml:space="preserve"> S2. Results of leave-one-out sensitivity analys</w:t>
            </w:r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is.</w: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ab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instrText xml:space="preserve"> PAGEREF _Toc133445278 \h </w:instrTex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3</w: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end"/>
            </w:r>
          </w:hyperlink>
        </w:p>
        <w:p w:rsidR="00074171" w:rsidRPr="009336AC" w:rsidRDefault="009336AC">
          <w:pPr>
            <w:pStyle w:val="TableofFigures"/>
            <w:tabs>
              <w:tab w:val="right" w:leader="dot" w:pos="9736"/>
            </w:tabs>
            <w:spacing w:line="360" w:lineRule="auto"/>
            <w:ind w:left="1470" w:hangingChars="500" w:hanging="1050"/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</w:pPr>
          <w:hyperlink w:anchor="_Toc133445279" w:history="1"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Fig</w:t>
            </w:r>
            <w:r w:rsidRPr="009336AC">
              <w:rPr>
                <w:rStyle w:val="Hyperlink"/>
                <w:rFonts w:ascii="Calibri" w:eastAsia="Microsoft YaHei" w:hAnsi="Calibri" w:cs="Calibri" w:hint="eastAsia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 xml:space="preserve">S3. Forest plot of the results in reverse MR for the causal effects of periodontitis on genetically predicted gut </w:t>
            </w:r>
            <w:r w:rsidRPr="009336AC">
              <w:rPr>
                <w:rStyle w:val="Hyperlink"/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microbiota composition.</w: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ab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instrText xml:space="preserve"> PAGEREF _Toc133445279 \h </w:instrTex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t>4</w:t>
            </w:r>
            <w:r w:rsidRPr="009336AC">
              <w:rPr>
                <w:rFonts w:ascii="Calibri" w:eastAsia="Microsoft YaHei" w:hAnsi="Calibri" w:cs="Calibri"/>
                <w:b/>
                <w:bCs/>
                <w:i/>
                <w:iCs/>
                <w:sz w:val="24"/>
                <w:szCs w:val="24"/>
              </w:rPr>
              <w:fldChar w:fldCharType="end"/>
            </w:r>
          </w:hyperlink>
        </w:p>
        <w:p w:rsidR="00074171" w:rsidRPr="009336AC" w:rsidRDefault="009336AC">
          <w:pPr>
            <w:pStyle w:val="TOC2"/>
            <w:spacing w:line="360" w:lineRule="auto"/>
            <w:ind w:left="0"/>
          </w:pPr>
          <w:r w:rsidRPr="009336AC">
            <w:rPr>
              <w:rFonts w:ascii="Calibri" w:eastAsia="Microsoft YaHei" w:hAnsi="Calibri" w:cs="Calibri"/>
              <w:b/>
              <w:bCs/>
              <w:i/>
              <w:iCs/>
              <w:sz w:val="24"/>
              <w:szCs w:val="24"/>
            </w:rPr>
            <w:fldChar w:fldCharType="end"/>
          </w:r>
        </w:p>
      </w:sdtContent>
    </w:sdt>
    <w:p w:rsidR="00074171" w:rsidRPr="009336AC" w:rsidRDefault="00074171">
      <w:pPr>
        <w:rPr>
          <w:rFonts w:ascii="Calibri" w:eastAsia="DengXian Light" w:hAnsi="Calibri" w:cs="Calibri"/>
          <w:sz w:val="28"/>
          <w:szCs w:val="28"/>
          <w:lang w:eastAsia="en-US"/>
        </w:rPr>
        <w:sectPr w:rsidR="00074171" w:rsidRPr="009336AC" w:rsidSect="009336AC">
          <w:headerReference w:type="default" r:id="rId7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074171" w:rsidRPr="009336AC" w:rsidRDefault="00074171">
      <w:pPr>
        <w:widowControl/>
        <w:spacing w:line="360" w:lineRule="auto"/>
        <w:rPr>
          <w:rFonts w:ascii="Calibri" w:eastAsia="DengXian Light" w:hAnsi="Calibri" w:cs="Calibri"/>
          <w:b/>
          <w:bCs/>
          <w:kern w:val="0"/>
          <w:sz w:val="28"/>
          <w:szCs w:val="28"/>
          <w:lang w:eastAsia="en-US"/>
        </w:rPr>
      </w:pPr>
    </w:p>
    <w:p w:rsidR="00074171" w:rsidRPr="009336AC" w:rsidRDefault="00074171">
      <w:pPr>
        <w:keepNext/>
        <w:jc w:val="center"/>
      </w:pPr>
      <w:bookmarkStart w:id="3" w:name="_GoBack"/>
      <w:bookmarkEnd w:id="0"/>
      <w:bookmarkEnd w:id="3"/>
    </w:p>
    <w:p w:rsidR="00074171" w:rsidRPr="009336AC" w:rsidRDefault="009336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33445277"/>
      <w:r w:rsidRPr="009336AC">
        <w:rPr>
          <w:noProof/>
          <w:lang w:val="en-IN" w:eastAsia="en-IN"/>
        </w:rPr>
        <w:drawing>
          <wp:inline distT="0" distB="0" distL="0" distR="0">
            <wp:extent cx="6182995" cy="331279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71" w:rsidRPr="009336AC" w:rsidRDefault="009336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36A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336A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36A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Start w:id="5" w:name="_Hlk133483347"/>
      <w:r w:rsidRPr="009336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133483534"/>
      <w:r w:rsidRPr="009336AC">
        <w:rPr>
          <w:rFonts w:ascii="Times New Roman" w:hAnsi="Times New Roman" w:cs="Times New Roman" w:hint="eastAsia"/>
          <w:sz w:val="24"/>
          <w:szCs w:val="24"/>
        </w:rPr>
        <w:t xml:space="preserve">Forest plot of the </w:t>
      </w:r>
      <w:r w:rsidRPr="009336AC">
        <w:rPr>
          <w:rFonts w:ascii="Times New Roman" w:hAnsi="Times New Roman" w:cs="Times New Roman"/>
          <w:sz w:val="24"/>
          <w:szCs w:val="24"/>
        </w:rPr>
        <w:t xml:space="preserve">results </w:t>
      </w:r>
      <w:r w:rsidRPr="009336AC">
        <w:rPr>
          <w:rFonts w:ascii="Times New Roman" w:hAnsi="Times New Roman" w:cs="Times New Roman" w:hint="eastAsia"/>
          <w:sz w:val="24"/>
        </w:rPr>
        <w:t>a</w:t>
      </w:r>
      <w:r w:rsidRPr="009336AC">
        <w:rPr>
          <w:rFonts w:ascii="Times New Roman" w:hAnsi="Times New Roman" w:cs="Times New Roman"/>
          <w:sz w:val="24"/>
        </w:rPr>
        <w:t>fter removing potential pleiotropic SNPs</w:t>
      </w:r>
      <w:r w:rsidRPr="009336AC">
        <w:rPr>
          <w:rFonts w:ascii="Times New Roman" w:hAnsi="Times New Roman" w:cs="Times New Roman" w:hint="eastAsia"/>
          <w:sz w:val="24"/>
          <w:szCs w:val="24"/>
        </w:rPr>
        <w:t>.</w:t>
      </w:r>
      <w:bookmarkEnd w:id="4"/>
      <w:bookmarkEnd w:id="5"/>
      <w:bookmarkEnd w:id="6"/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Abbreviations</w:t>
      </w:r>
      <w:r w:rsidRPr="009336AC">
        <w:rPr>
          <w:rFonts w:ascii="Times New Roman" w:hAnsi="Times New Roman" w:cs="Times New Roman"/>
          <w:kern w:val="0"/>
          <w:sz w:val="24"/>
          <w:szCs w:val="24"/>
        </w:rPr>
        <w:t>:</w:t>
      </w:r>
      <w:r w:rsidRPr="009336AC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CI,</w:t>
      </w:r>
      <w:r w:rsidRPr="009336AC">
        <w:rPr>
          <w:rFonts w:ascii="Times New Roman" w:hAnsi="Times New Roman" w:cs="Times New Roman"/>
          <w:sz w:val="24"/>
          <w:szCs w:val="24"/>
        </w:rPr>
        <w:t xml:space="preserve"> confidence interval</w:t>
      </w:r>
      <w:r w:rsidRPr="009336AC">
        <w:rPr>
          <w:rFonts w:ascii="Times New Roman" w:hAnsi="Times New Roman" w:cs="Times New Roman" w:hint="eastAsia"/>
          <w:sz w:val="24"/>
          <w:szCs w:val="24"/>
        </w:rPr>
        <w:t>;</w:t>
      </w:r>
      <w:r w:rsidRPr="009336A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7" w:name="OLE_LINK3"/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IVW</w:t>
      </w:r>
      <w:r w:rsidRPr="009336AC">
        <w:rPr>
          <w:rFonts w:ascii="Times New Roman" w:hAnsi="Times New Roman" w:cs="Times New Roman"/>
          <w:sz w:val="24"/>
          <w:szCs w:val="24"/>
        </w:rPr>
        <w:t>, inverse-variance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sz w:val="24"/>
          <w:szCs w:val="24"/>
        </w:rPr>
        <w:t xml:space="preserve">weighted;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MR</w:t>
      </w:r>
      <w:r w:rsidRPr="009336AC">
        <w:rPr>
          <w:rFonts w:ascii="Times New Roman" w:hAnsi="Times New Roman" w:cs="Times New Roman"/>
          <w:sz w:val="24"/>
          <w:szCs w:val="24"/>
        </w:rPr>
        <w:t>, Mendelian randomization;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MR-PRESSO</w:t>
      </w:r>
      <w:r w:rsidRPr="009336AC">
        <w:rPr>
          <w:rFonts w:ascii="Times New Roman" w:hAnsi="Times New Roman" w:cs="Times New Roman"/>
          <w:sz w:val="24"/>
          <w:szCs w:val="24"/>
        </w:rPr>
        <w:t xml:space="preserve">, Mendelian Randomization Pleiotropy </w:t>
      </w:r>
      <w:r w:rsidRPr="009336AC">
        <w:rPr>
          <w:rFonts w:ascii="Times New Roman" w:hAnsi="Times New Roman" w:cs="Times New Roman"/>
          <w:sz w:val="24"/>
          <w:szCs w:val="24"/>
        </w:rPr>
        <w:t>RESidual Sum and Outlier;</w:t>
      </w:r>
      <w:bookmarkEnd w:id="7"/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OR</w:t>
      </w:r>
      <w:r w:rsidRPr="009336AC">
        <w:rPr>
          <w:rFonts w:ascii="Times New Roman" w:hAnsi="Times New Roman" w:cs="Times New Roman"/>
          <w:sz w:val="24"/>
          <w:szCs w:val="24"/>
        </w:rPr>
        <w:t xml:space="preserve">, odds ratio; </w:t>
      </w:r>
      <w:r w:rsidRPr="009336AC">
        <w:rPr>
          <w:rFonts w:ascii="Times New Roman" w:hAnsi="Times New Roman" w:cs="Times New Roman"/>
          <w:i/>
          <w:iCs/>
          <w:sz w:val="24"/>
          <w:szCs w:val="24"/>
        </w:rPr>
        <w:t>SNP</w:t>
      </w:r>
      <w:r w:rsidRPr="009336AC">
        <w:rPr>
          <w:rFonts w:ascii="Times New Roman" w:hAnsi="Times New Roman" w:cs="Times New Roman"/>
          <w:sz w:val="24"/>
          <w:szCs w:val="24"/>
        </w:rPr>
        <w:t>, single nucleotide polymorphism</w:t>
      </w:r>
      <w:r w:rsidRPr="009336AC">
        <w:rPr>
          <w:rFonts w:ascii="Times New Roman" w:hAnsi="Times New Roman" w:cs="Times New Roman" w:hint="eastAsia"/>
          <w:sz w:val="24"/>
          <w:szCs w:val="24"/>
        </w:rPr>
        <w:t>.</w:t>
      </w:r>
      <w:r w:rsidRPr="00933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171" w:rsidRPr="009336AC" w:rsidRDefault="00074171">
      <w:pPr>
        <w:keepNext/>
      </w:pPr>
    </w:p>
    <w:p w:rsidR="00074171" w:rsidRPr="009336AC" w:rsidRDefault="009336AC">
      <w:pPr>
        <w:keepNext/>
      </w:pPr>
      <w:r w:rsidRPr="009336AC">
        <w:rPr>
          <w:noProof/>
          <w:lang w:val="en-IN" w:eastAsia="en-IN"/>
        </w:rPr>
        <w:drawing>
          <wp:inline distT="0" distB="0" distL="0" distR="0">
            <wp:extent cx="6182995" cy="72802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71" w:rsidRPr="009336AC" w:rsidRDefault="009336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8" w:name="_Toc133445278"/>
      <w:r w:rsidRPr="009336A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336A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9" w:name="_Hlk133483453"/>
      <w:r w:rsidRPr="009336AC">
        <w:rPr>
          <w:rFonts w:ascii="Times New Roman" w:hAnsi="Times New Roman" w:cs="Times New Roman"/>
          <w:sz w:val="24"/>
          <w:szCs w:val="24"/>
        </w:rPr>
        <w:t>Results of l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eave-one-out </w:t>
      </w:r>
      <w:r w:rsidRPr="009336AC">
        <w:rPr>
          <w:rFonts w:ascii="Times New Roman" w:hAnsi="Times New Roman" w:cs="Times New Roman"/>
          <w:sz w:val="24"/>
          <w:szCs w:val="24"/>
        </w:rPr>
        <w:t>sensitivity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analysis</w:t>
      </w:r>
      <w:r w:rsidRPr="009336AC">
        <w:rPr>
          <w:rFonts w:ascii="Times New Roman" w:hAnsi="Times New Roman" w:cs="Times New Roman"/>
          <w:sz w:val="24"/>
          <w:szCs w:val="24"/>
        </w:rPr>
        <w:t>.</w:t>
      </w:r>
      <w:bookmarkEnd w:id="9"/>
      <w:r w:rsidRPr="009336AC">
        <w:rPr>
          <w:rFonts w:ascii="Times New Roman" w:hAnsi="Times New Roman" w:cs="Times New Roman"/>
          <w:sz w:val="24"/>
          <w:szCs w:val="24"/>
        </w:rPr>
        <w:t xml:space="preserve"> T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he effect estimates are re-calculated after removal of each SNP to identify if a single SNP </w:t>
      </w:r>
      <w:r w:rsidRPr="009336AC">
        <w:rPr>
          <w:rFonts w:ascii="Times New Roman" w:hAnsi="Times New Roman" w:cs="Times New Roman" w:hint="eastAsia"/>
          <w:sz w:val="24"/>
          <w:szCs w:val="24"/>
        </w:rPr>
        <w:t>is driving the association.</w:t>
      </w:r>
      <w:bookmarkEnd w:id="8"/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Abbreviations:</w:t>
      </w:r>
      <w:r w:rsidRPr="009336AC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MR</w:t>
      </w:r>
      <w:r w:rsidRPr="009336AC">
        <w:rPr>
          <w:rFonts w:ascii="Times New Roman" w:hAnsi="Times New Roman" w:cs="Times New Roman"/>
          <w:sz w:val="24"/>
          <w:szCs w:val="24"/>
        </w:rPr>
        <w:t>, Mendelian randomization;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SNP</w:t>
      </w:r>
      <w:r w:rsidRPr="009336AC">
        <w:rPr>
          <w:rFonts w:ascii="Times New Roman" w:hAnsi="Times New Roman" w:cs="Times New Roman"/>
          <w:sz w:val="24"/>
          <w:szCs w:val="24"/>
        </w:rPr>
        <w:t>, single nucleotide polymorphism</w:t>
      </w:r>
      <w:r w:rsidRPr="009336AC">
        <w:rPr>
          <w:rFonts w:ascii="Times New Roman" w:hAnsi="Times New Roman" w:cs="Times New Roman" w:hint="eastAsia"/>
          <w:sz w:val="24"/>
          <w:szCs w:val="24"/>
        </w:rPr>
        <w:t>.</w:t>
      </w:r>
      <w:r w:rsidRPr="00933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171" w:rsidRPr="009336AC" w:rsidRDefault="00074171"/>
    <w:p w:rsidR="00074171" w:rsidRPr="009336AC" w:rsidRDefault="00074171">
      <w:pPr>
        <w:keepNext/>
        <w:ind w:left="210" w:hangingChars="100" w:hanging="210"/>
        <w:jc w:val="center"/>
      </w:pPr>
    </w:p>
    <w:p w:rsidR="00074171" w:rsidRPr="009336AC" w:rsidRDefault="009336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33445279"/>
      <w:r w:rsidRPr="009336AC">
        <w:rPr>
          <w:rFonts w:hint="eastAsia"/>
          <w:noProof/>
          <w:lang w:val="en-IN" w:eastAsia="en-IN"/>
        </w:rPr>
        <w:drawing>
          <wp:inline distT="0" distB="0" distL="0" distR="0">
            <wp:extent cx="6308725" cy="4206240"/>
            <wp:effectExtent l="0" t="0" r="635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0536" cy="422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71" w:rsidRDefault="009336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36A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336A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336A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Forest plot of the </w:t>
      </w:r>
      <w:r w:rsidRPr="009336AC">
        <w:rPr>
          <w:rFonts w:ascii="Times New Roman" w:hAnsi="Times New Roman" w:cs="Times New Roman"/>
          <w:sz w:val="24"/>
        </w:rPr>
        <w:t>results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in reverse MR for the causal effects of periodontitis on </w:t>
      </w:r>
      <w:r w:rsidRPr="009336AC">
        <w:rPr>
          <w:rFonts w:ascii="Times New Roman" w:hAnsi="Times New Roman" w:cs="Times New Roman"/>
          <w:sz w:val="24"/>
          <w:szCs w:val="24"/>
        </w:rPr>
        <w:t xml:space="preserve">genetically predicted </w:t>
      </w:r>
      <w:r w:rsidRPr="009336AC">
        <w:rPr>
          <w:rFonts w:ascii="Times New Roman" w:hAnsi="Times New Roman" w:cs="Times New Roman" w:hint="eastAsia"/>
          <w:sz w:val="24"/>
          <w:szCs w:val="24"/>
        </w:rPr>
        <w:t>gut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microbiota</w:t>
      </w:r>
      <w:r w:rsidRPr="009336AC">
        <w:rPr>
          <w:rFonts w:ascii="Times New Roman" w:hAnsi="Times New Roman" w:cs="Times New Roman"/>
          <w:sz w:val="24"/>
          <w:szCs w:val="24"/>
        </w:rPr>
        <w:t xml:space="preserve"> composition</w:t>
      </w:r>
      <w:r w:rsidRPr="009336AC">
        <w:rPr>
          <w:rFonts w:ascii="Times New Roman" w:hAnsi="Times New Roman" w:cs="Times New Roman" w:hint="eastAsia"/>
          <w:sz w:val="24"/>
          <w:szCs w:val="24"/>
        </w:rPr>
        <w:t>.</w:t>
      </w:r>
      <w:bookmarkEnd w:id="10"/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Abbreviations</w:t>
      </w:r>
      <w:r w:rsidRPr="009336AC">
        <w:rPr>
          <w:rFonts w:ascii="Times New Roman" w:hAnsi="Times New Roman" w:cs="Times New Roman"/>
          <w:kern w:val="0"/>
          <w:sz w:val="24"/>
          <w:szCs w:val="24"/>
        </w:rPr>
        <w:t>:</w:t>
      </w:r>
      <w:r w:rsidRPr="009336AC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CI</w:t>
      </w:r>
      <w:r w:rsidRPr="009336AC">
        <w:rPr>
          <w:rFonts w:ascii="Times New Roman" w:hAnsi="Times New Roman" w:cs="Times New Roman"/>
          <w:sz w:val="24"/>
          <w:szCs w:val="24"/>
        </w:rPr>
        <w:t>, confidence interval</w:t>
      </w:r>
      <w:r w:rsidRPr="009336AC">
        <w:rPr>
          <w:rFonts w:ascii="Times New Roman" w:hAnsi="Times New Roman" w:cs="Times New Roman" w:hint="eastAsia"/>
          <w:sz w:val="24"/>
          <w:szCs w:val="24"/>
        </w:rPr>
        <w:t>;</w:t>
      </w:r>
      <w:r w:rsidRPr="009336A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IVW</w:t>
      </w:r>
      <w:r w:rsidRPr="009336AC">
        <w:rPr>
          <w:rFonts w:ascii="Times New Roman" w:hAnsi="Times New Roman" w:cs="Times New Roman"/>
          <w:sz w:val="24"/>
          <w:szCs w:val="24"/>
        </w:rPr>
        <w:t>, inverse-variance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sz w:val="24"/>
          <w:szCs w:val="24"/>
        </w:rPr>
        <w:t xml:space="preserve">weighted;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MR</w:t>
      </w:r>
      <w:r w:rsidRPr="009336AC">
        <w:rPr>
          <w:rFonts w:ascii="Times New Roman" w:hAnsi="Times New Roman" w:cs="Times New Roman"/>
          <w:sz w:val="24"/>
          <w:szCs w:val="24"/>
        </w:rPr>
        <w:t xml:space="preserve">, Mendelian randomization;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MR-PRESSO</w:t>
      </w:r>
      <w:r w:rsidRPr="009336AC">
        <w:rPr>
          <w:rFonts w:ascii="Times New Roman" w:hAnsi="Times New Roman" w:cs="Times New Roman"/>
          <w:sz w:val="24"/>
          <w:szCs w:val="24"/>
        </w:rPr>
        <w:t>, Mendelian Randomization Pleiotropy RESidual Sum and Outlier;</w:t>
      </w:r>
      <w:r w:rsidRPr="009336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6AC">
        <w:rPr>
          <w:rFonts w:ascii="Times New Roman" w:hAnsi="Times New Roman" w:cs="Times New Roman"/>
          <w:i/>
          <w:iCs/>
          <w:kern w:val="0"/>
          <w:sz w:val="24"/>
          <w:szCs w:val="24"/>
        </w:rPr>
        <w:t>OR</w:t>
      </w:r>
      <w:r w:rsidRPr="009336AC">
        <w:rPr>
          <w:rFonts w:ascii="Times New Roman" w:hAnsi="Times New Roman" w:cs="Times New Roman"/>
          <w:sz w:val="24"/>
          <w:szCs w:val="24"/>
        </w:rPr>
        <w:t xml:space="preserve">, odds ratio; </w:t>
      </w:r>
      <w:r w:rsidRPr="009336AC">
        <w:rPr>
          <w:rFonts w:ascii="Times New Roman" w:hAnsi="Times New Roman" w:cs="Times New Roman"/>
          <w:i/>
          <w:iCs/>
          <w:sz w:val="24"/>
          <w:szCs w:val="24"/>
        </w:rPr>
        <w:t>SNP</w:t>
      </w:r>
      <w:r w:rsidRPr="009336AC">
        <w:rPr>
          <w:rFonts w:ascii="Times New Roman" w:hAnsi="Times New Roman" w:cs="Times New Roman"/>
          <w:sz w:val="24"/>
          <w:szCs w:val="24"/>
        </w:rPr>
        <w:t>, single nucleotide polymorphism</w:t>
      </w:r>
      <w:r w:rsidRPr="009336AC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4171" w:rsidSect="009336A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36AC">
      <w:r>
        <w:separator/>
      </w:r>
    </w:p>
  </w:endnote>
  <w:endnote w:type="continuationSeparator" w:id="0">
    <w:p w:rsidR="00000000" w:rsidRDefault="0093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36AC">
      <w:r>
        <w:separator/>
      </w:r>
    </w:p>
  </w:footnote>
  <w:footnote w:type="continuationSeparator" w:id="0">
    <w:p w:rsidR="00000000" w:rsidRDefault="00933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98381352"/>
    </w:sdtPr>
    <w:sdtEndPr/>
    <w:sdtContent>
      <w:p w:rsidR="00074171" w:rsidRDefault="009336AC">
        <w:pPr>
          <w:pStyle w:val="Header"/>
          <w:jc w:val="right"/>
          <w:rPr>
            <w:rFonts w:ascii="Arial" w:hAnsi="Arial" w:cs="Arial"/>
          </w:rPr>
        </w:pPr>
        <w:r>
          <w:rPr>
            <w:rFonts w:ascii="Arial" w:hAnsi="Arial" w:cs="Arial"/>
            <w:lang w:val="zh-CN"/>
          </w:rPr>
          <w:t xml:space="preserve">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lang w:val="zh-CN"/>
          </w:rPr>
          <w:t>2</w:t>
        </w:r>
        <w:r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lang w:val="zh-CN"/>
          </w:rPr>
          <w:t xml:space="preserve"> /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</w:rPr>
          <w:instrText>NUMPAGES</w:instrText>
        </w:r>
        <w:r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lang w:val="zh-CN"/>
          </w:rPr>
          <w:t>2</w:t>
        </w:r>
        <w:r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074171" w:rsidRDefault="0007417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4OGI1ODllMWU2OTA4ZmRjM2M1ZjAxNzk2NWY2ZmQifQ=="/>
  </w:docVars>
  <w:rsids>
    <w:rsidRoot w:val="004A3776"/>
    <w:rsid w:val="000201BF"/>
    <w:rsid w:val="000407E0"/>
    <w:rsid w:val="00074171"/>
    <w:rsid w:val="00094E3F"/>
    <w:rsid w:val="00096E38"/>
    <w:rsid w:val="000B5155"/>
    <w:rsid w:val="001235C8"/>
    <w:rsid w:val="00137406"/>
    <w:rsid w:val="00153B03"/>
    <w:rsid w:val="001837F3"/>
    <w:rsid w:val="001960E9"/>
    <w:rsid w:val="001D2707"/>
    <w:rsid w:val="002A7875"/>
    <w:rsid w:val="002B12B0"/>
    <w:rsid w:val="002B4B11"/>
    <w:rsid w:val="002D1164"/>
    <w:rsid w:val="00335FB6"/>
    <w:rsid w:val="003654AE"/>
    <w:rsid w:val="003F08CB"/>
    <w:rsid w:val="00401076"/>
    <w:rsid w:val="00436DBA"/>
    <w:rsid w:val="004A1110"/>
    <w:rsid w:val="004A1747"/>
    <w:rsid w:val="004A3776"/>
    <w:rsid w:val="005253B7"/>
    <w:rsid w:val="0067644A"/>
    <w:rsid w:val="006E4D91"/>
    <w:rsid w:val="007B5AE8"/>
    <w:rsid w:val="007C6722"/>
    <w:rsid w:val="007D3749"/>
    <w:rsid w:val="007F5760"/>
    <w:rsid w:val="00805075"/>
    <w:rsid w:val="008A021F"/>
    <w:rsid w:val="009336AC"/>
    <w:rsid w:val="009E508E"/>
    <w:rsid w:val="009F6646"/>
    <w:rsid w:val="00A51E84"/>
    <w:rsid w:val="00A74C7B"/>
    <w:rsid w:val="00AF2214"/>
    <w:rsid w:val="00C7349E"/>
    <w:rsid w:val="00D458DE"/>
    <w:rsid w:val="00D96906"/>
    <w:rsid w:val="00DA35AB"/>
    <w:rsid w:val="00E034E7"/>
    <w:rsid w:val="00ED3B82"/>
    <w:rsid w:val="00ED795B"/>
    <w:rsid w:val="00EE581E"/>
    <w:rsid w:val="00F16B7E"/>
    <w:rsid w:val="00F431EF"/>
    <w:rsid w:val="1B787777"/>
    <w:rsid w:val="3FE756BB"/>
    <w:rsid w:val="421B116E"/>
    <w:rsid w:val="47A70C1B"/>
    <w:rsid w:val="542821E5"/>
    <w:rsid w:val="5B0F142B"/>
    <w:rsid w:val="5DC6130F"/>
    <w:rsid w:val="6C05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7279EB-D54F-488B-BC33-9A9C2BE8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TOC3">
    <w:name w:val="toc 3"/>
    <w:basedOn w:val="Normal"/>
    <w:next w:val="Normal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ind w:leftChars="200" w:left="200" w:hangingChars="200" w:hanging="200"/>
    </w:pPr>
  </w:style>
  <w:style w:type="paragraph" w:styleId="TOC2">
    <w:name w:val="toc 2"/>
    <w:basedOn w:val="Normal"/>
    <w:next w:val="Normal"/>
    <w:uiPriority w:val="39"/>
    <w:unhideWhenUsed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et10">
    <w:name w:val="et10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95B8-FD6A-4F12-93DD-DE6BED27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86173</dc:creator>
  <cp:lastModifiedBy>Sindhu Chinnaiyan</cp:lastModifiedBy>
  <cp:revision>31</cp:revision>
  <dcterms:created xsi:type="dcterms:W3CDTF">2023-04-27T02:05:00Z</dcterms:created>
  <dcterms:modified xsi:type="dcterms:W3CDTF">2023-09-25T14:54:00Z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BF5736E2EB4F4A0F8996854EEF8AE7F2</vt:lpwstr>
  </property>
</Properties>
</file>