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394" w:rsidRPr="00A33C1A" w:rsidRDefault="002E5394" w:rsidP="002E5394">
      <w:pPr>
        <w:spacing w:line="360" w:lineRule="auto"/>
        <w:rPr>
          <w:rFonts w:ascii="Times New Roman" w:hAnsi="Times New Roman" w:cs="Times New Roman"/>
          <w:b/>
          <w:color w:val="000000" w:themeColor="text1"/>
          <w:sz w:val="36"/>
          <w:szCs w:val="36"/>
        </w:rPr>
      </w:pPr>
      <w:bookmarkStart w:id="0" w:name="_GoBack"/>
      <w:r w:rsidRPr="00A33C1A">
        <w:rPr>
          <w:rFonts w:ascii="Times New Roman" w:hAnsi="Times New Roman" w:cs="Times New Roman"/>
          <w:b/>
          <w:noProof/>
          <w:color w:val="000000" w:themeColor="text1"/>
          <w:sz w:val="36"/>
          <w:szCs w:val="36"/>
          <w:lang w:val="en-IN" w:eastAsia="en-IN"/>
        </w:rPr>
        <w:drawing>
          <wp:inline distT="0" distB="0" distL="0" distR="0" wp14:anchorId="0EA81F65" wp14:editId="62C91891">
            <wp:extent cx="5943600" cy="38881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1.png"/>
                    <pic:cNvPicPr/>
                  </pic:nvPicPr>
                  <pic:blipFill rotWithShape="1">
                    <a:blip r:embed="rId4" cstate="print">
                      <a:extLst>
                        <a:ext uri="{28A0092B-C50C-407E-A947-70E740481C1C}">
                          <a14:useLocalDpi xmlns:a14="http://schemas.microsoft.com/office/drawing/2010/main" val="0"/>
                        </a:ext>
                      </a:extLst>
                    </a:blip>
                    <a:srcRect t="6260"/>
                    <a:stretch/>
                  </pic:blipFill>
                  <pic:spPr bwMode="auto">
                    <a:xfrm>
                      <a:off x="0" y="0"/>
                      <a:ext cx="5943600" cy="3888176"/>
                    </a:xfrm>
                    <a:prstGeom prst="rect">
                      <a:avLst/>
                    </a:prstGeom>
                    <a:ln>
                      <a:noFill/>
                    </a:ln>
                    <a:extLst>
                      <a:ext uri="{53640926-AAD7-44D8-BBD7-CCE9431645EC}">
                        <a14:shadowObscured xmlns:a14="http://schemas.microsoft.com/office/drawing/2010/main"/>
                      </a:ext>
                    </a:extLst>
                  </pic:spPr>
                </pic:pic>
              </a:graphicData>
            </a:graphic>
          </wp:inline>
        </w:drawing>
      </w:r>
    </w:p>
    <w:p w:rsidR="002E5394" w:rsidRPr="00A33C1A" w:rsidRDefault="002E5394" w:rsidP="002E5394">
      <w:pPr>
        <w:spacing w:line="360" w:lineRule="auto"/>
        <w:rPr>
          <w:rFonts w:ascii="Times New Roman" w:hAnsi="Times New Roman" w:cs="Times New Roman"/>
          <w:color w:val="000000" w:themeColor="text1"/>
          <w:sz w:val="36"/>
          <w:szCs w:val="36"/>
        </w:rPr>
      </w:pPr>
      <w:r w:rsidRPr="00A33C1A">
        <w:rPr>
          <w:rFonts w:ascii="Times New Roman" w:hAnsi="Times New Roman" w:cs="Times New Roman"/>
          <w:b/>
          <w:color w:val="000000" w:themeColor="text1"/>
          <w:sz w:val="36"/>
          <w:szCs w:val="36"/>
        </w:rPr>
        <w:t xml:space="preserve">Figure </w:t>
      </w:r>
      <w:r w:rsidR="00A33C1A" w:rsidRPr="00A33C1A">
        <w:rPr>
          <w:rFonts w:ascii="Times New Roman" w:hAnsi="Times New Roman" w:cs="Times New Roman"/>
          <w:b/>
          <w:color w:val="000000" w:themeColor="text1"/>
          <w:sz w:val="36"/>
          <w:szCs w:val="36"/>
        </w:rPr>
        <w:t>S</w:t>
      </w:r>
      <w:r w:rsidRPr="00A33C1A">
        <w:rPr>
          <w:rFonts w:ascii="Times New Roman" w:hAnsi="Times New Roman" w:cs="Times New Roman"/>
          <w:b/>
          <w:color w:val="000000" w:themeColor="text1"/>
          <w:sz w:val="36"/>
          <w:szCs w:val="36"/>
        </w:rPr>
        <w:t>1</w:t>
      </w:r>
      <w:r w:rsidRPr="00A33C1A">
        <w:rPr>
          <w:rFonts w:ascii="Times New Roman" w:hAnsi="Times New Roman" w:cs="Times New Roman"/>
          <w:color w:val="000000" w:themeColor="text1"/>
          <w:sz w:val="36"/>
          <w:szCs w:val="36"/>
        </w:rPr>
        <w:t xml:space="preserve"> The workflow of the study cohort and external cohort.</w:t>
      </w:r>
    </w:p>
    <w:p w:rsidR="002E5394" w:rsidRPr="00A33C1A" w:rsidRDefault="002E5394" w:rsidP="002E5394">
      <w:pPr>
        <w:spacing w:line="360" w:lineRule="auto"/>
        <w:rPr>
          <w:rFonts w:ascii="Times New Roman" w:hAnsi="Times New Roman" w:cs="Times New Roman"/>
          <w:b/>
          <w:color w:val="000000" w:themeColor="text1"/>
          <w:sz w:val="36"/>
          <w:szCs w:val="36"/>
        </w:rPr>
      </w:pPr>
      <w:r w:rsidRPr="00A33C1A">
        <w:rPr>
          <w:rFonts w:ascii="Times New Roman" w:hAnsi="Times New Roman" w:cs="Times New Roman"/>
          <w:b/>
          <w:noProof/>
          <w:color w:val="000000" w:themeColor="text1"/>
          <w:sz w:val="36"/>
          <w:szCs w:val="36"/>
          <w:lang w:val="en-IN" w:eastAsia="en-IN"/>
        </w:rPr>
        <w:drawing>
          <wp:inline distT="0" distB="0" distL="0" distR="0" wp14:anchorId="57C05954" wp14:editId="092FBF84">
            <wp:extent cx="4364437" cy="672084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 Figure 2.png"/>
                    <pic:cNvPicPr/>
                  </pic:nvPicPr>
                  <pic:blipFill rotWithShape="1">
                    <a:blip r:embed="rId5" cstate="print">
                      <a:extLst>
                        <a:ext uri="{28A0092B-C50C-407E-A947-70E740481C1C}">
                          <a14:useLocalDpi xmlns:a14="http://schemas.microsoft.com/office/drawing/2010/main" val="0"/>
                        </a:ext>
                      </a:extLst>
                    </a:blip>
                    <a:srcRect t="1772"/>
                    <a:stretch/>
                  </pic:blipFill>
                  <pic:spPr bwMode="auto">
                    <a:xfrm>
                      <a:off x="0" y="0"/>
                      <a:ext cx="4383187" cy="6749714"/>
                    </a:xfrm>
                    <a:prstGeom prst="rect">
                      <a:avLst/>
                    </a:prstGeom>
                    <a:ln>
                      <a:noFill/>
                    </a:ln>
                    <a:extLst>
                      <a:ext uri="{53640926-AAD7-44D8-BBD7-CCE9431645EC}">
                        <a14:shadowObscured xmlns:a14="http://schemas.microsoft.com/office/drawing/2010/main"/>
                      </a:ext>
                    </a:extLst>
                  </pic:spPr>
                </pic:pic>
              </a:graphicData>
            </a:graphic>
          </wp:inline>
        </w:drawing>
      </w:r>
    </w:p>
    <w:p w:rsidR="002E5394" w:rsidRPr="00A33C1A" w:rsidRDefault="002E5394" w:rsidP="002E5394">
      <w:pPr>
        <w:spacing w:line="360" w:lineRule="auto"/>
        <w:rPr>
          <w:rFonts w:ascii="Times New Roman" w:hAnsi="Times New Roman" w:cs="Times New Roman"/>
          <w:color w:val="000000" w:themeColor="text1"/>
          <w:sz w:val="36"/>
          <w:szCs w:val="36"/>
        </w:rPr>
      </w:pPr>
      <w:r w:rsidRPr="00A33C1A">
        <w:rPr>
          <w:rFonts w:ascii="Times New Roman" w:hAnsi="Times New Roman" w:cs="Times New Roman"/>
          <w:b/>
          <w:color w:val="000000" w:themeColor="text1"/>
          <w:sz w:val="36"/>
          <w:szCs w:val="36"/>
        </w:rPr>
        <w:t xml:space="preserve">Figure </w:t>
      </w:r>
      <w:r w:rsidR="00A33C1A" w:rsidRPr="00A33C1A">
        <w:rPr>
          <w:rFonts w:ascii="Times New Roman" w:hAnsi="Times New Roman" w:cs="Times New Roman"/>
          <w:b/>
          <w:color w:val="000000" w:themeColor="text1"/>
          <w:sz w:val="36"/>
          <w:szCs w:val="36"/>
        </w:rPr>
        <w:t>S</w:t>
      </w:r>
      <w:r w:rsidRPr="00A33C1A">
        <w:rPr>
          <w:rFonts w:ascii="Times New Roman" w:hAnsi="Times New Roman" w:cs="Times New Roman"/>
          <w:b/>
          <w:color w:val="000000" w:themeColor="text1"/>
          <w:sz w:val="36"/>
          <w:szCs w:val="36"/>
        </w:rPr>
        <w:t xml:space="preserve">2 </w:t>
      </w:r>
      <w:r w:rsidRPr="00A33C1A">
        <w:rPr>
          <w:rFonts w:ascii="Times New Roman" w:hAnsi="Times New Roman" w:cs="Times New Roman"/>
          <w:color w:val="000000" w:themeColor="text1"/>
          <w:sz w:val="36"/>
          <w:szCs w:val="36"/>
        </w:rPr>
        <w:t>PIKK pathogenic mutations were associated with higher mutational loads in NSCLC. (</w:t>
      </w:r>
      <w:r w:rsidRPr="00A33C1A">
        <w:rPr>
          <w:rFonts w:ascii="Times New Roman" w:hAnsi="Times New Roman" w:cs="Times New Roman"/>
          <w:b/>
          <w:color w:val="000000" w:themeColor="text1"/>
          <w:sz w:val="36"/>
          <w:szCs w:val="36"/>
        </w:rPr>
        <w:t>A</w:t>
      </w:r>
      <w:r w:rsidRPr="00A33C1A">
        <w:rPr>
          <w:rFonts w:ascii="Times New Roman" w:hAnsi="Times New Roman" w:cs="Times New Roman"/>
          <w:color w:val="000000" w:themeColor="text1"/>
          <w:sz w:val="36"/>
          <w:szCs w:val="36"/>
        </w:rPr>
        <w:t>) The TMB in PIKK-Mut and PIKK-WT NSCLC patients from the external cohort. (</w:t>
      </w:r>
      <w:r w:rsidRPr="00A33C1A">
        <w:rPr>
          <w:rFonts w:ascii="Times New Roman" w:hAnsi="Times New Roman" w:cs="Times New Roman"/>
          <w:b/>
          <w:color w:val="000000" w:themeColor="text1"/>
          <w:sz w:val="36"/>
          <w:szCs w:val="36"/>
        </w:rPr>
        <w:t>B</w:t>
      </w:r>
      <w:r w:rsidRPr="00A33C1A">
        <w:rPr>
          <w:rFonts w:ascii="Times New Roman" w:hAnsi="Times New Roman" w:cs="Times New Roman"/>
          <w:color w:val="000000" w:themeColor="text1"/>
          <w:sz w:val="36"/>
          <w:szCs w:val="36"/>
        </w:rPr>
        <w:t>) The comparison of TMB between different PIKK mutational status and histological subtypes in the external cohort. (</w:t>
      </w:r>
      <w:r w:rsidRPr="00A33C1A">
        <w:rPr>
          <w:rFonts w:ascii="Times New Roman" w:hAnsi="Times New Roman" w:cs="Times New Roman"/>
          <w:b/>
          <w:color w:val="000000" w:themeColor="text1"/>
          <w:sz w:val="36"/>
          <w:szCs w:val="36"/>
        </w:rPr>
        <w:t>C</w:t>
      </w:r>
      <w:r w:rsidRPr="00A33C1A">
        <w:rPr>
          <w:rFonts w:ascii="Times New Roman" w:hAnsi="Times New Roman" w:cs="Times New Roman"/>
          <w:color w:val="000000" w:themeColor="text1"/>
          <w:sz w:val="36"/>
          <w:szCs w:val="36"/>
        </w:rPr>
        <w:t>) The MSI in PIKK-Mut and PIKK-WT SCC patients from the study cohort. (</w:t>
      </w:r>
      <w:r w:rsidRPr="00A33C1A">
        <w:rPr>
          <w:rFonts w:ascii="Times New Roman" w:hAnsi="Times New Roman" w:cs="Times New Roman"/>
          <w:b/>
          <w:color w:val="000000" w:themeColor="text1"/>
          <w:sz w:val="36"/>
          <w:szCs w:val="36"/>
        </w:rPr>
        <w:t>D</w:t>
      </w:r>
      <w:r w:rsidRPr="00A33C1A">
        <w:rPr>
          <w:rFonts w:ascii="Times New Roman" w:hAnsi="Times New Roman" w:cs="Times New Roman"/>
          <w:color w:val="000000" w:themeColor="text1"/>
          <w:sz w:val="36"/>
          <w:szCs w:val="36"/>
        </w:rPr>
        <w:t>) The comparison of CIS stratified by both the PIKK mutational status and histological subtypes in the study cohort. (</w:t>
      </w:r>
      <w:r w:rsidRPr="00A33C1A">
        <w:rPr>
          <w:rFonts w:ascii="Times New Roman" w:hAnsi="Times New Roman" w:cs="Times New Roman"/>
          <w:b/>
          <w:color w:val="000000" w:themeColor="text1"/>
          <w:sz w:val="36"/>
          <w:szCs w:val="36"/>
        </w:rPr>
        <w:t>E</w:t>
      </w:r>
      <w:r w:rsidRPr="00A33C1A">
        <w:rPr>
          <w:rFonts w:ascii="Times New Roman" w:hAnsi="Times New Roman" w:cs="Times New Roman"/>
          <w:color w:val="000000" w:themeColor="text1"/>
          <w:sz w:val="36"/>
          <w:szCs w:val="36"/>
        </w:rPr>
        <w:t>) The oncoprint plot of NSCLC patients without any PIKK mutations from the study cohort. CNV, copy-number variation.</w:t>
      </w:r>
    </w:p>
    <w:p w:rsidR="002E5394" w:rsidRPr="00A33C1A" w:rsidRDefault="002E5394" w:rsidP="002E5394">
      <w:pPr>
        <w:spacing w:line="360" w:lineRule="auto"/>
        <w:rPr>
          <w:rFonts w:ascii="Times New Roman" w:hAnsi="Times New Roman" w:cs="Times New Roman"/>
          <w:b/>
          <w:color w:val="000000" w:themeColor="text1"/>
          <w:sz w:val="36"/>
          <w:szCs w:val="36"/>
        </w:rPr>
      </w:pPr>
      <w:r w:rsidRPr="00A33C1A">
        <w:rPr>
          <w:rFonts w:ascii="Times New Roman" w:hAnsi="Times New Roman" w:cs="Times New Roman"/>
          <w:b/>
          <w:noProof/>
          <w:color w:val="000000" w:themeColor="text1"/>
          <w:sz w:val="36"/>
          <w:szCs w:val="36"/>
          <w:lang w:val="en-IN" w:eastAsia="en-IN"/>
        </w:rPr>
        <w:drawing>
          <wp:inline distT="0" distB="0" distL="0" distR="0" wp14:anchorId="07D2CFD2" wp14:editId="3D7B6CDA">
            <wp:extent cx="5943600" cy="19836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 Figure 3.png"/>
                    <pic:cNvPicPr/>
                  </pic:nvPicPr>
                  <pic:blipFill rotWithShape="1">
                    <a:blip r:embed="rId6" cstate="print">
                      <a:extLst>
                        <a:ext uri="{28A0092B-C50C-407E-A947-70E740481C1C}">
                          <a14:useLocalDpi xmlns:a14="http://schemas.microsoft.com/office/drawing/2010/main" val="0"/>
                        </a:ext>
                      </a:extLst>
                    </a:blip>
                    <a:srcRect t="8553"/>
                    <a:stretch/>
                  </pic:blipFill>
                  <pic:spPr bwMode="auto">
                    <a:xfrm>
                      <a:off x="0" y="0"/>
                      <a:ext cx="5943600" cy="1983630"/>
                    </a:xfrm>
                    <a:prstGeom prst="rect">
                      <a:avLst/>
                    </a:prstGeom>
                    <a:ln>
                      <a:noFill/>
                    </a:ln>
                    <a:extLst>
                      <a:ext uri="{53640926-AAD7-44D8-BBD7-CCE9431645EC}">
                        <a14:shadowObscured xmlns:a14="http://schemas.microsoft.com/office/drawing/2010/main"/>
                      </a:ext>
                    </a:extLst>
                  </pic:spPr>
                </pic:pic>
              </a:graphicData>
            </a:graphic>
          </wp:inline>
        </w:drawing>
      </w:r>
    </w:p>
    <w:p w:rsidR="002E5394" w:rsidRPr="00A33C1A" w:rsidRDefault="002E5394" w:rsidP="002E5394">
      <w:pPr>
        <w:spacing w:line="360" w:lineRule="auto"/>
        <w:rPr>
          <w:rFonts w:ascii="Times New Roman" w:hAnsi="Times New Roman" w:cs="Times New Roman"/>
          <w:color w:val="000000" w:themeColor="text1"/>
          <w:sz w:val="36"/>
          <w:szCs w:val="36"/>
        </w:rPr>
      </w:pPr>
      <w:r w:rsidRPr="00A33C1A">
        <w:rPr>
          <w:rFonts w:ascii="Times New Roman" w:hAnsi="Times New Roman" w:cs="Times New Roman"/>
          <w:b/>
          <w:color w:val="000000" w:themeColor="text1"/>
          <w:sz w:val="36"/>
          <w:szCs w:val="36"/>
        </w:rPr>
        <w:t xml:space="preserve">Figure </w:t>
      </w:r>
      <w:r w:rsidR="00A33C1A" w:rsidRPr="00A33C1A">
        <w:rPr>
          <w:rFonts w:ascii="Times New Roman" w:hAnsi="Times New Roman" w:cs="Times New Roman"/>
          <w:b/>
          <w:color w:val="000000" w:themeColor="text1"/>
          <w:sz w:val="36"/>
          <w:szCs w:val="36"/>
        </w:rPr>
        <w:t>S</w:t>
      </w:r>
      <w:r w:rsidRPr="00A33C1A">
        <w:rPr>
          <w:rFonts w:ascii="Times New Roman" w:hAnsi="Times New Roman" w:cs="Times New Roman"/>
          <w:b/>
          <w:color w:val="000000" w:themeColor="text1"/>
          <w:sz w:val="36"/>
          <w:szCs w:val="36"/>
        </w:rPr>
        <w:t>3</w:t>
      </w:r>
      <w:r w:rsidRPr="00A33C1A">
        <w:rPr>
          <w:rFonts w:ascii="Times New Roman" w:hAnsi="Times New Roman" w:cs="Times New Roman"/>
          <w:color w:val="000000" w:themeColor="text1"/>
          <w:sz w:val="36"/>
          <w:szCs w:val="36"/>
        </w:rPr>
        <w:t xml:space="preserve"> The CNV enriched in PIKK-mutated patients. (</w:t>
      </w:r>
      <w:r w:rsidRPr="00A33C1A">
        <w:rPr>
          <w:rFonts w:ascii="Times New Roman" w:hAnsi="Times New Roman" w:cs="Times New Roman"/>
          <w:b/>
          <w:color w:val="000000" w:themeColor="text1"/>
          <w:sz w:val="36"/>
          <w:szCs w:val="36"/>
        </w:rPr>
        <w:t>A</w:t>
      </w:r>
      <w:r w:rsidRPr="00A33C1A">
        <w:rPr>
          <w:rFonts w:ascii="Times New Roman" w:hAnsi="Times New Roman" w:cs="Times New Roman"/>
          <w:color w:val="000000" w:themeColor="text1"/>
          <w:sz w:val="36"/>
          <w:szCs w:val="36"/>
        </w:rPr>
        <w:t xml:space="preserve">, </w:t>
      </w:r>
      <w:r w:rsidRPr="00A33C1A">
        <w:rPr>
          <w:rFonts w:ascii="Times New Roman" w:hAnsi="Times New Roman" w:cs="Times New Roman"/>
          <w:b/>
          <w:color w:val="000000" w:themeColor="text1"/>
          <w:sz w:val="36"/>
          <w:szCs w:val="36"/>
        </w:rPr>
        <w:t>B</w:t>
      </w:r>
      <w:r w:rsidRPr="00A33C1A">
        <w:rPr>
          <w:rFonts w:ascii="Times New Roman" w:hAnsi="Times New Roman" w:cs="Times New Roman"/>
          <w:color w:val="000000" w:themeColor="text1"/>
          <w:sz w:val="36"/>
          <w:szCs w:val="36"/>
        </w:rPr>
        <w:t>) The comparison of chromosome arm CNV (</w:t>
      </w:r>
      <w:r w:rsidRPr="00A33C1A">
        <w:rPr>
          <w:rFonts w:ascii="Times New Roman" w:hAnsi="Times New Roman" w:cs="Times New Roman"/>
          <w:b/>
          <w:color w:val="000000" w:themeColor="text1"/>
          <w:sz w:val="36"/>
          <w:szCs w:val="36"/>
        </w:rPr>
        <w:t>A</w:t>
      </w:r>
      <w:r w:rsidRPr="00A33C1A">
        <w:rPr>
          <w:rFonts w:ascii="Times New Roman" w:hAnsi="Times New Roman" w:cs="Times New Roman"/>
          <w:color w:val="000000" w:themeColor="text1"/>
          <w:sz w:val="36"/>
          <w:szCs w:val="36"/>
        </w:rPr>
        <w:t>) and gene-level CNV (</w:t>
      </w:r>
      <w:r w:rsidRPr="00A33C1A">
        <w:rPr>
          <w:rFonts w:ascii="Times New Roman" w:hAnsi="Times New Roman" w:cs="Times New Roman"/>
          <w:b/>
          <w:color w:val="000000" w:themeColor="text1"/>
          <w:sz w:val="36"/>
          <w:szCs w:val="36"/>
        </w:rPr>
        <w:t>B</w:t>
      </w:r>
      <w:r w:rsidRPr="00A33C1A">
        <w:rPr>
          <w:rFonts w:ascii="Times New Roman" w:hAnsi="Times New Roman" w:cs="Times New Roman"/>
          <w:color w:val="000000" w:themeColor="text1"/>
          <w:sz w:val="36"/>
          <w:szCs w:val="36"/>
        </w:rPr>
        <w:t>) between PIKK-mutated and PIKK-WT patients from the study cohort. The analyses were done using Fisher’s exact test, and all multiple comparisons were corrected by the Benjamini &amp; Hochberg approach.</w:t>
      </w:r>
    </w:p>
    <w:p w:rsidR="002E5394" w:rsidRPr="00A33C1A" w:rsidRDefault="002E5394" w:rsidP="002E5394">
      <w:pPr>
        <w:spacing w:line="360" w:lineRule="auto"/>
        <w:rPr>
          <w:rFonts w:ascii="Times New Roman" w:hAnsi="Times New Roman" w:cs="Times New Roman"/>
          <w:b/>
          <w:color w:val="000000" w:themeColor="text1"/>
          <w:sz w:val="36"/>
          <w:szCs w:val="36"/>
        </w:rPr>
      </w:pPr>
    </w:p>
    <w:p w:rsidR="002E5394" w:rsidRPr="00A33C1A" w:rsidRDefault="002E5394" w:rsidP="002E5394">
      <w:pPr>
        <w:spacing w:line="360" w:lineRule="auto"/>
        <w:rPr>
          <w:rFonts w:ascii="Times New Roman" w:hAnsi="Times New Roman" w:cs="Times New Roman"/>
          <w:b/>
          <w:color w:val="000000" w:themeColor="text1"/>
          <w:sz w:val="36"/>
          <w:szCs w:val="36"/>
        </w:rPr>
      </w:pPr>
      <w:r w:rsidRPr="00A33C1A">
        <w:rPr>
          <w:rFonts w:ascii="Times New Roman" w:hAnsi="Times New Roman" w:cs="Times New Roman"/>
          <w:b/>
          <w:noProof/>
          <w:color w:val="000000" w:themeColor="text1"/>
          <w:sz w:val="36"/>
          <w:szCs w:val="36"/>
          <w:lang w:val="en-IN" w:eastAsia="en-IN"/>
        </w:rPr>
        <w:drawing>
          <wp:inline distT="0" distB="0" distL="0" distR="0" wp14:anchorId="430BBE90" wp14:editId="349A6C36">
            <wp:extent cx="5196840" cy="3717088"/>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ry Figure 4.png"/>
                    <pic:cNvPicPr/>
                  </pic:nvPicPr>
                  <pic:blipFill rotWithShape="1">
                    <a:blip r:embed="rId7" cstate="print">
                      <a:extLst>
                        <a:ext uri="{28A0092B-C50C-407E-A947-70E740481C1C}">
                          <a14:useLocalDpi xmlns:a14="http://schemas.microsoft.com/office/drawing/2010/main" val="0"/>
                        </a:ext>
                      </a:extLst>
                    </a:blip>
                    <a:srcRect t="4182"/>
                    <a:stretch/>
                  </pic:blipFill>
                  <pic:spPr bwMode="auto">
                    <a:xfrm>
                      <a:off x="0" y="0"/>
                      <a:ext cx="5204049" cy="3722245"/>
                    </a:xfrm>
                    <a:prstGeom prst="rect">
                      <a:avLst/>
                    </a:prstGeom>
                    <a:ln>
                      <a:noFill/>
                    </a:ln>
                    <a:extLst>
                      <a:ext uri="{53640926-AAD7-44D8-BBD7-CCE9431645EC}">
                        <a14:shadowObscured xmlns:a14="http://schemas.microsoft.com/office/drawing/2010/main"/>
                      </a:ext>
                    </a:extLst>
                  </pic:spPr>
                </pic:pic>
              </a:graphicData>
            </a:graphic>
          </wp:inline>
        </w:drawing>
      </w:r>
    </w:p>
    <w:p w:rsidR="002E5394" w:rsidRPr="00A33C1A" w:rsidRDefault="002E5394" w:rsidP="002E5394">
      <w:pPr>
        <w:spacing w:line="360" w:lineRule="auto"/>
        <w:rPr>
          <w:rFonts w:ascii="Times New Roman" w:hAnsi="Times New Roman" w:cs="Times New Roman"/>
          <w:color w:val="000000" w:themeColor="text1"/>
          <w:sz w:val="36"/>
          <w:szCs w:val="36"/>
        </w:rPr>
      </w:pPr>
      <w:r w:rsidRPr="00A33C1A">
        <w:rPr>
          <w:rFonts w:ascii="Times New Roman" w:hAnsi="Times New Roman" w:cs="Times New Roman"/>
          <w:b/>
          <w:color w:val="000000" w:themeColor="text1"/>
          <w:sz w:val="36"/>
          <w:szCs w:val="36"/>
        </w:rPr>
        <w:t xml:space="preserve">Figure </w:t>
      </w:r>
      <w:r w:rsidR="00A33C1A" w:rsidRPr="00A33C1A">
        <w:rPr>
          <w:rFonts w:ascii="Times New Roman" w:hAnsi="Times New Roman" w:cs="Times New Roman"/>
          <w:b/>
          <w:color w:val="000000" w:themeColor="text1"/>
          <w:sz w:val="36"/>
          <w:szCs w:val="36"/>
        </w:rPr>
        <w:t>S</w:t>
      </w:r>
      <w:r w:rsidRPr="00A33C1A">
        <w:rPr>
          <w:rFonts w:ascii="Times New Roman" w:hAnsi="Times New Roman" w:cs="Times New Roman"/>
          <w:b/>
          <w:color w:val="000000" w:themeColor="text1"/>
          <w:sz w:val="36"/>
          <w:szCs w:val="36"/>
        </w:rPr>
        <w:t>4</w:t>
      </w:r>
      <w:r w:rsidRPr="00A33C1A">
        <w:rPr>
          <w:rFonts w:ascii="Times New Roman" w:hAnsi="Times New Roman" w:cs="Times New Roman"/>
          <w:color w:val="000000" w:themeColor="text1"/>
          <w:sz w:val="36"/>
          <w:szCs w:val="36"/>
        </w:rPr>
        <w:t xml:space="preserve"> The relationship between FA/HR mutations and demographic/clinical characteristics in the study cohort. (</w:t>
      </w:r>
      <w:r w:rsidRPr="00A33C1A">
        <w:rPr>
          <w:rFonts w:ascii="Times New Roman" w:hAnsi="Times New Roman" w:cs="Times New Roman"/>
          <w:b/>
          <w:color w:val="000000" w:themeColor="text1"/>
          <w:sz w:val="36"/>
          <w:szCs w:val="36"/>
        </w:rPr>
        <w:t>A</w:t>
      </w:r>
      <w:r w:rsidRPr="00A33C1A">
        <w:rPr>
          <w:rFonts w:ascii="Times New Roman" w:hAnsi="Times New Roman" w:cs="Times New Roman"/>
          <w:color w:val="000000" w:themeColor="text1"/>
          <w:sz w:val="36"/>
          <w:szCs w:val="36"/>
        </w:rPr>
        <w:t>-</w:t>
      </w:r>
      <w:r w:rsidRPr="00A33C1A">
        <w:rPr>
          <w:rFonts w:ascii="Times New Roman" w:hAnsi="Times New Roman" w:cs="Times New Roman"/>
          <w:b/>
          <w:color w:val="000000" w:themeColor="text1"/>
          <w:sz w:val="36"/>
          <w:szCs w:val="36"/>
        </w:rPr>
        <w:t>C</w:t>
      </w:r>
      <w:r w:rsidRPr="00A33C1A">
        <w:rPr>
          <w:rFonts w:ascii="Times New Roman" w:hAnsi="Times New Roman" w:cs="Times New Roman"/>
          <w:color w:val="000000" w:themeColor="text1"/>
          <w:sz w:val="36"/>
          <w:szCs w:val="36"/>
        </w:rPr>
        <w:t>) The age (</w:t>
      </w:r>
      <w:r w:rsidRPr="00A33C1A">
        <w:rPr>
          <w:rFonts w:ascii="Times New Roman" w:hAnsi="Times New Roman" w:cs="Times New Roman"/>
          <w:b/>
          <w:color w:val="000000" w:themeColor="text1"/>
          <w:sz w:val="36"/>
          <w:szCs w:val="36"/>
        </w:rPr>
        <w:t>A</w:t>
      </w:r>
      <w:r w:rsidRPr="00A33C1A">
        <w:rPr>
          <w:rFonts w:ascii="Times New Roman" w:hAnsi="Times New Roman" w:cs="Times New Roman"/>
          <w:color w:val="000000" w:themeColor="text1"/>
          <w:sz w:val="36"/>
          <w:szCs w:val="36"/>
        </w:rPr>
        <w:t>), sex (</w:t>
      </w:r>
      <w:r w:rsidRPr="00A33C1A">
        <w:rPr>
          <w:rFonts w:ascii="Times New Roman" w:hAnsi="Times New Roman" w:cs="Times New Roman"/>
          <w:b/>
          <w:color w:val="000000" w:themeColor="text1"/>
          <w:sz w:val="36"/>
          <w:szCs w:val="36"/>
        </w:rPr>
        <w:t>B</w:t>
      </w:r>
      <w:r w:rsidRPr="00A33C1A">
        <w:rPr>
          <w:rFonts w:ascii="Times New Roman" w:hAnsi="Times New Roman" w:cs="Times New Roman"/>
          <w:color w:val="000000" w:themeColor="text1"/>
          <w:sz w:val="36"/>
          <w:szCs w:val="36"/>
        </w:rPr>
        <w:t>), and histological subtype (</w:t>
      </w:r>
      <w:r w:rsidRPr="00A33C1A">
        <w:rPr>
          <w:rFonts w:ascii="Times New Roman" w:hAnsi="Times New Roman" w:cs="Times New Roman"/>
          <w:b/>
          <w:color w:val="000000" w:themeColor="text1"/>
          <w:sz w:val="36"/>
          <w:szCs w:val="36"/>
        </w:rPr>
        <w:t>C</w:t>
      </w:r>
      <w:r w:rsidRPr="00A33C1A">
        <w:rPr>
          <w:rFonts w:ascii="Times New Roman" w:hAnsi="Times New Roman" w:cs="Times New Roman"/>
          <w:color w:val="000000" w:themeColor="text1"/>
          <w:sz w:val="36"/>
          <w:szCs w:val="36"/>
        </w:rPr>
        <w:t>) differences in PIKK-mutated patients with different FA/HR mutational statuses.</w:t>
      </w:r>
    </w:p>
    <w:p w:rsidR="002E5394" w:rsidRPr="00A33C1A" w:rsidRDefault="002E5394" w:rsidP="002E5394">
      <w:pPr>
        <w:spacing w:line="360" w:lineRule="auto"/>
        <w:rPr>
          <w:rFonts w:ascii="Times New Roman" w:hAnsi="Times New Roman" w:cs="Times New Roman"/>
          <w:b/>
          <w:color w:val="000000" w:themeColor="text1"/>
          <w:sz w:val="36"/>
          <w:szCs w:val="36"/>
        </w:rPr>
      </w:pPr>
    </w:p>
    <w:p w:rsidR="002E5394" w:rsidRPr="00A33C1A" w:rsidRDefault="002E5394" w:rsidP="002E5394">
      <w:pPr>
        <w:spacing w:line="360" w:lineRule="auto"/>
        <w:rPr>
          <w:rFonts w:ascii="Times New Roman" w:hAnsi="Times New Roman" w:cs="Times New Roman"/>
          <w:b/>
          <w:color w:val="000000" w:themeColor="text1"/>
          <w:sz w:val="36"/>
          <w:szCs w:val="36"/>
        </w:rPr>
      </w:pPr>
      <w:r w:rsidRPr="00A33C1A">
        <w:rPr>
          <w:rFonts w:ascii="Times New Roman" w:hAnsi="Times New Roman" w:cs="Times New Roman"/>
          <w:b/>
          <w:noProof/>
          <w:color w:val="000000" w:themeColor="text1"/>
          <w:sz w:val="36"/>
          <w:szCs w:val="36"/>
          <w:lang w:val="en-IN" w:eastAsia="en-IN"/>
        </w:rPr>
        <w:drawing>
          <wp:inline distT="0" distB="0" distL="0" distR="0" wp14:anchorId="23361B8D" wp14:editId="6DCBB215">
            <wp:extent cx="5943600" cy="42208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ry Figure 5.png"/>
                    <pic:cNvPicPr/>
                  </pic:nvPicPr>
                  <pic:blipFill rotWithShape="1">
                    <a:blip r:embed="rId8" cstate="print">
                      <a:extLst>
                        <a:ext uri="{28A0092B-C50C-407E-A947-70E740481C1C}">
                          <a14:useLocalDpi xmlns:a14="http://schemas.microsoft.com/office/drawing/2010/main" val="0"/>
                        </a:ext>
                      </a:extLst>
                    </a:blip>
                    <a:srcRect t="4811"/>
                    <a:stretch/>
                  </pic:blipFill>
                  <pic:spPr bwMode="auto">
                    <a:xfrm>
                      <a:off x="0" y="0"/>
                      <a:ext cx="5943600" cy="4220845"/>
                    </a:xfrm>
                    <a:prstGeom prst="rect">
                      <a:avLst/>
                    </a:prstGeom>
                    <a:ln>
                      <a:noFill/>
                    </a:ln>
                    <a:extLst>
                      <a:ext uri="{53640926-AAD7-44D8-BBD7-CCE9431645EC}">
                        <a14:shadowObscured xmlns:a14="http://schemas.microsoft.com/office/drawing/2010/main"/>
                      </a:ext>
                    </a:extLst>
                  </pic:spPr>
                </pic:pic>
              </a:graphicData>
            </a:graphic>
          </wp:inline>
        </w:drawing>
      </w:r>
    </w:p>
    <w:p w:rsidR="002E5394" w:rsidRPr="00A33C1A" w:rsidRDefault="002E5394" w:rsidP="002E5394">
      <w:pPr>
        <w:spacing w:line="360" w:lineRule="auto"/>
        <w:rPr>
          <w:rFonts w:ascii="Times New Roman" w:hAnsi="Times New Roman" w:cs="Times New Roman"/>
          <w:color w:val="000000" w:themeColor="text1"/>
          <w:sz w:val="36"/>
          <w:szCs w:val="36"/>
        </w:rPr>
      </w:pPr>
      <w:r w:rsidRPr="00A33C1A">
        <w:rPr>
          <w:rFonts w:ascii="Times New Roman" w:hAnsi="Times New Roman" w:cs="Times New Roman"/>
          <w:b/>
          <w:color w:val="000000" w:themeColor="text1"/>
          <w:sz w:val="36"/>
          <w:szCs w:val="36"/>
        </w:rPr>
        <w:t xml:space="preserve">Figure </w:t>
      </w:r>
      <w:r w:rsidR="00A33C1A" w:rsidRPr="00A33C1A">
        <w:rPr>
          <w:rFonts w:ascii="Times New Roman" w:hAnsi="Times New Roman" w:cs="Times New Roman"/>
          <w:b/>
          <w:color w:val="000000" w:themeColor="text1"/>
          <w:sz w:val="36"/>
          <w:szCs w:val="36"/>
        </w:rPr>
        <w:t>S</w:t>
      </w:r>
      <w:r w:rsidRPr="00A33C1A">
        <w:rPr>
          <w:rFonts w:ascii="Times New Roman" w:hAnsi="Times New Roman" w:cs="Times New Roman"/>
          <w:b/>
          <w:color w:val="000000" w:themeColor="text1"/>
          <w:sz w:val="36"/>
          <w:szCs w:val="36"/>
        </w:rPr>
        <w:t>5</w:t>
      </w:r>
      <w:r w:rsidRPr="00A33C1A">
        <w:rPr>
          <w:rFonts w:ascii="Times New Roman" w:hAnsi="Times New Roman" w:cs="Times New Roman"/>
          <w:color w:val="000000" w:themeColor="text1"/>
          <w:sz w:val="36"/>
          <w:szCs w:val="36"/>
        </w:rPr>
        <w:t xml:space="preserve"> Patients with both PIKK and FA/HR mutations were associated with more nucleotide-level alterations. (</w:t>
      </w:r>
      <w:r w:rsidRPr="00A33C1A">
        <w:rPr>
          <w:rFonts w:ascii="Times New Roman" w:hAnsi="Times New Roman" w:cs="Times New Roman"/>
          <w:b/>
          <w:color w:val="000000" w:themeColor="text1"/>
          <w:sz w:val="36"/>
          <w:szCs w:val="36"/>
        </w:rPr>
        <w:t>A</w:t>
      </w:r>
      <w:r w:rsidRPr="00A33C1A">
        <w:rPr>
          <w:rFonts w:ascii="Times New Roman" w:hAnsi="Times New Roman" w:cs="Times New Roman"/>
          <w:color w:val="000000" w:themeColor="text1"/>
          <w:sz w:val="36"/>
          <w:szCs w:val="36"/>
        </w:rPr>
        <w:t>-</w:t>
      </w:r>
      <w:r w:rsidRPr="00A33C1A">
        <w:rPr>
          <w:rFonts w:ascii="Times New Roman" w:hAnsi="Times New Roman" w:cs="Times New Roman"/>
          <w:b/>
          <w:color w:val="000000" w:themeColor="text1"/>
          <w:sz w:val="36"/>
          <w:szCs w:val="36"/>
        </w:rPr>
        <w:t>C</w:t>
      </w:r>
      <w:r w:rsidRPr="00A33C1A">
        <w:rPr>
          <w:rFonts w:ascii="Times New Roman" w:hAnsi="Times New Roman" w:cs="Times New Roman"/>
          <w:color w:val="000000" w:themeColor="text1"/>
          <w:sz w:val="36"/>
          <w:szCs w:val="36"/>
        </w:rPr>
        <w:t>) The comparison of TMB (</w:t>
      </w:r>
      <w:r w:rsidRPr="00A33C1A">
        <w:rPr>
          <w:rFonts w:ascii="Times New Roman" w:hAnsi="Times New Roman" w:cs="Times New Roman"/>
          <w:b/>
          <w:color w:val="000000" w:themeColor="text1"/>
          <w:sz w:val="36"/>
          <w:szCs w:val="36"/>
        </w:rPr>
        <w:t>A</w:t>
      </w:r>
      <w:r w:rsidRPr="00A33C1A">
        <w:rPr>
          <w:rFonts w:ascii="Times New Roman" w:hAnsi="Times New Roman" w:cs="Times New Roman"/>
          <w:color w:val="000000" w:themeColor="text1"/>
          <w:sz w:val="36"/>
          <w:szCs w:val="36"/>
        </w:rPr>
        <w:t>), CIS (</w:t>
      </w:r>
      <w:r w:rsidRPr="00A33C1A">
        <w:rPr>
          <w:rFonts w:ascii="Times New Roman" w:hAnsi="Times New Roman" w:cs="Times New Roman"/>
          <w:b/>
          <w:color w:val="000000" w:themeColor="text1"/>
          <w:sz w:val="36"/>
          <w:szCs w:val="36"/>
        </w:rPr>
        <w:t>B</w:t>
      </w:r>
      <w:r w:rsidRPr="00A33C1A">
        <w:rPr>
          <w:rFonts w:ascii="Times New Roman" w:hAnsi="Times New Roman" w:cs="Times New Roman"/>
          <w:color w:val="000000" w:themeColor="text1"/>
          <w:sz w:val="36"/>
          <w:szCs w:val="36"/>
        </w:rPr>
        <w:t>), and MSI (</w:t>
      </w:r>
      <w:r w:rsidRPr="00A33C1A">
        <w:rPr>
          <w:rFonts w:ascii="Times New Roman" w:hAnsi="Times New Roman" w:cs="Times New Roman"/>
          <w:b/>
          <w:color w:val="000000" w:themeColor="text1"/>
          <w:sz w:val="36"/>
          <w:szCs w:val="36"/>
        </w:rPr>
        <w:t>C</w:t>
      </w:r>
      <w:r w:rsidRPr="00A33C1A">
        <w:rPr>
          <w:rFonts w:ascii="Times New Roman" w:hAnsi="Times New Roman" w:cs="Times New Roman"/>
          <w:color w:val="000000" w:themeColor="text1"/>
          <w:sz w:val="36"/>
          <w:szCs w:val="36"/>
        </w:rPr>
        <w:t>) in PIKK-mutated NSCLC patients with different FA/HR mutational statuses.</w:t>
      </w:r>
    </w:p>
    <w:p w:rsidR="002E5394" w:rsidRPr="00A33C1A" w:rsidRDefault="002E5394" w:rsidP="002E5394">
      <w:pPr>
        <w:spacing w:line="360" w:lineRule="auto"/>
        <w:rPr>
          <w:rFonts w:ascii="Times New Roman" w:hAnsi="Times New Roman" w:cs="Times New Roman"/>
          <w:b/>
          <w:color w:val="000000" w:themeColor="text1"/>
          <w:sz w:val="36"/>
          <w:szCs w:val="36"/>
        </w:rPr>
      </w:pPr>
    </w:p>
    <w:p w:rsidR="002E5394" w:rsidRPr="00A33C1A" w:rsidRDefault="002E5394" w:rsidP="002E5394">
      <w:pPr>
        <w:spacing w:line="360" w:lineRule="auto"/>
        <w:rPr>
          <w:rFonts w:ascii="Times New Roman" w:hAnsi="Times New Roman" w:cs="Times New Roman"/>
          <w:b/>
          <w:color w:val="000000" w:themeColor="text1"/>
          <w:sz w:val="36"/>
          <w:szCs w:val="36"/>
        </w:rPr>
      </w:pPr>
      <w:r w:rsidRPr="00A33C1A">
        <w:rPr>
          <w:rFonts w:ascii="Times New Roman" w:hAnsi="Times New Roman" w:cs="Times New Roman"/>
          <w:b/>
          <w:noProof/>
          <w:color w:val="000000" w:themeColor="text1"/>
          <w:sz w:val="36"/>
          <w:szCs w:val="36"/>
          <w:lang w:val="en-IN" w:eastAsia="en-IN"/>
        </w:rPr>
        <w:drawing>
          <wp:inline distT="0" distB="0" distL="0" distR="0" wp14:anchorId="3A7BC2DF" wp14:editId="38EFA693">
            <wp:extent cx="4913596" cy="6254044"/>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lementary Figure 6.png"/>
                    <pic:cNvPicPr/>
                  </pic:nvPicPr>
                  <pic:blipFill rotWithShape="1">
                    <a:blip r:embed="rId9" cstate="print">
                      <a:extLst>
                        <a:ext uri="{28A0092B-C50C-407E-A947-70E740481C1C}">
                          <a14:useLocalDpi xmlns:a14="http://schemas.microsoft.com/office/drawing/2010/main" val="0"/>
                        </a:ext>
                      </a:extLst>
                    </a:blip>
                    <a:srcRect t="2898"/>
                    <a:stretch/>
                  </pic:blipFill>
                  <pic:spPr bwMode="auto">
                    <a:xfrm>
                      <a:off x="0" y="0"/>
                      <a:ext cx="4926557" cy="6270540"/>
                    </a:xfrm>
                    <a:prstGeom prst="rect">
                      <a:avLst/>
                    </a:prstGeom>
                    <a:ln>
                      <a:noFill/>
                    </a:ln>
                    <a:extLst>
                      <a:ext uri="{53640926-AAD7-44D8-BBD7-CCE9431645EC}">
                        <a14:shadowObscured xmlns:a14="http://schemas.microsoft.com/office/drawing/2010/main"/>
                      </a:ext>
                    </a:extLst>
                  </pic:spPr>
                </pic:pic>
              </a:graphicData>
            </a:graphic>
          </wp:inline>
        </w:drawing>
      </w:r>
    </w:p>
    <w:p w:rsidR="002E5394" w:rsidRPr="00A33C1A" w:rsidRDefault="002E5394" w:rsidP="002E5394">
      <w:pPr>
        <w:spacing w:line="360" w:lineRule="auto"/>
        <w:rPr>
          <w:rFonts w:ascii="Times New Roman" w:hAnsi="Times New Roman" w:cs="Times New Roman"/>
          <w:color w:val="000000" w:themeColor="text1"/>
          <w:sz w:val="36"/>
          <w:szCs w:val="36"/>
        </w:rPr>
      </w:pPr>
      <w:r w:rsidRPr="00A33C1A">
        <w:rPr>
          <w:rFonts w:ascii="Times New Roman" w:hAnsi="Times New Roman" w:cs="Times New Roman"/>
          <w:b/>
          <w:color w:val="000000" w:themeColor="text1"/>
          <w:sz w:val="36"/>
          <w:szCs w:val="36"/>
        </w:rPr>
        <w:t xml:space="preserve">Figure </w:t>
      </w:r>
      <w:r w:rsidR="00A33C1A" w:rsidRPr="00A33C1A">
        <w:rPr>
          <w:rFonts w:ascii="Times New Roman" w:hAnsi="Times New Roman" w:cs="Times New Roman"/>
          <w:b/>
          <w:color w:val="000000" w:themeColor="text1"/>
          <w:sz w:val="36"/>
          <w:szCs w:val="36"/>
        </w:rPr>
        <w:t>S</w:t>
      </w:r>
      <w:r w:rsidRPr="00A33C1A">
        <w:rPr>
          <w:rFonts w:ascii="Times New Roman" w:hAnsi="Times New Roman" w:cs="Times New Roman"/>
          <w:b/>
          <w:color w:val="000000" w:themeColor="text1"/>
          <w:sz w:val="36"/>
          <w:szCs w:val="36"/>
        </w:rPr>
        <w:t>6</w:t>
      </w:r>
      <w:r w:rsidRPr="00A33C1A">
        <w:rPr>
          <w:rFonts w:ascii="Times New Roman" w:hAnsi="Times New Roman" w:cs="Times New Roman"/>
          <w:color w:val="000000" w:themeColor="text1"/>
          <w:sz w:val="36"/>
          <w:szCs w:val="36"/>
        </w:rPr>
        <w:t xml:space="preserve"> PIKK and FA/HR co-mutations were associated with higher nucleotide-level changes and worse prognosis. (</w:t>
      </w:r>
      <w:r w:rsidRPr="00A33C1A">
        <w:rPr>
          <w:rFonts w:ascii="Times New Roman" w:hAnsi="Times New Roman" w:cs="Times New Roman"/>
          <w:b/>
          <w:color w:val="000000" w:themeColor="text1"/>
          <w:sz w:val="36"/>
          <w:szCs w:val="36"/>
        </w:rPr>
        <w:t>A</w:t>
      </w:r>
      <w:r w:rsidRPr="00A33C1A">
        <w:rPr>
          <w:rFonts w:ascii="Times New Roman" w:hAnsi="Times New Roman" w:cs="Times New Roman"/>
          <w:color w:val="000000" w:themeColor="text1"/>
          <w:sz w:val="36"/>
          <w:szCs w:val="36"/>
        </w:rPr>
        <w:t xml:space="preserve">, </w:t>
      </w:r>
      <w:r w:rsidRPr="00A33C1A">
        <w:rPr>
          <w:rFonts w:ascii="Times New Roman" w:hAnsi="Times New Roman" w:cs="Times New Roman"/>
          <w:b/>
          <w:color w:val="000000" w:themeColor="text1"/>
          <w:sz w:val="36"/>
          <w:szCs w:val="36"/>
        </w:rPr>
        <w:t>B</w:t>
      </w:r>
      <w:r w:rsidRPr="00A33C1A">
        <w:rPr>
          <w:rFonts w:ascii="Times New Roman" w:hAnsi="Times New Roman" w:cs="Times New Roman"/>
          <w:color w:val="000000" w:themeColor="text1"/>
          <w:sz w:val="36"/>
          <w:szCs w:val="36"/>
        </w:rPr>
        <w:t>) The comparison of TMB in NSCLC patients with different PIKK and FA (</w:t>
      </w:r>
      <w:r w:rsidRPr="00A33C1A">
        <w:rPr>
          <w:rFonts w:ascii="Times New Roman" w:hAnsi="Times New Roman" w:cs="Times New Roman"/>
          <w:b/>
          <w:color w:val="000000" w:themeColor="text1"/>
          <w:sz w:val="36"/>
          <w:szCs w:val="36"/>
        </w:rPr>
        <w:t>A</w:t>
      </w:r>
      <w:r w:rsidRPr="00A33C1A">
        <w:rPr>
          <w:rFonts w:ascii="Times New Roman" w:hAnsi="Times New Roman" w:cs="Times New Roman"/>
          <w:color w:val="000000" w:themeColor="text1"/>
          <w:sz w:val="36"/>
          <w:szCs w:val="36"/>
        </w:rPr>
        <w:t>) or HR (</w:t>
      </w:r>
      <w:r w:rsidRPr="00A33C1A">
        <w:rPr>
          <w:rFonts w:ascii="Times New Roman" w:hAnsi="Times New Roman" w:cs="Times New Roman"/>
          <w:b/>
          <w:color w:val="000000" w:themeColor="text1"/>
          <w:sz w:val="36"/>
          <w:szCs w:val="36"/>
        </w:rPr>
        <w:t>B</w:t>
      </w:r>
      <w:r w:rsidRPr="00A33C1A">
        <w:rPr>
          <w:rFonts w:ascii="Times New Roman" w:hAnsi="Times New Roman" w:cs="Times New Roman"/>
          <w:color w:val="000000" w:themeColor="text1"/>
          <w:sz w:val="36"/>
          <w:szCs w:val="36"/>
        </w:rPr>
        <w:t>) mutational statuses in the study cohort. (</w:t>
      </w:r>
      <w:r w:rsidRPr="00A33C1A">
        <w:rPr>
          <w:rFonts w:ascii="Times New Roman" w:hAnsi="Times New Roman" w:cs="Times New Roman"/>
          <w:b/>
          <w:color w:val="000000" w:themeColor="text1"/>
          <w:sz w:val="36"/>
          <w:szCs w:val="36"/>
        </w:rPr>
        <w:t>C</w:t>
      </w:r>
      <w:r w:rsidRPr="00A33C1A">
        <w:rPr>
          <w:rFonts w:ascii="Times New Roman" w:hAnsi="Times New Roman" w:cs="Times New Roman"/>
          <w:color w:val="000000" w:themeColor="text1"/>
          <w:sz w:val="36"/>
          <w:szCs w:val="36"/>
        </w:rPr>
        <w:t xml:space="preserve">, </w:t>
      </w:r>
      <w:r w:rsidRPr="00A33C1A">
        <w:rPr>
          <w:rFonts w:ascii="Times New Roman" w:hAnsi="Times New Roman" w:cs="Times New Roman"/>
          <w:b/>
          <w:color w:val="000000" w:themeColor="text1"/>
          <w:sz w:val="36"/>
          <w:szCs w:val="36"/>
        </w:rPr>
        <w:t>D</w:t>
      </w:r>
      <w:r w:rsidRPr="00A33C1A">
        <w:rPr>
          <w:rFonts w:ascii="Times New Roman" w:hAnsi="Times New Roman" w:cs="Times New Roman"/>
          <w:color w:val="000000" w:themeColor="text1"/>
          <w:sz w:val="36"/>
          <w:szCs w:val="36"/>
        </w:rPr>
        <w:t>) The comparison of CIS in NSCLC patients with different PIKK and FA (</w:t>
      </w:r>
      <w:r w:rsidRPr="00A33C1A">
        <w:rPr>
          <w:rFonts w:ascii="Times New Roman" w:hAnsi="Times New Roman" w:cs="Times New Roman"/>
          <w:b/>
          <w:color w:val="000000" w:themeColor="text1"/>
          <w:sz w:val="36"/>
          <w:szCs w:val="36"/>
        </w:rPr>
        <w:t>C</w:t>
      </w:r>
      <w:r w:rsidRPr="00A33C1A">
        <w:rPr>
          <w:rFonts w:ascii="Times New Roman" w:hAnsi="Times New Roman" w:cs="Times New Roman"/>
          <w:color w:val="000000" w:themeColor="text1"/>
          <w:sz w:val="36"/>
          <w:szCs w:val="36"/>
        </w:rPr>
        <w:t>) or HR (</w:t>
      </w:r>
      <w:r w:rsidRPr="00A33C1A">
        <w:rPr>
          <w:rFonts w:ascii="Times New Roman" w:hAnsi="Times New Roman" w:cs="Times New Roman"/>
          <w:b/>
          <w:color w:val="000000" w:themeColor="text1"/>
          <w:sz w:val="36"/>
          <w:szCs w:val="36"/>
        </w:rPr>
        <w:t>D</w:t>
      </w:r>
      <w:r w:rsidRPr="00A33C1A">
        <w:rPr>
          <w:rFonts w:ascii="Times New Roman" w:hAnsi="Times New Roman" w:cs="Times New Roman"/>
          <w:color w:val="000000" w:themeColor="text1"/>
          <w:sz w:val="36"/>
          <w:szCs w:val="36"/>
        </w:rPr>
        <w:t>) mutational statuses in the study cohort. (</w:t>
      </w:r>
      <w:r w:rsidRPr="00A33C1A">
        <w:rPr>
          <w:rFonts w:ascii="Times New Roman" w:hAnsi="Times New Roman" w:cs="Times New Roman"/>
          <w:b/>
          <w:color w:val="000000" w:themeColor="text1"/>
          <w:sz w:val="36"/>
          <w:szCs w:val="36"/>
        </w:rPr>
        <w:t>E</w:t>
      </w:r>
      <w:r w:rsidRPr="00A33C1A">
        <w:rPr>
          <w:rFonts w:ascii="Times New Roman" w:hAnsi="Times New Roman" w:cs="Times New Roman"/>
          <w:color w:val="000000" w:themeColor="text1"/>
          <w:sz w:val="36"/>
          <w:szCs w:val="36"/>
        </w:rPr>
        <w:t xml:space="preserve">, </w:t>
      </w:r>
      <w:r w:rsidRPr="00A33C1A">
        <w:rPr>
          <w:rFonts w:ascii="Times New Roman" w:hAnsi="Times New Roman" w:cs="Times New Roman"/>
          <w:b/>
          <w:color w:val="000000" w:themeColor="text1"/>
          <w:sz w:val="36"/>
          <w:szCs w:val="36"/>
        </w:rPr>
        <w:t>F</w:t>
      </w:r>
      <w:r w:rsidRPr="00A33C1A">
        <w:rPr>
          <w:rFonts w:ascii="Times New Roman" w:hAnsi="Times New Roman" w:cs="Times New Roman"/>
          <w:color w:val="000000" w:themeColor="text1"/>
          <w:sz w:val="36"/>
          <w:szCs w:val="36"/>
        </w:rPr>
        <w:t>) The comparison of MSI frequency in NSCLC patients with different PIKK and FA (</w:t>
      </w:r>
      <w:r w:rsidRPr="00A33C1A">
        <w:rPr>
          <w:rFonts w:ascii="Times New Roman" w:hAnsi="Times New Roman" w:cs="Times New Roman"/>
          <w:b/>
          <w:color w:val="000000" w:themeColor="text1"/>
          <w:sz w:val="36"/>
          <w:szCs w:val="36"/>
        </w:rPr>
        <w:t>E</w:t>
      </w:r>
      <w:r w:rsidRPr="00A33C1A">
        <w:rPr>
          <w:rFonts w:ascii="Times New Roman" w:hAnsi="Times New Roman" w:cs="Times New Roman"/>
          <w:color w:val="000000" w:themeColor="text1"/>
          <w:sz w:val="36"/>
          <w:szCs w:val="36"/>
        </w:rPr>
        <w:t>) or HR (</w:t>
      </w:r>
      <w:r w:rsidRPr="00A33C1A">
        <w:rPr>
          <w:rFonts w:ascii="Times New Roman" w:hAnsi="Times New Roman" w:cs="Times New Roman"/>
          <w:b/>
          <w:color w:val="000000" w:themeColor="text1"/>
          <w:sz w:val="36"/>
          <w:szCs w:val="36"/>
        </w:rPr>
        <w:t>F</w:t>
      </w:r>
      <w:r w:rsidRPr="00A33C1A">
        <w:rPr>
          <w:rFonts w:ascii="Times New Roman" w:hAnsi="Times New Roman" w:cs="Times New Roman"/>
          <w:color w:val="000000" w:themeColor="text1"/>
          <w:sz w:val="36"/>
          <w:szCs w:val="36"/>
        </w:rPr>
        <w:t>) mutational statuses in the study cohort. (</w:t>
      </w:r>
      <w:r w:rsidRPr="00A33C1A">
        <w:rPr>
          <w:rFonts w:ascii="Times New Roman" w:hAnsi="Times New Roman" w:cs="Times New Roman"/>
          <w:b/>
          <w:color w:val="000000" w:themeColor="text1"/>
          <w:sz w:val="36"/>
          <w:szCs w:val="36"/>
        </w:rPr>
        <w:t>G</w:t>
      </w:r>
      <w:r w:rsidRPr="00A33C1A">
        <w:rPr>
          <w:rFonts w:ascii="Times New Roman" w:hAnsi="Times New Roman" w:cs="Times New Roman"/>
          <w:color w:val="000000" w:themeColor="text1"/>
          <w:sz w:val="36"/>
          <w:szCs w:val="36"/>
        </w:rPr>
        <w:t>-</w:t>
      </w:r>
      <w:r w:rsidRPr="00A33C1A">
        <w:rPr>
          <w:rFonts w:ascii="Times New Roman" w:hAnsi="Times New Roman" w:cs="Times New Roman"/>
          <w:b/>
          <w:color w:val="000000" w:themeColor="text1"/>
          <w:sz w:val="36"/>
          <w:szCs w:val="36"/>
        </w:rPr>
        <w:t>I</w:t>
      </w:r>
      <w:r w:rsidRPr="00A33C1A">
        <w:rPr>
          <w:rFonts w:ascii="Times New Roman" w:hAnsi="Times New Roman" w:cs="Times New Roman"/>
          <w:color w:val="000000" w:themeColor="text1"/>
          <w:sz w:val="36"/>
          <w:szCs w:val="36"/>
        </w:rPr>
        <w:t>) The comparison of TMB in NSCLC patients with different PIKK and FA/HR mutational statuses in the external cohort. (</w:t>
      </w:r>
      <w:r w:rsidRPr="00A33C1A">
        <w:rPr>
          <w:rFonts w:ascii="Times New Roman" w:hAnsi="Times New Roman" w:cs="Times New Roman"/>
          <w:b/>
          <w:color w:val="000000" w:themeColor="text1"/>
          <w:sz w:val="36"/>
          <w:szCs w:val="36"/>
        </w:rPr>
        <w:t>J</w:t>
      </w:r>
      <w:r w:rsidRPr="00A33C1A">
        <w:rPr>
          <w:rFonts w:ascii="Times New Roman" w:hAnsi="Times New Roman" w:cs="Times New Roman"/>
          <w:color w:val="000000" w:themeColor="text1"/>
          <w:sz w:val="36"/>
          <w:szCs w:val="36"/>
        </w:rPr>
        <w:t xml:space="preserve">, </w:t>
      </w:r>
      <w:r w:rsidRPr="00A33C1A">
        <w:rPr>
          <w:rFonts w:ascii="Times New Roman" w:hAnsi="Times New Roman" w:cs="Times New Roman"/>
          <w:b/>
          <w:color w:val="000000" w:themeColor="text1"/>
          <w:sz w:val="36"/>
          <w:szCs w:val="36"/>
        </w:rPr>
        <w:t>K</w:t>
      </w:r>
      <w:r w:rsidRPr="00A33C1A">
        <w:rPr>
          <w:rFonts w:ascii="Times New Roman" w:hAnsi="Times New Roman" w:cs="Times New Roman"/>
          <w:color w:val="000000" w:themeColor="text1"/>
          <w:sz w:val="36"/>
          <w:szCs w:val="36"/>
        </w:rPr>
        <w:t>) Kaplan-Meier curve of overall survival in NSCLC patients from the external cohort in strata of different PIKK and FA (</w:t>
      </w:r>
      <w:r w:rsidRPr="00A33C1A">
        <w:rPr>
          <w:rFonts w:ascii="Times New Roman" w:hAnsi="Times New Roman" w:cs="Times New Roman"/>
          <w:b/>
          <w:color w:val="000000" w:themeColor="text1"/>
          <w:sz w:val="36"/>
          <w:szCs w:val="36"/>
        </w:rPr>
        <w:t>J</w:t>
      </w:r>
      <w:r w:rsidRPr="00A33C1A">
        <w:rPr>
          <w:rFonts w:ascii="Times New Roman" w:hAnsi="Times New Roman" w:cs="Times New Roman"/>
          <w:color w:val="000000" w:themeColor="text1"/>
          <w:sz w:val="36"/>
          <w:szCs w:val="36"/>
        </w:rPr>
        <w:t>) or HR (</w:t>
      </w:r>
      <w:r w:rsidRPr="00A33C1A">
        <w:rPr>
          <w:rFonts w:ascii="Times New Roman" w:hAnsi="Times New Roman" w:cs="Times New Roman"/>
          <w:b/>
          <w:color w:val="000000" w:themeColor="text1"/>
          <w:sz w:val="36"/>
          <w:szCs w:val="36"/>
        </w:rPr>
        <w:t>K</w:t>
      </w:r>
      <w:r w:rsidRPr="00A33C1A">
        <w:rPr>
          <w:rFonts w:ascii="Times New Roman" w:hAnsi="Times New Roman" w:cs="Times New Roman"/>
          <w:color w:val="000000" w:themeColor="text1"/>
          <w:sz w:val="36"/>
          <w:szCs w:val="36"/>
        </w:rPr>
        <w:t>) mutational statuses.</w:t>
      </w:r>
    </w:p>
    <w:p w:rsidR="002E5394" w:rsidRPr="00A33C1A" w:rsidRDefault="002E5394" w:rsidP="002E5394">
      <w:pPr>
        <w:spacing w:line="360" w:lineRule="auto"/>
        <w:rPr>
          <w:rFonts w:ascii="Times New Roman" w:hAnsi="Times New Roman" w:cs="Times New Roman"/>
          <w:b/>
          <w:color w:val="000000" w:themeColor="text1"/>
          <w:sz w:val="36"/>
          <w:szCs w:val="36"/>
        </w:rPr>
      </w:pPr>
      <w:r w:rsidRPr="00A33C1A">
        <w:rPr>
          <w:rFonts w:ascii="Times New Roman" w:hAnsi="Times New Roman" w:cs="Times New Roman"/>
          <w:b/>
          <w:noProof/>
          <w:color w:val="000000" w:themeColor="text1"/>
          <w:sz w:val="36"/>
          <w:szCs w:val="36"/>
          <w:lang w:val="en-IN" w:eastAsia="en-IN"/>
        </w:rPr>
        <w:drawing>
          <wp:inline distT="0" distB="0" distL="0" distR="0" wp14:anchorId="5CD62CC4" wp14:editId="1F805377">
            <wp:extent cx="5943600" cy="44291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ry Figure 7.png"/>
                    <pic:cNvPicPr/>
                  </pic:nvPicPr>
                  <pic:blipFill rotWithShape="1">
                    <a:blip r:embed="rId10" cstate="print">
                      <a:extLst>
                        <a:ext uri="{28A0092B-C50C-407E-A947-70E740481C1C}">
                          <a14:useLocalDpi xmlns:a14="http://schemas.microsoft.com/office/drawing/2010/main" val="0"/>
                        </a:ext>
                      </a:extLst>
                    </a:blip>
                    <a:srcRect t="4439"/>
                    <a:stretch/>
                  </pic:blipFill>
                  <pic:spPr bwMode="auto">
                    <a:xfrm>
                      <a:off x="0" y="0"/>
                      <a:ext cx="5943600" cy="4429125"/>
                    </a:xfrm>
                    <a:prstGeom prst="rect">
                      <a:avLst/>
                    </a:prstGeom>
                    <a:ln>
                      <a:noFill/>
                    </a:ln>
                    <a:extLst>
                      <a:ext uri="{53640926-AAD7-44D8-BBD7-CCE9431645EC}">
                        <a14:shadowObscured xmlns:a14="http://schemas.microsoft.com/office/drawing/2010/main"/>
                      </a:ext>
                    </a:extLst>
                  </pic:spPr>
                </pic:pic>
              </a:graphicData>
            </a:graphic>
          </wp:inline>
        </w:drawing>
      </w:r>
    </w:p>
    <w:p w:rsidR="002E5394" w:rsidRPr="00A33C1A" w:rsidRDefault="002E5394" w:rsidP="002E5394">
      <w:pPr>
        <w:spacing w:line="360" w:lineRule="auto"/>
        <w:rPr>
          <w:rFonts w:ascii="Times New Roman" w:hAnsi="Times New Roman" w:cs="Times New Roman"/>
          <w:color w:val="000000" w:themeColor="text1"/>
          <w:sz w:val="36"/>
          <w:szCs w:val="36"/>
        </w:rPr>
      </w:pPr>
      <w:r w:rsidRPr="00A33C1A">
        <w:rPr>
          <w:rFonts w:ascii="Times New Roman" w:hAnsi="Times New Roman" w:cs="Times New Roman"/>
          <w:b/>
          <w:color w:val="000000" w:themeColor="text1"/>
          <w:sz w:val="36"/>
          <w:szCs w:val="36"/>
        </w:rPr>
        <w:t xml:space="preserve">Figure </w:t>
      </w:r>
      <w:r w:rsidR="00A33C1A" w:rsidRPr="00A33C1A">
        <w:rPr>
          <w:rFonts w:ascii="Times New Roman" w:hAnsi="Times New Roman" w:cs="Times New Roman"/>
          <w:b/>
          <w:color w:val="000000" w:themeColor="text1"/>
          <w:sz w:val="36"/>
          <w:szCs w:val="36"/>
        </w:rPr>
        <w:t>S</w:t>
      </w:r>
      <w:r w:rsidRPr="00A33C1A">
        <w:rPr>
          <w:rFonts w:ascii="Times New Roman" w:hAnsi="Times New Roman" w:cs="Times New Roman"/>
          <w:b/>
          <w:color w:val="000000" w:themeColor="text1"/>
          <w:sz w:val="36"/>
          <w:szCs w:val="36"/>
        </w:rPr>
        <w:t>7</w:t>
      </w:r>
      <w:r w:rsidRPr="00A33C1A">
        <w:rPr>
          <w:rFonts w:ascii="Times New Roman" w:hAnsi="Times New Roman" w:cs="Times New Roman"/>
          <w:color w:val="000000" w:themeColor="text1"/>
          <w:sz w:val="36"/>
          <w:szCs w:val="36"/>
        </w:rPr>
        <w:t xml:space="preserve"> CNV and pathways enriched in </w:t>
      </w:r>
      <w:r w:rsidRPr="00A33C1A">
        <w:rPr>
          <w:rFonts w:ascii="Times New Roman" w:hAnsi="Times New Roman" w:cs="Times New Roman"/>
          <w:i/>
          <w:color w:val="000000" w:themeColor="text1"/>
          <w:sz w:val="36"/>
          <w:szCs w:val="36"/>
        </w:rPr>
        <w:t>ATM</w:t>
      </w:r>
      <w:r w:rsidRPr="00A33C1A">
        <w:rPr>
          <w:rFonts w:ascii="Times New Roman" w:hAnsi="Times New Roman" w:cs="Times New Roman"/>
          <w:color w:val="000000" w:themeColor="text1"/>
          <w:sz w:val="36"/>
          <w:szCs w:val="36"/>
        </w:rPr>
        <w:t xml:space="preserve">-mutated versus </w:t>
      </w:r>
      <w:r w:rsidRPr="00A33C1A">
        <w:rPr>
          <w:rFonts w:ascii="Times New Roman" w:hAnsi="Times New Roman" w:cs="Times New Roman"/>
          <w:i/>
          <w:color w:val="000000" w:themeColor="text1"/>
          <w:sz w:val="36"/>
          <w:szCs w:val="36"/>
        </w:rPr>
        <w:t>ATR</w:t>
      </w:r>
      <w:r w:rsidRPr="00A33C1A">
        <w:rPr>
          <w:rFonts w:ascii="Times New Roman" w:hAnsi="Times New Roman" w:cs="Times New Roman"/>
          <w:color w:val="000000" w:themeColor="text1"/>
          <w:sz w:val="36"/>
          <w:szCs w:val="36"/>
        </w:rPr>
        <w:t>-mutated patients. (</w:t>
      </w:r>
      <w:r w:rsidRPr="00A33C1A">
        <w:rPr>
          <w:rFonts w:ascii="Times New Roman" w:hAnsi="Times New Roman" w:cs="Times New Roman"/>
          <w:b/>
          <w:color w:val="000000" w:themeColor="text1"/>
          <w:sz w:val="36"/>
          <w:szCs w:val="36"/>
        </w:rPr>
        <w:t>A</w:t>
      </w:r>
      <w:r w:rsidRPr="00A33C1A">
        <w:rPr>
          <w:rFonts w:ascii="Times New Roman" w:hAnsi="Times New Roman" w:cs="Times New Roman"/>
          <w:color w:val="000000" w:themeColor="text1"/>
          <w:sz w:val="36"/>
          <w:szCs w:val="36"/>
        </w:rPr>
        <w:t xml:space="preserve">, </w:t>
      </w:r>
      <w:r w:rsidRPr="00A33C1A">
        <w:rPr>
          <w:rFonts w:ascii="Times New Roman" w:hAnsi="Times New Roman" w:cs="Times New Roman"/>
          <w:b/>
          <w:color w:val="000000" w:themeColor="text1"/>
          <w:sz w:val="36"/>
          <w:szCs w:val="36"/>
        </w:rPr>
        <w:t>B</w:t>
      </w:r>
      <w:r w:rsidRPr="00A33C1A">
        <w:rPr>
          <w:rFonts w:ascii="Times New Roman" w:hAnsi="Times New Roman" w:cs="Times New Roman"/>
          <w:color w:val="000000" w:themeColor="text1"/>
          <w:sz w:val="36"/>
          <w:szCs w:val="36"/>
        </w:rPr>
        <w:t>) The gene-level CNV (</w:t>
      </w:r>
      <w:r w:rsidRPr="00A33C1A">
        <w:rPr>
          <w:rFonts w:ascii="Times New Roman" w:hAnsi="Times New Roman" w:cs="Times New Roman"/>
          <w:b/>
          <w:color w:val="000000" w:themeColor="text1"/>
          <w:sz w:val="36"/>
          <w:szCs w:val="36"/>
        </w:rPr>
        <w:t>A</w:t>
      </w:r>
      <w:r w:rsidRPr="00A33C1A">
        <w:rPr>
          <w:rFonts w:ascii="Times New Roman" w:hAnsi="Times New Roman" w:cs="Times New Roman"/>
          <w:color w:val="000000" w:themeColor="text1"/>
          <w:sz w:val="36"/>
          <w:szCs w:val="36"/>
        </w:rPr>
        <w:t>) and chromosome arm-level CNV (</w:t>
      </w:r>
      <w:r w:rsidRPr="00A33C1A">
        <w:rPr>
          <w:rFonts w:ascii="Times New Roman" w:hAnsi="Times New Roman" w:cs="Times New Roman"/>
          <w:b/>
          <w:color w:val="000000" w:themeColor="text1"/>
          <w:sz w:val="36"/>
          <w:szCs w:val="36"/>
        </w:rPr>
        <w:t>B</w:t>
      </w:r>
      <w:r w:rsidRPr="00A33C1A">
        <w:rPr>
          <w:rFonts w:ascii="Times New Roman" w:hAnsi="Times New Roman" w:cs="Times New Roman"/>
          <w:color w:val="000000" w:themeColor="text1"/>
          <w:sz w:val="36"/>
          <w:szCs w:val="36"/>
        </w:rPr>
        <w:t xml:space="preserve">) that were enriched in </w:t>
      </w:r>
      <w:r w:rsidRPr="00A33C1A">
        <w:rPr>
          <w:rFonts w:ascii="Times New Roman" w:hAnsi="Times New Roman" w:cs="Times New Roman"/>
          <w:i/>
          <w:color w:val="000000" w:themeColor="text1"/>
          <w:sz w:val="36"/>
          <w:szCs w:val="36"/>
        </w:rPr>
        <w:t>ATM</w:t>
      </w:r>
      <w:r w:rsidRPr="00A33C1A">
        <w:rPr>
          <w:rFonts w:ascii="Times New Roman" w:hAnsi="Times New Roman" w:cs="Times New Roman"/>
          <w:color w:val="000000" w:themeColor="text1"/>
          <w:sz w:val="36"/>
          <w:szCs w:val="36"/>
        </w:rPr>
        <w:t xml:space="preserve">-mutated or </w:t>
      </w:r>
      <w:r w:rsidRPr="00A33C1A">
        <w:rPr>
          <w:rFonts w:ascii="Times New Roman" w:hAnsi="Times New Roman" w:cs="Times New Roman"/>
          <w:i/>
          <w:color w:val="000000" w:themeColor="text1"/>
          <w:sz w:val="36"/>
          <w:szCs w:val="36"/>
        </w:rPr>
        <w:t>ATR</w:t>
      </w:r>
      <w:r w:rsidRPr="00A33C1A">
        <w:rPr>
          <w:rFonts w:ascii="Times New Roman" w:hAnsi="Times New Roman" w:cs="Times New Roman"/>
          <w:color w:val="000000" w:themeColor="text1"/>
          <w:sz w:val="36"/>
          <w:szCs w:val="36"/>
        </w:rPr>
        <w:t>-mutated patients. The analyses were done using Fisher’s exact test, and all multiple comparisons were corrected by the Benjamini &amp; Hochberg approach. (</w:t>
      </w:r>
      <w:r w:rsidRPr="00A33C1A">
        <w:rPr>
          <w:rFonts w:ascii="Times New Roman" w:hAnsi="Times New Roman" w:cs="Times New Roman"/>
          <w:b/>
          <w:color w:val="000000" w:themeColor="text1"/>
          <w:sz w:val="36"/>
          <w:szCs w:val="36"/>
        </w:rPr>
        <w:t>C</w:t>
      </w:r>
      <w:r w:rsidRPr="00A33C1A">
        <w:rPr>
          <w:rFonts w:ascii="Times New Roman" w:hAnsi="Times New Roman" w:cs="Times New Roman"/>
          <w:color w:val="000000" w:themeColor="text1"/>
          <w:sz w:val="36"/>
          <w:szCs w:val="36"/>
        </w:rPr>
        <w:t xml:space="preserve">, </w:t>
      </w:r>
      <w:r w:rsidRPr="00A33C1A">
        <w:rPr>
          <w:rFonts w:ascii="Times New Roman" w:hAnsi="Times New Roman" w:cs="Times New Roman"/>
          <w:b/>
          <w:color w:val="000000" w:themeColor="text1"/>
          <w:sz w:val="36"/>
          <w:szCs w:val="36"/>
        </w:rPr>
        <w:t>D</w:t>
      </w:r>
      <w:r w:rsidRPr="00A33C1A">
        <w:rPr>
          <w:rFonts w:ascii="Times New Roman" w:hAnsi="Times New Roman" w:cs="Times New Roman"/>
          <w:color w:val="000000" w:themeColor="text1"/>
          <w:sz w:val="36"/>
          <w:szCs w:val="36"/>
        </w:rPr>
        <w:t>) The gene ontology analysis of mutated genes enriched in ATM-mutated patients (</w:t>
      </w:r>
      <w:r w:rsidRPr="00A33C1A">
        <w:rPr>
          <w:rFonts w:ascii="Times New Roman" w:hAnsi="Times New Roman" w:cs="Times New Roman"/>
          <w:b/>
          <w:color w:val="000000" w:themeColor="text1"/>
          <w:sz w:val="36"/>
          <w:szCs w:val="36"/>
        </w:rPr>
        <w:t>C</w:t>
      </w:r>
      <w:r w:rsidRPr="00A33C1A">
        <w:rPr>
          <w:rFonts w:ascii="Times New Roman" w:hAnsi="Times New Roman" w:cs="Times New Roman"/>
          <w:color w:val="000000" w:themeColor="text1"/>
          <w:sz w:val="36"/>
          <w:szCs w:val="36"/>
        </w:rPr>
        <w:t>) or ATR-mutated patients (</w:t>
      </w:r>
      <w:r w:rsidRPr="00A33C1A">
        <w:rPr>
          <w:rFonts w:ascii="Times New Roman" w:hAnsi="Times New Roman" w:cs="Times New Roman"/>
          <w:b/>
          <w:color w:val="000000" w:themeColor="text1"/>
          <w:sz w:val="36"/>
          <w:szCs w:val="36"/>
        </w:rPr>
        <w:t>D</w:t>
      </w:r>
      <w:r w:rsidRPr="00A33C1A">
        <w:rPr>
          <w:rFonts w:ascii="Times New Roman" w:hAnsi="Times New Roman" w:cs="Times New Roman"/>
          <w:color w:val="000000" w:themeColor="text1"/>
          <w:sz w:val="36"/>
          <w:szCs w:val="36"/>
        </w:rPr>
        <w:t>).</w:t>
      </w:r>
    </w:p>
    <w:p w:rsidR="002E5394" w:rsidRPr="00A33C1A" w:rsidRDefault="002E5394" w:rsidP="002E5394">
      <w:pPr>
        <w:spacing w:line="360" w:lineRule="auto"/>
        <w:rPr>
          <w:rFonts w:ascii="Times New Roman" w:hAnsi="Times New Roman" w:cs="Times New Roman"/>
          <w:b/>
          <w:color w:val="000000" w:themeColor="text1"/>
          <w:sz w:val="36"/>
          <w:szCs w:val="36"/>
        </w:rPr>
      </w:pPr>
    </w:p>
    <w:p w:rsidR="002E5394" w:rsidRPr="00A33C1A" w:rsidRDefault="002E5394" w:rsidP="002E5394">
      <w:pPr>
        <w:spacing w:line="360" w:lineRule="auto"/>
        <w:rPr>
          <w:rFonts w:ascii="Times New Roman" w:hAnsi="Times New Roman" w:cs="Times New Roman"/>
          <w:b/>
          <w:color w:val="000000" w:themeColor="text1"/>
          <w:sz w:val="36"/>
          <w:szCs w:val="36"/>
        </w:rPr>
      </w:pPr>
      <w:r w:rsidRPr="00A33C1A">
        <w:rPr>
          <w:rFonts w:ascii="Times New Roman" w:hAnsi="Times New Roman" w:cs="Times New Roman"/>
          <w:b/>
          <w:noProof/>
          <w:color w:val="000000" w:themeColor="text1"/>
          <w:sz w:val="36"/>
          <w:szCs w:val="36"/>
          <w:lang w:val="en-IN" w:eastAsia="en-IN"/>
        </w:rPr>
        <w:drawing>
          <wp:inline distT="0" distB="0" distL="0" distR="0" wp14:anchorId="190EC42A" wp14:editId="6688411E">
            <wp:extent cx="4655820" cy="5904336"/>
            <wp:effectExtent l="0" t="0" r="508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ry Figure 8.png"/>
                    <pic:cNvPicPr/>
                  </pic:nvPicPr>
                  <pic:blipFill rotWithShape="1">
                    <a:blip r:embed="rId11" cstate="print">
                      <a:extLst>
                        <a:ext uri="{28A0092B-C50C-407E-A947-70E740481C1C}">
                          <a14:useLocalDpi xmlns:a14="http://schemas.microsoft.com/office/drawing/2010/main" val="0"/>
                        </a:ext>
                      </a:extLst>
                    </a:blip>
                    <a:srcRect t="2369"/>
                    <a:stretch/>
                  </pic:blipFill>
                  <pic:spPr bwMode="auto">
                    <a:xfrm>
                      <a:off x="0" y="0"/>
                      <a:ext cx="4660215" cy="5909909"/>
                    </a:xfrm>
                    <a:prstGeom prst="rect">
                      <a:avLst/>
                    </a:prstGeom>
                    <a:ln>
                      <a:noFill/>
                    </a:ln>
                    <a:extLst>
                      <a:ext uri="{53640926-AAD7-44D8-BBD7-CCE9431645EC}">
                        <a14:shadowObscured xmlns:a14="http://schemas.microsoft.com/office/drawing/2010/main"/>
                      </a:ext>
                    </a:extLst>
                  </pic:spPr>
                </pic:pic>
              </a:graphicData>
            </a:graphic>
          </wp:inline>
        </w:drawing>
      </w:r>
    </w:p>
    <w:p w:rsidR="002E5394" w:rsidRPr="00A33C1A" w:rsidRDefault="002E5394" w:rsidP="002E5394">
      <w:pPr>
        <w:spacing w:line="360" w:lineRule="auto"/>
        <w:rPr>
          <w:rFonts w:ascii="Times New Roman" w:hAnsi="Times New Roman" w:cs="Times New Roman"/>
          <w:color w:val="000000" w:themeColor="text1"/>
          <w:sz w:val="36"/>
          <w:szCs w:val="36"/>
        </w:rPr>
      </w:pPr>
      <w:r w:rsidRPr="00A33C1A">
        <w:rPr>
          <w:rFonts w:ascii="Times New Roman" w:hAnsi="Times New Roman" w:cs="Times New Roman"/>
          <w:b/>
          <w:color w:val="000000" w:themeColor="text1"/>
          <w:sz w:val="36"/>
          <w:szCs w:val="36"/>
        </w:rPr>
        <w:t xml:space="preserve">Figure </w:t>
      </w:r>
      <w:r w:rsidR="00A33C1A" w:rsidRPr="00A33C1A">
        <w:rPr>
          <w:rFonts w:ascii="Times New Roman" w:hAnsi="Times New Roman" w:cs="Times New Roman"/>
          <w:b/>
          <w:color w:val="000000" w:themeColor="text1"/>
          <w:sz w:val="36"/>
          <w:szCs w:val="36"/>
        </w:rPr>
        <w:t>S</w:t>
      </w:r>
      <w:r w:rsidRPr="00A33C1A">
        <w:rPr>
          <w:rFonts w:ascii="Times New Roman" w:hAnsi="Times New Roman" w:cs="Times New Roman"/>
          <w:b/>
          <w:color w:val="000000" w:themeColor="text1"/>
          <w:sz w:val="36"/>
          <w:szCs w:val="36"/>
        </w:rPr>
        <w:t>8</w:t>
      </w:r>
      <w:r w:rsidRPr="00A33C1A">
        <w:rPr>
          <w:rFonts w:ascii="Times New Roman" w:hAnsi="Times New Roman" w:cs="Times New Roman"/>
          <w:color w:val="000000" w:themeColor="text1"/>
          <w:sz w:val="36"/>
          <w:szCs w:val="36"/>
        </w:rPr>
        <w:t xml:space="preserve"> The association of </w:t>
      </w:r>
      <w:r w:rsidRPr="00A33C1A">
        <w:rPr>
          <w:rFonts w:ascii="Times New Roman" w:hAnsi="Times New Roman" w:cs="Times New Roman"/>
          <w:i/>
          <w:color w:val="000000" w:themeColor="text1"/>
          <w:sz w:val="36"/>
          <w:szCs w:val="36"/>
        </w:rPr>
        <w:t>ATM</w:t>
      </w:r>
      <w:r w:rsidRPr="00A33C1A">
        <w:rPr>
          <w:rFonts w:ascii="Times New Roman" w:hAnsi="Times New Roman" w:cs="Times New Roman"/>
          <w:color w:val="000000" w:themeColor="text1"/>
          <w:sz w:val="36"/>
          <w:szCs w:val="36"/>
        </w:rPr>
        <w:t>/</w:t>
      </w:r>
      <w:r w:rsidRPr="00A33C1A">
        <w:rPr>
          <w:rFonts w:ascii="Times New Roman" w:hAnsi="Times New Roman" w:cs="Times New Roman"/>
          <w:i/>
          <w:color w:val="000000" w:themeColor="text1"/>
          <w:sz w:val="36"/>
          <w:szCs w:val="36"/>
        </w:rPr>
        <w:t>ATR</w:t>
      </w:r>
      <w:r w:rsidRPr="00A33C1A">
        <w:rPr>
          <w:rFonts w:ascii="Times New Roman" w:hAnsi="Times New Roman" w:cs="Times New Roman"/>
          <w:color w:val="000000" w:themeColor="text1"/>
          <w:sz w:val="36"/>
          <w:szCs w:val="36"/>
        </w:rPr>
        <w:t xml:space="preserve"> and FA/HR co-mutations and various molecular and clinical characteristics. (</w:t>
      </w:r>
      <w:r w:rsidRPr="00A33C1A">
        <w:rPr>
          <w:rFonts w:ascii="Times New Roman" w:hAnsi="Times New Roman" w:cs="Times New Roman"/>
          <w:b/>
          <w:color w:val="000000" w:themeColor="text1"/>
          <w:sz w:val="36"/>
          <w:szCs w:val="36"/>
        </w:rPr>
        <w:t>A</w:t>
      </w:r>
      <w:r w:rsidRPr="00A33C1A">
        <w:rPr>
          <w:rFonts w:ascii="Times New Roman" w:hAnsi="Times New Roman" w:cs="Times New Roman"/>
          <w:color w:val="000000" w:themeColor="text1"/>
          <w:sz w:val="36"/>
          <w:szCs w:val="36"/>
        </w:rPr>
        <w:t>,</w:t>
      </w:r>
      <w:r w:rsidRPr="00A33C1A">
        <w:rPr>
          <w:rFonts w:ascii="Times New Roman" w:hAnsi="Times New Roman" w:cs="Times New Roman"/>
          <w:b/>
          <w:color w:val="000000" w:themeColor="text1"/>
          <w:sz w:val="36"/>
          <w:szCs w:val="36"/>
        </w:rPr>
        <w:t xml:space="preserve"> B</w:t>
      </w:r>
      <w:r w:rsidRPr="00A33C1A">
        <w:rPr>
          <w:rFonts w:ascii="Times New Roman" w:hAnsi="Times New Roman" w:cs="Times New Roman"/>
          <w:color w:val="000000" w:themeColor="text1"/>
          <w:sz w:val="36"/>
          <w:szCs w:val="36"/>
        </w:rPr>
        <w:t xml:space="preserve">) The comparison of TMB in NSCLC patients from the study cohort who were stratified by different </w:t>
      </w:r>
      <w:r w:rsidRPr="00A33C1A">
        <w:rPr>
          <w:rFonts w:ascii="Times New Roman" w:hAnsi="Times New Roman" w:cs="Times New Roman"/>
          <w:i/>
          <w:color w:val="000000" w:themeColor="text1"/>
          <w:sz w:val="36"/>
          <w:szCs w:val="36"/>
        </w:rPr>
        <w:t>ATM</w:t>
      </w:r>
      <w:r w:rsidRPr="00A33C1A">
        <w:rPr>
          <w:rFonts w:ascii="Times New Roman" w:hAnsi="Times New Roman" w:cs="Times New Roman"/>
          <w:color w:val="000000" w:themeColor="text1"/>
          <w:sz w:val="36"/>
          <w:szCs w:val="36"/>
        </w:rPr>
        <w:t>/</w:t>
      </w:r>
      <w:r w:rsidRPr="00A33C1A">
        <w:rPr>
          <w:rFonts w:ascii="Times New Roman" w:hAnsi="Times New Roman" w:cs="Times New Roman"/>
          <w:i/>
          <w:color w:val="000000" w:themeColor="text1"/>
          <w:sz w:val="36"/>
          <w:szCs w:val="36"/>
        </w:rPr>
        <w:t>ATR</w:t>
      </w:r>
      <w:r w:rsidRPr="00A33C1A">
        <w:rPr>
          <w:rFonts w:ascii="Times New Roman" w:hAnsi="Times New Roman" w:cs="Times New Roman"/>
          <w:color w:val="000000" w:themeColor="text1"/>
          <w:sz w:val="36"/>
          <w:szCs w:val="36"/>
        </w:rPr>
        <w:t xml:space="preserve"> and FA (</w:t>
      </w:r>
      <w:r w:rsidRPr="00A33C1A">
        <w:rPr>
          <w:rFonts w:ascii="Times New Roman" w:hAnsi="Times New Roman" w:cs="Times New Roman"/>
          <w:b/>
          <w:color w:val="000000" w:themeColor="text1"/>
          <w:sz w:val="36"/>
          <w:szCs w:val="36"/>
        </w:rPr>
        <w:t>A</w:t>
      </w:r>
      <w:r w:rsidRPr="00A33C1A">
        <w:rPr>
          <w:rFonts w:ascii="Times New Roman" w:hAnsi="Times New Roman" w:cs="Times New Roman"/>
          <w:color w:val="000000" w:themeColor="text1"/>
          <w:sz w:val="36"/>
          <w:szCs w:val="36"/>
        </w:rPr>
        <w:t>) or HR (</w:t>
      </w:r>
      <w:r w:rsidRPr="00A33C1A">
        <w:rPr>
          <w:rFonts w:ascii="Times New Roman" w:hAnsi="Times New Roman" w:cs="Times New Roman"/>
          <w:b/>
          <w:color w:val="000000" w:themeColor="text1"/>
          <w:sz w:val="36"/>
          <w:szCs w:val="36"/>
        </w:rPr>
        <w:t>B</w:t>
      </w:r>
      <w:r w:rsidRPr="00A33C1A">
        <w:rPr>
          <w:rFonts w:ascii="Times New Roman" w:hAnsi="Times New Roman" w:cs="Times New Roman"/>
          <w:color w:val="000000" w:themeColor="text1"/>
          <w:sz w:val="36"/>
          <w:szCs w:val="36"/>
        </w:rPr>
        <w:t>) mutational statuses. (</w:t>
      </w:r>
      <w:r w:rsidRPr="00A33C1A">
        <w:rPr>
          <w:rFonts w:ascii="Times New Roman" w:hAnsi="Times New Roman" w:cs="Times New Roman"/>
          <w:b/>
          <w:color w:val="000000" w:themeColor="text1"/>
          <w:sz w:val="36"/>
          <w:szCs w:val="36"/>
        </w:rPr>
        <w:t>C</w:t>
      </w:r>
      <w:r w:rsidRPr="00A33C1A">
        <w:rPr>
          <w:rFonts w:ascii="Times New Roman" w:hAnsi="Times New Roman" w:cs="Times New Roman"/>
          <w:color w:val="000000" w:themeColor="text1"/>
          <w:sz w:val="36"/>
          <w:szCs w:val="36"/>
        </w:rPr>
        <w:t>-</w:t>
      </w:r>
      <w:r w:rsidRPr="00A33C1A">
        <w:rPr>
          <w:rFonts w:ascii="Times New Roman" w:hAnsi="Times New Roman" w:cs="Times New Roman"/>
          <w:b/>
          <w:color w:val="000000" w:themeColor="text1"/>
          <w:sz w:val="36"/>
          <w:szCs w:val="36"/>
        </w:rPr>
        <w:t>E</w:t>
      </w:r>
      <w:r w:rsidRPr="00A33C1A">
        <w:rPr>
          <w:rFonts w:ascii="Times New Roman" w:hAnsi="Times New Roman" w:cs="Times New Roman"/>
          <w:color w:val="000000" w:themeColor="text1"/>
          <w:sz w:val="36"/>
          <w:szCs w:val="36"/>
        </w:rPr>
        <w:t xml:space="preserve">) The comparison of TMB in NSCLC patients from the external cohort who were stratified by different </w:t>
      </w:r>
      <w:r w:rsidRPr="00A33C1A">
        <w:rPr>
          <w:rFonts w:ascii="Times New Roman" w:hAnsi="Times New Roman" w:cs="Times New Roman"/>
          <w:i/>
          <w:color w:val="000000" w:themeColor="text1"/>
          <w:sz w:val="36"/>
          <w:szCs w:val="36"/>
        </w:rPr>
        <w:t>ATM</w:t>
      </w:r>
      <w:r w:rsidRPr="00A33C1A">
        <w:rPr>
          <w:rFonts w:ascii="Times New Roman" w:hAnsi="Times New Roman" w:cs="Times New Roman"/>
          <w:color w:val="000000" w:themeColor="text1"/>
          <w:sz w:val="36"/>
          <w:szCs w:val="36"/>
        </w:rPr>
        <w:t>/</w:t>
      </w:r>
      <w:r w:rsidRPr="00A33C1A">
        <w:rPr>
          <w:rFonts w:ascii="Times New Roman" w:hAnsi="Times New Roman" w:cs="Times New Roman"/>
          <w:i/>
          <w:color w:val="000000" w:themeColor="text1"/>
          <w:sz w:val="36"/>
          <w:szCs w:val="36"/>
        </w:rPr>
        <w:t>ATR</w:t>
      </w:r>
      <w:r w:rsidRPr="00A33C1A">
        <w:rPr>
          <w:rFonts w:ascii="Times New Roman" w:hAnsi="Times New Roman" w:cs="Times New Roman"/>
          <w:color w:val="000000" w:themeColor="text1"/>
          <w:sz w:val="36"/>
          <w:szCs w:val="36"/>
        </w:rPr>
        <w:t xml:space="preserve"> and FA/HR mutational statuses. (</w:t>
      </w:r>
      <w:r w:rsidRPr="00A33C1A">
        <w:rPr>
          <w:rFonts w:ascii="Times New Roman" w:hAnsi="Times New Roman" w:cs="Times New Roman"/>
          <w:b/>
          <w:color w:val="000000" w:themeColor="text1"/>
          <w:sz w:val="36"/>
          <w:szCs w:val="36"/>
        </w:rPr>
        <w:t>F</w:t>
      </w:r>
      <w:r w:rsidRPr="00A33C1A">
        <w:rPr>
          <w:rFonts w:ascii="Times New Roman" w:hAnsi="Times New Roman" w:cs="Times New Roman"/>
          <w:color w:val="000000" w:themeColor="text1"/>
          <w:sz w:val="36"/>
          <w:szCs w:val="36"/>
        </w:rPr>
        <w:t xml:space="preserve">, </w:t>
      </w:r>
      <w:r w:rsidRPr="00A33C1A">
        <w:rPr>
          <w:rFonts w:ascii="Times New Roman" w:hAnsi="Times New Roman" w:cs="Times New Roman"/>
          <w:b/>
          <w:color w:val="000000" w:themeColor="text1"/>
          <w:sz w:val="36"/>
          <w:szCs w:val="36"/>
        </w:rPr>
        <w:t>G</w:t>
      </w:r>
      <w:r w:rsidRPr="00A33C1A">
        <w:rPr>
          <w:rFonts w:ascii="Times New Roman" w:hAnsi="Times New Roman" w:cs="Times New Roman"/>
          <w:color w:val="000000" w:themeColor="text1"/>
          <w:sz w:val="36"/>
          <w:szCs w:val="36"/>
        </w:rPr>
        <w:t xml:space="preserve">) The comparison of CIS in NSCLC patients from the study cohort who were stratified by different </w:t>
      </w:r>
      <w:r w:rsidRPr="00A33C1A">
        <w:rPr>
          <w:rFonts w:ascii="Times New Roman" w:hAnsi="Times New Roman" w:cs="Times New Roman"/>
          <w:i/>
          <w:color w:val="000000" w:themeColor="text1"/>
          <w:sz w:val="36"/>
          <w:szCs w:val="36"/>
        </w:rPr>
        <w:t>ATM</w:t>
      </w:r>
      <w:r w:rsidRPr="00A33C1A">
        <w:rPr>
          <w:rFonts w:ascii="Times New Roman" w:hAnsi="Times New Roman" w:cs="Times New Roman"/>
          <w:color w:val="000000" w:themeColor="text1"/>
          <w:sz w:val="36"/>
          <w:szCs w:val="36"/>
        </w:rPr>
        <w:t>/</w:t>
      </w:r>
      <w:r w:rsidRPr="00A33C1A">
        <w:rPr>
          <w:rFonts w:ascii="Times New Roman" w:hAnsi="Times New Roman" w:cs="Times New Roman"/>
          <w:i/>
          <w:color w:val="000000" w:themeColor="text1"/>
          <w:sz w:val="36"/>
          <w:szCs w:val="36"/>
        </w:rPr>
        <w:t>ATR</w:t>
      </w:r>
      <w:r w:rsidRPr="00A33C1A">
        <w:rPr>
          <w:rFonts w:ascii="Times New Roman" w:hAnsi="Times New Roman" w:cs="Times New Roman"/>
          <w:color w:val="000000" w:themeColor="text1"/>
          <w:sz w:val="36"/>
          <w:szCs w:val="36"/>
        </w:rPr>
        <w:t xml:space="preserve"> and FA (</w:t>
      </w:r>
      <w:r w:rsidRPr="00A33C1A">
        <w:rPr>
          <w:rFonts w:ascii="Times New Roman" w:hAnsi="Times New Roman" w:cs="Times New Roman"/>
          <w:b/>
          <w:color w:val="000000" w:themeColor="text1"/>
          <w:sz w:val="36"/>
          <w:szCs w:val="36"/>
        </w:rPr>
        <w:t>F</w:t>
      </w:r>
      <w:r w:rsidRPr="00A33C1A">
        <w:rPr>
          <w:rFonts w:ascii="Times New Roman" w:hAnsi="Times New Roman" w:cs="Times New Roman"/>
          <w:color w:val="000000" w:themeColor="text1"/>
          <w:sz w:val="36"/>
          <w:szCs w:val="36"/>
        </w:rPr>
        <w:t>) or HR (</w:t>
      </w:r>
      <w:r w:rsidRPr="00A33C1A">
        <w:rPr>
          <w:rFonts w:ascii="Times New Roman" w:hAnsi="Times New Roman" w:cs="Times New Roman"/>
          <w:b/>
          <w:color w:val="000000" w:themeColor="text1"/>
          <w:sz w:val="36"/>
          <w:szCs w:val="36"/>
        </w:rPr>
        <w:t>G</w:t>
      </w:r>
      <w:r w:rsidRPr="00A33C1A">
        <w:rPr>
          <w:rFonts w:ascii="Times New Roman" w:hAnsi="Times New Roman" w:cs="Times New Roman"/>
          <w:color w:val="000000" w:themeColor="text1"/>
          <w:sz w:val="36"/>
          <w:szCs w:val="36"/>
        </w:rPr>
        <w:t>) mutational statuses. (</w:t>
      </w:r>
      <w:r w:rsidRPr="00A33C1A">
        <w:rPr>
          <w:rFonts w:ascii="Times New Roman" w:hAnsi="Times New Roman" w:cs="Times New Roman"/>
          <w:b/>
          <w:color w:val="000000" w:themeColor="text1"/>
          <w:sz w:val="36"/>
          <w:szCs w:val="36"/>
        </w:rPr>
        <w:t>H</w:t>
      </w:r>
      <w:r w:rsidRPr="00A33C1A">
        <w:rPr>
          <w:rFonts w:ascii="Times New Roman" w:hAnsi="Times New Roman" w:cs="Times New Roman"/>
          <w:color w:val="000000" w:themeColor="text1"/>
          <w:sz w:val="36"/>
          <w:szCs w:val="36"/>
        </w:rPr>
        <w:t xml:space="preserve">, </w:t>
      </w:r>
      <w:r w:rsidRPr="00A33C1A">
        <w:rPr>
          <w:rFonts w:ascii="Times New Roman" w:hAnsi="Times New Roman" w:cs="Times New Roman"/>
          <w:b/>
          <w:color w:val="000000" w:themeColor="text1"/>
          <w:sz w:val="36"/>
          <w:szCs w:val="36"/>
        </w:rPr>
        <w:t>I</w:t>
      </w:r>
      <w:r w:rsidRPr="00A33C1A">
        <w:rPr>
          <w:rFonts w:ascii="Times New Roman" w:hAnsi="Times New Roman" w:cs="Times New Roman"/>
          <w:color w:val="000000" w:themeColor="text1"/>
          <w:sz w:val="36"/>
          <w:szCs w:val="36"/>
        </w:rPr>
        <w:t xml:space="preserve">) The comparison of MSI frequency in NSCLC patients from the study cohort who were stratified by different </w:t>
      </w:r>
      <w:r w:rsidRPr="00A33C1A">
        <w:rPr>
          <w:rFonts w:ascii="Times New Roman" w:hAnsi="Times New Roman" w:cs="Times New Roman"/>
          <w:i/>
          <w:color w:val="000000" w:themeColor="text1"/>
          <w:sz w:val="36"/>
          <w:szCs w:val="36"/>
        </w:rPr>
        <w:t>ATM</w:t>
      </w:r>
      <w:r w:rsidRPr="00A33C1A">
        <w:rPr>
          <w:rFonts w:ascii="Times New Roman" w:hAnsi="Times New Roman" w:cs="Times New Roman"/>
          <w:color w:val="000000" w:themeColor="text1"/>
          <w:sz w:val="36"/>
          <w:szCs w:val="36"/>
        </w:rPr>
        <w:t>/</w:t>
      </w:r>
      <w:r w:rsidRPr="00A33C1A">
        <w:rPr>
          <w:rFonts w:ascii="Times New Roman" w:hAnsi="Times New Roman" w:cs="Times New Roman"/>
          <w:i/>
          <w:color w:val="000000" w:themeColor="text1"/>
          <w:sz w:val="36"/>
          <w:szCs w:val="36"/>
        </w:rPr>
        <w:t>ATR</w:t>
      </w:r>
      <w:r w:rsidRPr="00A33C1A">
        <w:rPr>
          <w:rFonts w:ascii="Times New Roman" w:hAnsi="Times New Roman" w:cs="Times New Roman"/>
          <w:color w:val="000000" w:themeColor="text1"/>
          <w:sz w:val="36"/>
          <w:szCs w:val="36"/>
        </w:rPr>
        <w:t xml:space="preserve"> and FA (</w:t>
      </w:r>
      <w:r w:rsidRPr="00A33C1A">
        <w:rPr>
          <w:rFonts w:ascii="Times New Roman" w:hAnsi="Times New Roman" w:cs="Times New Roman"/>
          <w:b/>
          <w:color w:val="000000" w:themeColor="text1"/>
          <w:sz w:val="36"/>
          <w:szCs w:val="36"/>
        </w:rPr>
        <w:t>H</w:t>
      </w:r>
      <w:r w:rsidRPr="00A33C1A">
        <w:rPr>
          <w:rFonts w:ascii="Times New Roman" w:hAnsi="Times New Roman" w:cs="Times New Roman"/>
          <w:color w:val="000000" w:themeColor="text1"/>
          <w:sz w:val="36"/>
          <w:szCs w:val="36"/>
        </w:rPr>
        <w:t>) or HR (</w:t>
      </w:r>
      <w:r w:rsidRPr="00A33C1A">
        <w:rPr>
          <w:rFonts w:ascii="Times New Roman" w:hAnsi="Times New Roman" w:cs="Times New Roman"/>
          <w:b/>
          <w:color w:val="000000" w:themeColor="text1"/>
          <w:sz w:val="36"/>
          <w:szCs w:val="36"/>
        </w:rPr>
        <w:t>I</w:t>
      </w:r>
      <w:r w:rsidRPr="00A33C1A">
        <w:rPr>
          <w:rFonts w:ascii="Times New Roman" w:hAnsi="Times New Roman" w:cs="Times New Roman"/>
          <w:color w:val="000000" w:themeColor="text1"/>
          <w:sz w:val="36"/>
          <w:szCs w:val="36"/>
        </w:rPr>
        <w:t>) mutational statuses. (</w:t>
      </w:r>
      <w:r w:rsidRPr="00A33C1A">
        <w:rPr>
          <w:rFonts w:ascii="Times New Roman" w:hAnsi="Times New Roman" w:cs="Times New Roman"/>
          <w:b/>
          <w:color w:val="000000" w:themeColor="text1"/>
          <w:sz w:val="36"/>
          <w:szCs w:val="36"/>
        </w:rPr>
        <w:t>J</w:t>
      </w:r>
      <w:r w:rsidRPr="00A33C1A">
        <w:rPr>
          <w:rFonts w:ascii="Times New Roman" w:hAnsi="Times New Roman" w:cs="Times New Roman"/>
          <w:color w:val="000000" w:themeColor="text1"/>
          <w:sz w:val="36"/>
          <w:szCs w:val="36"/>
        </w:rPr>
        <w:t xml:space="preserve">) Kaplan-Meier curve of overall survival in NSCLC patients from the external cohort in strata of different </w:t>
      </w:r>
      <w:r w:rsidRPr="00A33C1A">
        <w:rPr>
          <w:rFonts w:ascii="Times New Roman" w:hAnsi="Times New Roman" w:cs="Times New Roman"/>
          <w:i/>
          <w:color w:val="000000" w:themeColor="text1"/>
          <w:sz w:val="36"/>
          <w:szCs w:val="36"/>
        </w:rPr>
        <w:t>ATM</w:t>
      </w:r>
      <w:r w:rsidRPr="00A33C1A">
        <w:rPr>
          <w:rFonts w:ascii="Times New Roman" w:hAnsi="Times New Roman" w:cs="Times New Roman"/>
          <w:color w:val="000000" w:themeColor="text1"/>
          <w:sz w:val="36"/>
          <w:szCs w:val="36"/>
        </w:rPr>
        <w:t>/</w:t>
      </w:r>
      <w:r w:rsidRPr="00A33C1A">
        <w:rPr>
          <w:rFonts w:ascii="Times New Roman" w:hAnsi="Times New Roman" w:cs="Times New Roman"/>
          <w:i/>
          <w:color w:val="000000" w:themeColor="text1"/>
          <w:sz w:val="36"/>
          <w:szCs w:val="36"/>
        </w:rPr>
        <w:t>ATR</w:t>
      </w:r>
      <w:r w:rsidRPr="00A33C1A">
        <w:rPr>
          <w:rFonts w:ascii="Times New Roman" w:hAnsi="Times New Roman" w:cs="Times New Roman"/>
          <w:color w:val="000000" w:themeColor="text1"/>
          <w:sz w:val="36"/>
          <w:szCs w:val="36"/>
        </w:rPr>
        <w:t xml:space="preserve"> and FA mutational statuses.</w:t>
      </w:r>
    </w:p>
    <w:p w:rsidR="002E5394" w:rsidRPr="00A33C1A" w:rsidRDefault="002E5394" w:rsidP="002E5394">
      <w:pPr>
        <w:spacing w:line="360" w:lineRule="auto"/>
        <w:rPr>
          <w:rFonts w:ascii="Times New Roman" w:hAnsi="Times New Roman" w:cs="Times New Roman"/>
          <w:b/>
          <w:color w:val="000000" w:themeColor="text1"/>
          <w:sz w:val="36"/>
          <w:szCs w:val="36"/>
        </w:rPr>
      </w:pPr>
    </w:p>
    <w:p w:rsidR="002E5394" w:rsidRPr="00A33C1A" w:rsidRDefault="002E5394" w:rsidP="002E5394">
      <w:pPr>
        <w:spacing w:line="360" w:lineRule="auto"/>
        <w:rPr>
          <w:rFonts w:ascii="Times New Roman" w:hAnsi="Times New Roman" w:cs="Times New Roman"/>
          <w:b/>
          <w:color w:val="000000" w:themeColor="text1"/>
          <w:sz w:val="36"/>
          <w:szCs w:val="36"/>
        </w:rPr>
      </w:pPr>
      <w:r w:rsidRPr="00A33C1A">
        <w:rPr>
          <w:rFonts w:ascii="Times New Roman" w:hAnsi="Times New Roman" w:cs="Times New Roman"/>
          <w:b/>
          <w:noProof/>
          <w:color w:val="000000" w:themeColor="text1"/>
          <w:sz w:val="36"/>
          <w:szCs w:val="36"/>
          <w:lang w:val="en-IN" w:eastAsia="en-IN"/>
        </w:rPr>
        <w:drawing>
          <wp:inline distT="0" distB="0" distL="0" distR="0" wp14:anchorId="14370F24" wp14:editId="1F4C997E">
            <wp:extent cx="3624983" cy="44653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ementary Figure 9.png"/>
                    <pic:cNvPicPr/>
                  </pic:nvPicPr>
                  <pic:blipFill rotWithShape="1">
                    <a:blip r:embed="rId12" cstate="print">
                      <a:extLst>
                        <a:ext uri="{28A0092B-C50C-407E-A947-70E740481C1C}">
                          <a14:useLocalDpi xmlns:a14="http://schemas.microsoft.com/office/drawing/2010/main" val="0"/>
                        </a:ext>
                      </a:extLst>
                    </a:blip>
                    <a:srcRect t="3808" b="12522"/>
                    <a:stretch/>
                  </pic:blipFill>
                  <pic:spPr bwMode="auto">
                    <a:xfrm>
                      <a:off x="0" y="0"/>
                      <a:ext cx="3627929" cy="4468949"/>
                    </a:xfrm>
                    <a:prstGeom prst="rect">
                      <a:avLst/>
                    </a:prstGeom>
                    <a:ln>
                      <a:noFill/>
                    </a:ln>
                    <a:extLst>
                      <a:ext uri="{53640926-AAD7-44D8-BBD7-CCE9431645EC}">
                        <a14:shadowObscured xmlns:a14="http://schemas.microsoft.com/office/drawing/2010/main"/>
                      </a:ext>
                    </a:extLst>
                  </pic:spPr>
                </pic:pic>
              </a:graphicData>
            </a:graphic>
          </wp:inline>
        </w:drawing>
      </w:r>
    </w:p>
    <w:p w:rsidR="002E5394" w:rsidRPr="00A33C1A" w:rsidRDefault="002E5394" w:rsidP="002E5394">
      <w:pPr>
        <w:spacing w:line="360" w:lineRule="auto"/>
        <w:rPr>
          <w:rFonts w:ascii="Times New Roman" w:hAnsi="Times New Roman" w:cs="Times New Roman"/>
          <w:color w:val="000000" w:themeColor="text1"/>
          <w:sz w:val="36"/>
          <w:szCs w:val="36"/>
        </w:rPr>
      </w:pPr>
      <w:r w:rsidRPr="00A33C1A">
        <w:rPr>
          <w:rFonts w:ascii="Times New Roman" w:hAnsi="Times New Roman" w:cs="Times New Roman"/>
          <w:b/>
          <w:color w:val="000000" w:themeColor="text1"/>
          <w:sz w:val="36"/>
          <w:szCs w:val="36"/>
        </w:rPr>
        <w:t xml:space="preserve">Figure </w:t>
      </w:r>
      <w:r w:rsidR="00A33C1A" w:rsidRPr="00A33C1A">
        <w:rPr>
          <w:rFonts w:ascii="Times New Roman" w:hAnsi="Times New Roman" w:cs="Times New Roman"/>
          <w:b/>
          <w:color w:val="000000" w:themeColor="text1"/>
          <w:sz w:val="36"/>
          <w:szCs w:val="36"/>
        </w:rPr>
        <w:t>S</w:t>
      </w:r>
      <w:r w:rsidRPr="00A33C1A">
        <w:rPr>
          <w:rFonts w:ascii="Times New Roman" w:hAnsi="Times New Roman" w:cs="Times New Roman"/>
          <w:b/>
          <w:color w:val="000000" w:themeColor="text1"/>
          <w:sz w:val="36"/>
          <w:szCs w:val="36"/>
        </w:rPr>
        <w:t>9</w:t>
      </w:r>
      <w:r w:rsidRPr="00A33C1A">
        <w:rPr>
          <w:rFonts w:ascii="Times New Roman" w:hAnsi="Times New Roman" w:cs="Times New Roman"/>
          <w:color w:val="000000" w:themeColor="text1"/>
          <w:sz w:val="36"/>
          <w:szCs w:val="36"/>
        </w:rPr>
        <w:t xml:space="preserve"> The proposed tumorigenesis model in DDR-mutation driven NSCLC tumors.</w:t>
      </w:r>
    </w:p>
    <w:p w:rsidR="002E5394" w:rsidRPr="00A33C1A" w:rsidRDefault="002E5394" w:rsidP="000C1C07">
      <w:pPr>
        <w:spacing w:line="360" w:lineRule="auto"/>
        <w:rPr>
          <w:rFonts w:ascii="Times New Roman" w:hAnsi="Times New Roman" w:cs="Times New Roman"/>
          <w:b/>
          <w:color w:val="000000" w:themeColor="text1"/>
          <w:sz w:val="36"/>
          <w:szCs w:val="36"/>
        </w:rPr>
      </w:pPr>
    </w:p>
    <w:p w:rsidR="002E5394" w:rsidRPr="00A33C1A" w:rsidRDefault="002E5394" w:rsidP="000C1C07">
      <w:pPr>
        <w:spacing w:line="360" w:lineRule="auto"/>
        <w:rPr>
          <w:rFonts w:ascii="Times New Roman" w:hAnsi="Times New Roman" w:cs="Times New Roman"/>
          <w:b/>
          <w:color w:val="000000" w:themeColor="text1"/>
          <w:sz w:val="36"/>
          <w:szCs w:val="36"/>
        </w:rPr>
      </w:pPr>
    </w:p>
    <w:p w:rsidR="002E5394" w:rsidRPr="00A33C1A" w:rsidRDefault="002E5394" w:rsidP="000C1C07">
      <w:pPr>
        <w:spacing w:line="360" w:lineRule="auto"/>
        <w:rPr>
          <w:rFonts w:ascii="Times New Roman" w:hAnsi="Times New Roman" w:cs="Times New Roman"/>
          <w:b/>
          <w:color w:val="000000" w:themeColor="text1"/>
          <w:sz w:val="36"/>
          <w:szCs w:val="36"/>
        </w:rPr>
      </w:pPr>
    </w:p>
    <w:p w:rsidR="002E5394" w:rsidRPr="00A33C1A" w:rsidRDefault="002E5394" w:rsidP="000C1C07">
      <w:pPr>
        <w:spacing w:line="360" w:lineRule="auto"/>
        <w:rPr>
          <w:rFonts w:ascii="Times New Roman" w:hAnsi="Times New Roman" w:cs="Times New Roman"/>
          <w:b/>
          <w:color w:val="000000" w:themeColor="text1"/>
          <w:sz w:val="36"/>
          <w:szCs w:val="36"/>
        </w:rPr>
      </w:pPr>
    </w:p>
    <w:p w:rsidR="002E5394" w:rsidRPr="00A33C1A" w:rsidRDefault="002E5394" w:rsidP="000C1C07">
      <w:pPr>
        <w:spacing w:line="360" w:lineRule="auto"/>
        <w:rPr>
          <w:rFonts w:ascii="Times New Roman" w:hAnsi="Times New Roman" w:cs="Times New Roman"/>
          <w:b/>
          <w:color w:val="000000" w:themeColor="text1"/>
          <w:sz w:val="36"/>
          <w:szCs w:val="36"/>
        </w:rPr>
      </w:pPr>
    </w:p>
    <w:p w:rsidR="002E5394" w:rsidRPr="00A33C1A" w:rsidRDefault="002E5394" w:rsidP="000C1C07">
      <w:pPr>
        <w:spacing w:line="360" w:lineRule="auto"/>
        <w:rPr>
          <w:rFonts w:ascii="Times New Roman" w:hAnsi="Times New Roman" w:cs="Times New Roman"/>
          <w:b/>
          <w:color w:val="000000" w:themeColor="text1"/>
          <w:sz w:val="36"/>
          <w:szCs w:val="36"/>
        </w:rPr>
      </w:pPr>
    </w:p>
    <w:p w:rsidR="002E5394" w:rsidRPr="00A33C1A" w:rsidRDefault="002E5394" w:rsidP="000C1C07">
      <w:pPr>
        <w:spacing w:line="360" w:lineRule="auto"/>
        <w:rPr>
          <w:rFonts w:ascii="Times New Roman" w:hAnsi="Times New Roman" w:cs="Times New Roman"/>
          <w:b/>
          <w:color w:val="000000" w:themeColor="text1"/>
          <w:sz w:val="36"/>
          <w:szCs w:val="36"/>
        </w:rPr>
      </w:pPr>
    </w:p>
    <w:p w:rsidR="002E5394" w:rsidRPr="00A33C1A" w:rsidRDefault="002E5394" w:rsidP="000C1C07">
      <w:pPr>
        <w:spacing w:line="360" w:lineRule="auto"/>
        <w:rPr>
          <w:rFonts w:ascii="Times New Roman" w:hAnsi="Times New Roman" w:cs="Times New Roman"/>
          <w:b/>
          <w:color w:val="000000" w:themeColor="text1"/>
          <w:sz w:val="36"/>
          <w:szCs w:val="36"/>
        </w:rPr>
      </w:pPr>
    </w:p>
    <w:p w:rsidR="002E5394" w:rsidRPr="00A33C1A" w:rsidRDefault="002E5394" w:rsidP="000C1C07">
      <w:pPr>
        <w:spacing w:line="360" w:lineRule="auto"/>
        <w:rPr>
          <w:rFonts w:ascii="Times New Roman" w:hAnsi="Times New Roman" w:cs="Times New Roman"/>
          <w:b/>
          <w:color w:val="000000" w:themeColor="text1"/>
          <w:sz w:val="36"/>
          <w:szCs w:val="36"/>
        </w:rPr>
      </w:pPr>
    </w:p>
    <w:p w:rsidR="002E5394" w:rsidRPr="00A33C1A" w:rsidRDefault="002E5394" w:rsidP="000C1C07">
      <w:pPr>
        <w:spacing w:line="360" w:lineRule="auto"/>
        <w:rPr>
          <w:rFonts w:ascii="Times New Roman" w:hAnsi="Times New Roman" w:cs="Times New Roman"/>
          <w:b/>
          <w:color w:val="000000" w:themeColor="text1"/>
          <w:sz w:val="36"/>
          <w:szCs w:val="36"/>
        </w:rPr>
      </w:pPr>
    </w:p>
    <w:p w:rsidR="002E5394" w:rsidRPr="00A33C1A" w:rsidRDefault="002E5394" w:rsidP="000C1C07">
      <w:pPr>
        <w:spacing w:line="360" w:lineRule="auto"/>
        <w:rPr>
          <w:rFonts w:ascii="Times New Roman" w:hAnsi="Times New Roman" w:cs="Times New Roman"/>
          <w:b/>
          <w:color w:val="000000" w:themeColor="text1"/>
          <w:sz w:val="36"/>
          <w:szCs w:val="36"/>
        </w:rPr>
      </w:pPr>
    </w:p>
    <w:p w:rsidR="002E5394" w:rsidRPr="00A33C1A" w:rsidRDefault="002E5394" w:rsidP="000C1C07">
      <w:pPr>
        <w:spacing w:line="360" w:lineRule="auto"/>
        <w:rPr>
          <w:rFonts w:ascii="Times New Roman" w:hAnsi="Times New Roman" w:cs="Times New Roman"/>
          <w:b/>
          <w:color w:val="000000" w:themeColor="text1"/>
          <w:sz w:val="36"/>
          <w:szCs w:val="36"/>
        </w:rPr>
      </w:pPr>
    </w:p>
    <w:p w:rsidR="002E5394" w:rsidRPr="00A33C1A" w:rsidRDefault="002E5394" w:rsidP="000C1C07">
      <w:pPr>
        <w:spacing w:line="360" w:lineRule="auto"/>
        <w:rPr>
          <w:rFonts w:ascii="Times New Roman" w:hAnsi="Times New Roman" w:cs="Times New Roman"/>
          <w:b/>
          <w:color w:val="000000" w:themeColor="text1"/>
          <w:sz w:val="36"/>
          <w:szCs w:val="36"/>
        </w:rPr>
      </w:pPr>
    </w:p>
    <w:p w:rsidR="002E5394" w:rsidRPr="00A33C1A" w:rsidRDefault="002E5394" w:rsidP="000C1C07">
      <w:pPr>
        <w:spacing w:line="360" w:lineRule="auto"/>
        <w:rPr>
          <w:rFonts w:ascii="Times New Roman" w:hAnsi="Times New Roman" w:cs="Times New Roman"/>
          <w:b/>
          <w:color w:val="000000" w:themeColor="text1"/>
          <w:sz w:val="36"/>
          <w:szCs w:val="36"/>
        </w:rPr>
      </w:pPr>
    </w:p>
    <w:p w:rsidR="002E5394" w:rsidRPr="00A33C1A" w:rsidRDefault="002E5394" w:rsidP="000C1C07">
      <w:pPr>
        <w:spacing w:line="360" w:lineRule="auto"/>
        <w:rPr>
          <w:rFonts w:ascii="Times New Roman" w:hAnsi="Times New Roman" w:cs="Times New Roman"/>
          <w:b/>
          <w:color w:val="000000" w:themeColor="text1"/>
          <w:sz w:val="36"/>
          <w:szCs w:val="36"/>
        </w:rPr>
      </w:pPr>
    </w:p>
    <w:p w:rsidR="001104D3" w:rsidRPr="00A33C1A" w:rsidRDefault="00B202E0" w:rsidP="000C1C07">
      <w:pPr>
        <w:spacing w:line="360" w:lineRule="auto"/>
        <w:rPr>
          <w:rFonts w:ascii="Times New Roman" w:hAnsi="Times New Roman" w:cs="Times New Roman"/>
          <w:color w:val="000000" w:themeColor="text1"/>
          <w:sz w:val="36"/>
          <w:szCs w:val="36"/>
        </w:rPr>
      </w:pPr>
      <w:r w:rsidRPr="00A33C1A">
        <w:rPr>
          <w:rFonts w:ascii="Times New Roman" w:hAnsi="Times New Roman" w:cs="Times New Roman"/>
          <w:b/>
          <w:color w:val="000000" w:themeColor="text1"/>
          <w:sz w:val="36"/>
          <w:szCs w:val="36"/>
        </w:rPr>
        <w:t xml:space="preserve">Table </w:t>
      </w:r>
      <w:r w:rsidR="00A33C1A" w:rsidRPr="00A33C1A">
        <w:rPr>
          <w:rFonts w:ascii="Times New Roman" w:hAnsi="Times New Roman" w:cs="Times New Roman"/>
          <w:b/>
          <w:color w:val="000000" w:themeColor="text1"/>
          <w:sz w:val="36"/>
          <w:szCs w:val="36"/>
        </w:rPr>
        <w:t>S</w:t>
      </w:r>
      <w:r w:rsidRPr="00A33C1A">
        <w:rPr>
          <w:rFonts w:ascii="Times New Roman" w:hAnsi="Times New Roman" w:cs="Times New Roman"/>
          <w:b/>
          <w:color w:val="000000" w:themeColor="text1"/>
          <w:sz w:val="36"/>
          <w:szCs w:val="36"/>
        </w:rPr>
        <w:t>1</w:t>
      </w:r>
      <w:r w:rsidRPr="00A33C1A">
        <w:rPr>
          <w:rFonts w:ascii="Times New Roman" w:hAnsi="Times New Roman" w:cs="Times New Roman"/>
          <w:color w:val="000000" w:themeColor="text1"/>
          <w:sz w:val="36"/>
          <w:szCs w:val="36"/>
        </w:rPr>
        <w:t xml:space="preserve"> The ATM/ATR pathological mutations detected in the study cohort.</w:t>
      </w:r>
    </w:p>
    <w:tbl>
      <w:tblPr>
        <w:tblW w:w="7555" w:type="dxa"/>
        <w:jc w:val="center"/>
        <w:tblLayout w:type="fixed"/>
        <w:tblLook w:val="04A0" w:firstRow="1" w:lastRow="0" w:firstColumn="1" w:lastColumn="0" w:noHBand="0" w:noVBand="1"/>
      </w:tblPr>
      <w:tblGrid>
        <w:gridCol w:w="895"/>
        <w:gridCol w:w="810"/>
        <w:gridCol w:w="2707"/>
        <w:gridCol w:w="1613"/>
        <w:gridCol w:w="1530"/>
      </w:tblGrid>
      <w:tr w:rsidR="00A33C1A" w:rsidRPr="00A33C1A" w:rsidTr="00C539E6">
        <w:trPr>
          <w:trHeight w:val="320"/>
          <w:jc w:val="center"/>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Patient ID</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Gene</w:t>
            </w:r>
          </w:p>
        </w:tc>
        <w:tc>
          <w:tcPr>
            <w:tcW w:w="2707" w:type="dxa"/>
            <w:tcBorders>
              <w:top w:val="single" w:sz="4" w:space="0" w:color="auto"/>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Mutation</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Variant</w:t>
            </w:r>
          </w:p>
          <w:p w:rsidR="00C539E6" w:rsidRPr="00A33C1A" w:rsidRDefault="00C539E6" w:rsidP="00C539E6">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classification</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ClinVar</w:t>
            </w:r>
          </w:p>
          <w:p w:rsidR="00C539E6" w:rsidRPr="00A33C1A" w:rsidRDefault="00C539E6" w:rsidP="00C539E6">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classification</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c.6399_6412delATCTCTAAGAGACA(p.S2134Rfs*7)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c.4387A&gt;T(p.K1463*)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c.5692C&gt;T(p.R1898*)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c.178_181delGACT(p.D60Lfs*6)</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c.1039G&gt;T(p.E347*)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c.2690_2691ins(149)(p.L897Ffs*92)</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c.5173del(p.A1725Lfs*4)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c.1240C&gt;T(p.Q414*)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c.8592C&gt;G(p.Y2864*)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c.9139C&gt;T(p.R3047*)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c.6356T&gt;A(p.L2119*)</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c.4776+2T&gt;C</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Splice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c.6214_6259delGGACTCTGCCATATTCTTTCCGTCTATTTAAAAGGATTGGATTATG(p.G2072Kfs*9)</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c.8300delTinsCC(p.L2767Pfs*2)</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c.1756G&gt;T(p.E586*)</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c.4097delC(p.P1366Qfs*4)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c.4888delA(p.T1630Pfs*4)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c.742C&gt;T(p.R248*)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c.521_530delTCTATCTGAA(p.L174Hfs*10)</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P20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c.2599delG(p.D867Ifs*3)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P21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c.7789C&gt;T(p.Q2597*)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P22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c.3175G&gt;T(p.E1059*)</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P23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c.1380_1381delGGinsTT(p.E461*)</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P24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c.3007C&gt;T(p.Q1003*)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P25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c.4772T&gt;A(p.L1591*)</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P26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c.1464G&gt;A(p.W488*)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P27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c.1903C&gt;T(p.R635*)</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P28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c.2089_2123delTTATCAGAACAGCTTCTGAATAATTACTCATCTGAinsATGAAAGTTCTTCTTTATCTTTTTGGT(p.L697Mfs*38)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P29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c.3788dupA(p.I1264Dfs*14)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P30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c.6409C&gt;T(p.Q2137*)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P31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c.2320dupA(p.I774Nfs*3)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P32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c.8264_8268delATAAG(p.Y2755Cfs*12)</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P33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c.684_687delACTT(p.L228Ffs*4)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P34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c.3432delC(p.I1145Lfs*8)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P35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c.1939G&gt;T(p.E647*)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P36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c.4396C&gt;T(p.Q1466*)</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P37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c.1236-2A&gt;T</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Splice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P38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c.4996A&gt;T(p.K1666*)</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P39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c.67C&gt;T(p.R23*)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P40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c.8645C&gt;A(p.S2882*)</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P41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c.1027delG(p.E343Kfs*3)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P42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c.4732C&gt;T(p.Q1578*)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P43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c.5216dupA(p.N1739Kfs*10)</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P44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c.2320dupA(p.I774Nfs*3)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P45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c.3341dupT(p.S1115Ifs*3)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P46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c.4145delC(p.P1382Hfs*4)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P47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c.5121_5122insGGTAAATAATTATGTGAATTAATAAAAATATAAGAATTTTCATAAAGAA(p.L1708Gfs*3)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P48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c.2854A&gt;T(p.K952*)</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P49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c.1236-2A&gt;T</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Splice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P50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c.5200delG(p.V1734Lfs*4)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P51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c.4826C&gt;G(p.S1609*)</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P52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c.6615G&gt;A(p.W2205*)</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P53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c.943_944delTT(p.L315Ifs*2)</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P54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c.1208C&gt;G(p.S403*)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P55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c.6815C&gt;A(p.S2272*)</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P56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c.3386delG(p.G1129Afs*11)</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P57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c.6451A&gt;T(p.R2151*)</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P58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c.642delC(p.K215Rfs*15)</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P59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c.6757A&gt;T(p.K2253*)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P60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c.5492delG(p.C1831Lfs*3)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P61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c.1234dupT(p.W412Lfs*18)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P62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c.8720delC(p.P2907Lfs*31)</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P62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c.2461delA(p.S821Vfs*2)</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P63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c.5440dupA(p.R1814Kfs*8)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P64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c.1236_1237insA(p.L413Tfs*17)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P65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c.8122G&gt;A(p.D2708N)</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Missense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P66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c.802C&gt;T(p.Q268*)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P67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c.757G&gt;T(p.E253*)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P68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c.9019delG(p.E3007Nfs*4)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P69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c.7792C&gt;T(p.R2598*)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P70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c.7777C&gt;T(p.Q2593*)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P71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c.4765delT(p.S1589Hfs*12)</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P72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c.3043delC(p.R1015Efs*3)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P73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c.4282G&gt;T(p.E1428*)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P74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c.3077+1delG</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P75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c.7886dupT(p.L2630Ifs*26)</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P76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c.1898+1delG</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P77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c.4169_4178delTTGCCTATAT(p.F1390Sfs*9)</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P78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c.6268_6280delGACTGGTGTCCTG(p.D2090Nfs*2)</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P79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c.465C&gt;G(p.Y155*)</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P80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c.1038delG(p.L346Ffs*27)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P81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c.7542T&gt;A(p.Y2514*)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P81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c.5823dupT(p.A1942Cfs*23)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P82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c.6661G&gt;T(p.E2221*)</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P83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c.8287C&gt;T(p.R2763*)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P84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c.5440dupA(p.R1814Kfs*8)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P85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c.7886_7890delTATTA(p.I2629Sfs*25)</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P86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c.2866G&gt;T(p.G956*)</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P87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c.1236-2A&gt;T</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Splice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P88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c.6572+46_6572+47ins(147)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P89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c.244dupA(p.M82Nfs*10)</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P90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c.1311delG(p.M437Ifs*36)</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P91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c.1102C&gt;T(p.Q368*)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P92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c.4417G&gt;T(p.G1473*)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P93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c.8494C&gt;T(p.R2832C)</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Missense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P94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c.8230G&gt;T(p.E2744*)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P95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c.5697C&gt;A(p.C1899*)</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P96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c.7138delG(p.V2380*)</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P97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c.7533_7542delTCCAACATAT(p.P2512Nfs*17)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P98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c.8293G&gt;A(p.G2765S)</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Missense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P99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c.1071delT(p.F357Lfs*33)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P100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c.1236-2A&gt;T</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Splice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P101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c.3220G&gt;T(p.G1074*)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P102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c.2188G&gt;T(p.E730*)</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P103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c.5383G&gt;T(p.G1795*)</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P104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c.5293G&gt;T(p.E1765*)</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P105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c.2320dupA(p.I774Nfs*3)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P106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c.601C&gt;T(p.Q201*)</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P107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c.8545C&gt;T(p.R2849*)</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P108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c.7149_7150delinsG(p.M2384*)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P109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c.447delT(p.L150Ffs*3)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P109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c.5044G&gt;C(p.D1682H)</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Missense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P110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c.709dupA(p.T237Nfs*17)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P111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c.583_584delACinsT(p.T195Sfs*11)</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P112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c.5395_5405delAGTGAAAATCA(p.S1799*)</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P113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c.2209G&gt;T(p.E737*)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P114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c.4154delC(p.T1385Mfs*3)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P115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c.4082T&gt;A(p.L1361*)</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P116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c.2320dupA(p.I774Nfs*3)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P117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c.6049_6052delAGTT(p.S2017Cfs*29)</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P118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c.8325delC(p.I2776Lfs*30)</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P119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c.2320dupA(p.I774Nfs*3)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P120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c.8293G&gt;A(p.G2765S)</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Missense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P121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c.700delG(p.A234Qfs*21)</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P122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c.2548G&gt;T(p.E850*)</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P123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c.2212G&gt;T(p.E738*)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P124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c.1597A&gt;T(p.R533*)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P125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c.1093G&gt;T(p.E365*)</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P126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c.8398C&gt;T(p.Q2800*)</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P127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c.3154-1G&gt;T</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Splice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P128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c.7189C&gt;T(p.Q2397*)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P129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c.3231delT(p.A1079Lfs*30)</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P130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c.3176_3194delCCATTCTTAATGTAATGGG(p.A1059Efs*6)</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P131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c.4264C&gt;T(p.Q1422*)</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P132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c.3883G&gt;T(p.E1295*)</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P133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c.5697C&gt;A(p.C1899*)</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P134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c.1249_1265delACCCAATTAATATCAAA(p.T417Vfs*7)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P135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c.1750C&gt;T(p.Q584*)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P136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c.2548G&gt;T(p.E850*)</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P137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c.7267G&gt;T(p.E2423*)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P138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c.6725C&gt;G(p.S2242*)</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P139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c.5908C&gt;T(p.Q1970*)</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P140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c.361A&gt;T(p.K121*)</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P141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c.3145_3146insC(p.L1049Sfs*3)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P142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c.6825_6826del(p.F2276Sfs*3)</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P143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c.7708G&gt;T(p.E2570*)</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P144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c.635_636insG(p.F212Lfs*42)</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P145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c.2770del(p.S924Vfs*15)</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P145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c.7476_7477insA(p.E2493Rfs*7)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P145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c.7477delinsAA(p.E2493Kfs*7)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P146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c.3089dup(p.E1031Gfs*17)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P147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c.512G&gt;A(p.W171*)</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P148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c.3402+2T&gt;C</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Splice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P149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c.3424G&gt;T(p.E1142*)</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P150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c.6272G&gt;A(p.W2091*)</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P151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c.1077del(p.D360Ifs*30)</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P152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c.1102C&gt;T(p.Q368*)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P153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c.1236-1G&gt;A</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Splice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P154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c.2638+1G&gt;T</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Splice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P155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c.1602G&gt;A(p.W534*)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P156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c.8157_8166del(p.D2721Kfs*27)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P157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c.6313delinsAA(p.E2105Kfs*14)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P158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c.8283_8284del(p.Q2762Afs*6)</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P159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c.4292_4296del(p.N1431Ifs*2)</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P160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c.6373_6382del(p.V2125Sfs*6)</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P161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c.7261A&gt;T(p.K2421*)</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P162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c.7413_7428del(p.I2471Mfs*28)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P163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c.8929G&gt;T(p.E2977*)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P164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c.6265C&gt;T(p.R2089*)</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P165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c.8293G&gt;A(p.G2765S)</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Missense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P166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c.2340del(p.M780Ifs*8)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P167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c.5971G&gt;T(p.E1991*)</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P168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c.6715del(p.M2239Wfs*18)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P169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c.5623C&gt;T(p.R1875*)</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P170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c.5020G&gt;T(p.G1674*)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P171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c.901+1G&gt;T</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Splice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P172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c.9139C&gt;T(p.R3047*)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P173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c.1426C&gt;T(p.Q476*)</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P174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c.2193C&gt;A(p.Y731*)</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P175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c.967A&gt;G(p.I323V)</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Missense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P176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c.7191del(p.Q2397Hfs*9)</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P177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c.5485G&gt;T(p.E1829*)</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P178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c.7181C&gt;T(p.S2394L)</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Missense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P179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c.1227_1236del(p.E409Dfs*27)</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P180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c.6265C&gt;T(p.R2089*)</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P181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c.1750C&gt;T(p.Q584*)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P182</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c.4177_4181del(p.I1393Qfs*4)</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P183</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c.3993+1G&gt;T</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Splice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P184</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c.2921+1G&gt;T</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Splice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Pathogenic/Likely_pathogenic</w:t>
            </w: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P185</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c.1303_1312del(p.S435*)</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P186</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c.6998_6999del(p.T2333Ifs*39)</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P187</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c.5656C&gt;T(p.R1886*)</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P188</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c.1021_1022del(p.V341Qfs*6)</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P189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c.4741del(p.I1581Sfs*20)</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P189</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c.4741_4742delinsG(p.I1581Afs*20)</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A33C1A"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P190</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c.4043_4046del(p.L1348*)</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r w:rsidR="00C539E6" w:rsidRPr="00A33C1A" w:rsidTr="00C539E6">
        <w:trPr>
          <w:trHeight w:val="32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P191</w:t>
            </w:r>
          </w:p>
        </w:tc>
        <w:tc>
          <w:tcPr>
            <w:tcW w:w="81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2707"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c.5413G&gt;T(p.G1805*)</w:t>
            </w:r>
          </w:p>
        </w:tc>
        <w:tc>
          <w:tcPr>
            <w:tcW w:w="1613"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c>
          <w:tcPr>
            <w:tcW w:w="1530" w:type="dxa"/>
            <w:tcBorders>
              <w:top w:val="nil"/>
              <w:left w:val="nil"/>
              <w:bottom w:val="single" w:sz="4" w:space="0" w:color="auto"/>
              <w:right w:val="single" w:sz="4" w:space="0" w:color="auto"/>
            </w:tcBorders>
            <w:shd w:val="clear" w:color="auto" w:fill="auto"/>
            <w:noWrap/>
            <w:vAlign w:val="center"/>
            <w:hideMark/>
          </w:tcPr>
          <w:p w:rsidR="00C539E6" w:rsidRPr="00A33C1A" w:rsidRDefault="00C539E6" w:rsidP="00C539E6">
            <w:pPr>
              <w:jc w:val="center"/>
              <w:rPr>
                <w:rFonts w:ascii="Times New Roman" w:eastAsia="Times New Roman" w:hAnsi="Times New Roman" w:cs="Times New Roman"/>
                <w:color w:val="000000" w:themeColor="text1"/>
                <w:sz w:val="36"/>
                <w:szCs w:val="36"/>
              </w:rPr>
            </w:pPr>
          </w:p>
        </w:tc>
      </w:tr>
    </w:tbl>
    <w:p w:rsidR="00B202E0" w:rsidRPr="00A33C1A" w:rsidRDefault="00B202E0" w:rsidP="000C1C07">
      <w:pPr>
        <w:spacing w:line="360" w:lineRule="auto"/>
        <w:rPr>
          <w:rFonts w:ascii="Times New Roman" w:hAnsi="Times New Roman" w:cs="Times New Roman"/>
          <w:color w:val="000000" w:themeColor="text1"/>
          <w:sz w:val="36"/>
          <w:szCs w:val="36"/>
        </w:rPr>
      </w:pPr>
    </w:p>
    <w:p w:rsidR="00657231" w:rsidRPr="00A33C1A" w:rsidRDefault="00ED031B" w:rsidP="000C1C07">
      <w:pPr>
        <w:spacing w:line="360" w:lineRule="auto"/>
        <w:rPr>
          <w:rFonts w:ascii="Times New Roman" w:hAnsi="Times New Roman" w:cs="Times New Roman"/>
          <w:color w:val="000000" w:themeColor="text1"/>
          <w:sz w:val="36"/>
          <w:szCs w:val="36"/>
        </w:rPr>
      </w:pPr>
      <w:r w:rsidRPr="00A33C1A">
        <w:rPr>
          <w:rFonts w:ascii="Times New Roman" w:hAnsi="Times New Roman" w:cs="Times New Roman"/>
          <w:b/>
          <w:color w:val="000000" w:themeColor="text1"/>
          <w:sz w:val="36"/>
          <w:szCs w:val="36"/>
        </w:rPr>
        <w:t xml:space="preserve">Table </w:t>
      </w:r>
      <w:r w:rsidR="00A33C1A" w:rsidRPr="00A33C1A">
        <w:rPr>
          <w:rFonts w:ascii="Times New Roman" w:hAnsi="Times New Roman" w:cs="Times New Roman"/>
          <w:b/>
          <w:color w:val="000000" w:themeColor="text1"/>
          <w:sz w:val="36"/>
          <w:szCs w:val="36"/>
        </w:rPr>
        <w:t>S</w:t>
      </w:r>
      <w:r w:rsidRPr="00A33C1A">
        <w:rPr>
          <w:rFonts w:ascii="Times New Roman" w:hAnsi="Times New Roman" w:cs="Times New Roman"/>
          <w:b/>
          <w:color w:val="000000" w:themeColor="text1"/>
          <w:sz w:val="36"/>
          <w:szCs w:val="36"/>
        </w:rPr>
        <w:t>2</w:t>
      </w:r>
      <w:r w:rsidRPr="00A33C1A">
        <w:rPr>
          <w:rFonts w:ascii="Times New Roman" w:hAnsi="Times New Roman" w:cs="Times New Roman"/>
          <w:color w:val="000000" w:themeColor="text1"/>
          <w:sz w:val="36"/>
          <w:szCs w:val="36"/>
        </w:rPr>
        <w:t xml:space="preserve"> Demographic characteristics of the 499 NSCLC patients in the study cohort.</w:t>
      </w:r>
    </w:p>
    <w:tbl>
      <w:tblPr>
        <w:tblW w:w="8725" w:type="dxa"/>
        <w:jc w:val="center"/>
        <w:tblLook w:val="04A0" w:firstRow="1" w:lastRow="0" w:firstColumn="1" w:lastColumn="0" w:noHBand="0" w:noVBand="1"/>
      </w:tblPr>
      <w:tblGrid>
        <w:gridCol w:w="1975"/>
        <w:gridCol w:w="3060"/>
        <w:gridCol w:w="2700"/>
        <w:gridCol w:w="990"/>
      </w:tblGrid>
      <w:tr w:rsidR="00A33C1A" w:rsidRPr="00A33C1A" w:rsidTr="00270EB0">
        <w:trPr>
          <w:trHeight w:val="320"/>
          <w:jc w:val="center"/>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416A" w:rsidRPr="00A33C1A" w:rsidRDefault="00AD416A" w:rsidP="00AD416A">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Characteristics</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rsidR="00AD416A" w:rsidRPr="00A33C1A" w:rsidRDefault="00AD416A" w:rsidP="00AD416A">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With ATM/ATR pathological mutations (n=191)</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AD416A" w:rsidRPr="00A33C1A" w:rsidRDefault="00AD416A" w:rsidP="00AD416A">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Without ATM/ATR mutations (n=308)</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AD416A" w:rsidRPr="00A33C1A" w:rsidRDefault="00AD416A" w:rsidP="00AD416A">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i/>
                <w:iCs/>
                <w:color w:val="000000" w:themeColor="text1"/>
                <w:sz w:val="36"/>
                <w:szCs w:val="36"/>
              </w:rPr>
              <w:t>P</w:t>
            </w:r>
            <w:r w:rsidRPr="00A33C1A">
              <w:rPr>
                <w:rFonts w:ascii="Times New Roman" w:eastAsia="Times New Roman" w:hAnsi="Times New Roman" w:cs="Times New Roman"/>
                <w:b/>
                <w:bCs/>
                <w:color w:val="000000" w:themeColor="text1"/>
                <w:sz w:val="36"/>
                <w:szCs w:val="36"/>
              </w:rPr>
              <w:t xml:space="preserve"> values</w:t>
            </w:r>
          </w:p>
        </w:tc>
      </w:tr>
      <w:tr w:rsidR="00A33C1A" w:rsidRPr="00A33C1A" w:rsidTr="00270EB0">
        <w:trPr>
          <w:trHeight w:val="32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AD416A" w:rsidRPr="00A33C1A" w:rsidRDefault="00AD416A" w:rsidP="00AD416A">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Age (median, range)</w:t>
            </w:r>
          </w:p>
        </w:tc>
        <w:tc>
          <w:tcPr>
            <w:tcW w:w="306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64 (27-89)</w:t>
            </w:r>
          </w:p>
        </w:tc>
        <w:tc>
          <w:tcPr>
            <w:tcW w:w="270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60 (28-89)</w:t>
            </w:r>
          </w:p>
        </w:tc>
        <w:tc>
          <w:tcPr>
            <w:tcW w:w="99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&lt;0.001</w:t>
            </w:r>
          </w:p>
        </w:tc>
      </w:tr>
      <w:tr w:rsidR="00A33C1A" w:rsidRPr="00A33C1A" w:rsidTr="00270EB0">
        <w:trPr>
          <w:trHeight w:val="32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AD416A" w:rsidRPr="00A33C1A" w:rsidRDefault="00AD416A" w:rsidP="00AD416A">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Sex</w:t>
            </w:r>
          </w:p>
        </w:tc>
        <w:tc>
          <w:tcPr>
            <w:tcW w:w="306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c>
          <w:tcPr>
            <w:tcW w:w="270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c>
          <w:tcPr>
            <w:tcW w:w="99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&lt;0.001</w:t>
            </w:r>
          </w:p>
        </w:tc>
      </w:tr>
      <w:tr w:rsidR="00A33C1A" w:rsidRPr="00A33C1A" w:rsidTr="00270EB0">
        <w:trPr>
          <w:trHeight w:val="32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AD416A" w:rsidRPr="00A33C1A" w:rsidRDefault="00AD416A" w:rsidP="00AD416A">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xml:space="preserve">    Male</w:t>
            </w:r>
          </w:p>
        </w:tc>
        <w:tc>
          <w:tcPr>
            <w:tcW w:w="306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139 (72.8%)</w:t>
            </w:r>
          </w:p>
        </w:tc>
        <w:tc>
          <w:tcPr>
            <w:tcW w:w="270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172 (55.8%)</w:t>
            </w:r>
          </w:p>
        </w:tc>
        <w:tc>
          <w:tcPr>
            <w:tcW w:w="99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r>
      <w:tr w:rsidR="00A33C1A" w:rsidRPr="00A33C1A" w:rsidTr="00270EB0">
        <w:trPr>
          <w:trHeight w:val="32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AD416A" w:rsidRPr="00A33C1A" w:rsidRDefault="00AD416A" w:rsidP="00AD416A">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xml:space="preserve">    Female</w:t>
            </w:r>
          </w:p>
        </w:tc>
        <w:tc>
          <w:tcPr>
            <w:tcW w:w="306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52 (27.2%)</w:t>
            </w:r>
          </w:p>
        </w:tc>
        <w:tc>
          <w:tcPr>
            <w:tcW w:w="270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136 (44.2%)</w:t>
            </w:r>
          </w:p>
        </w:tc>
        <w:tc>
          <w:tcPr>
            <w:tcW w:w="99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r>
      <w:tr w:rsidR="00A33C1A" w:rsidRPr="00A33C1A" w:rsidTr="00270EB0">
        <w:trPr>
          <w:trHeight w:val="32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AD416A" w:rsidRPr="00A33C1A" w:rsidRDefault="00AD416A" w:rsidP="00AD416A">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Histologic subtype</w:t>
            </w:r>
          </w:p>
        </w:tc>
        <w:tc>
          <w:tcPr>
            <w:tcW w:w="306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c>
          <w:tcPr>
            <w:tcW w:w="270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c>
          <w:tcPr>
            <w:tcW w:w="99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0.773</w:t>
            </w:r>
          </w:p>
        </w:tc>
      </w:tr>
      <w:tr w:rsidR="00A33C1A" w:rsidRPr="00A33C1A" w:rsidTr="00270EB0">
        <w:trPr>
          <w:trHeight w:val="32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AD416A" w:rsidRPr="00A33C1A" w:rsidRDefault="00AD416A" w:rsidP="00AD416A">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xml:space="preserve">    ADC</w:t>
            </w:r>
          </w:p>
        </w:tc>
        <w:tc>
          <w:tcPr>
            <w:tcW w:w="306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168 (88.0%)</w:t>
            </w:r>
          </w:p>
        </w:tc>
        <w:tc>
          <w:tcPr>
            <w:tcW w:w="270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274 (89.0%)</w:t>
            </w:r>
          </w:p>
        </w:tc>
        <w:tc>
          <w:tcPr>
            <w:tcW w:w="99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r>
      <w:tr w:rsidR="00AD416A" w:rsidRPr="00A33C1A" w:rsidTr="00270EB0">
        <w:trPr>
          <w:trHeight w:val="32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AD416A" w:rsidRPr="00A33C1A" w:rsidRDefault="00AD416A" w:rsidP="00AD416A">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xml:space="preserve">    SCC</w:t>
            </w:r>
          </w:p>
        </w:tc>
        <w:tc>
          <w:tcPr>
            <w:tcW w:w="306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23 (12.0%)</w:t>
            </w:r>
          </w:p>
        </w:tc>
        <w:tc>
          <w:tcPr>
            <w:tcW w:w="270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34 (11.0%)</w:t>
            </w:r>
          </w:p>
        </w:tc>
        <w:tc>
          <w:tcPr>
            <w:tcW w:w="990" w:type="dxa"/>
            <w:tcBorders>
              <w:top w:val="nil"/>
              <w:left w:val="nil"/>
              <w:bottom w:val="single" w:sz="4" w:space="0" w:color="auto"/>
              <w:right w:val="single" w:sz="4" w:space="0" w:color="auto"/>
            </w:tcBorders>
            <w:shd w:val="clear" w:color="auto" w:fill="auto"/>
            <w:noWrap/>
            <w:vAlign w:val="bottom"/>
            <w:hideMark/>
          </w:tcPr>
          <w:p w:rsidR="00AD416A" w:rsidRPr="00A33C1A" w:rsidRDefault="00AD416A" w:rsidP="00AD416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r>
    </w:tbl>
    <w:p w:rsidR="00AD416A" w:rsidRPr="00A33C1A" w:rsidRDefault="00AD416A" w:rsidP="000C1C07">
      <w:pPr>
        <w:spacing w:line="360" w:lineRule="auto"/>
        <w:rPr>
          <w:rFonts w:ascii="Times New Roman" w:hAnsi="Times New Roman" w:cs="Times New Roman"/>
          <w:color w:val="000000" w:themeColor="text1"/>
          <w:sz w:val="36"/>
          <w:szCs w:val="36"/>
        </w:rPr>
      </w:pPr>
    </w:p>
    <w:p w:rsidR="00AD416A" w:rsidRPr="00A33C1A" w:rsidRDefault="00270EB0" w:rsidP="000C1C07">
      <w:pPr>
        <w:spacing w:line="360" w:lineRule="auto"/>
        <w:rPr>
          <w:rFonts w:ascii="Times New Roman" w:hAnsi="Times New Roman" w:cs="Times New Roman"/>
          <w:color w:val="000000" w:themeColor="text1"/>
          <w:sz w:val="36"/>
          <w:szCs w:val="36"/>
        </w:rPr>
      </w:pPr>
      <w:r w:rsidRPr="00A33C1A">
        <w:rPr>
          <w:rFonts w:ascii="Times New Roman" w:hAnsi="Times New Roman" w:cs="Times New Roman"/>
          <w:b/>
          <w:color w:val="000000" w:themeColor="text1"/>
          <w:sz w:val="36"/>
          <w:szCs w:val="36"/>
        </w:rPr>
        <w:t xml:space="preserve">Table </w:t>
      </w:r>
      <w:r w:rsidR="00A33C1A" w:rsidRPr="00A33C1A">
        <w:rPr>
          <w:rFonts w:ascii="Times New Roman" w:hAnsi="Times New Roman" w:cs="Times New Roman"/>
          <w:b/>
          <w:color w:val="000000" w:themeColor="text1"/>
          <w:sz w:val="36"/>
          <w:szCs w:val="36"/>
        </w:rPr>
        <w:t>S</w:t>
      </w:r>
      <w:r w:rsidRPr="00A33C1A">
        <w:rPr>
          <w:rFonts w:ascii="Times New Roman" w:hAnsi="Times New Roman" w:cs="Times New Roman"/>
          <w:b/>
          <w:color w:val="000000" w:themeColor="text1"/>
          <w:sz w:val="36"/>
          <w:szCs w:val="36"/>
        </w:rPr>
        <w:t>3</w:t>
      </w:r>
      <w:r w:rsidRPr="00A33C1A">
        <w:rPr>
          <w:rFonts w:ascii="Times New Roman" w:hAnsi="Times New Roman" w:cs="Times New Roman"/>
          <w:color w:val="000000" w:themeColor="text1"/>
          <w:sz w:val="36"/>
          <w:szCs w:val="36"/>
        </w:rPr>
        <w:t xml:space="preserve"> The ATM/ATR pathological mutations in the external cohort.</w:t>
      </w:r>
    </w:p>
    <w:tbl>
      <w:tblPr>
        <w:tblW w:w="6840" w:type="dxa"/>
        <w:jc w:val="center"/>
        <w:tblLook w:val="04A0" w:firstRow="1" w:lastRow="0" w:firstColumn="1" w:lastColumn="0" w:noHBand="0" w:noVBand="1"/>
      </w:tblPr>
      <w:tblGrid>
        <w:gridCol w:w="1400"/>
        <w:gridCol w:w="1300"/>
        <w:gridCol w:w="1720"/>
        <w:gridCol w:w="2420"/>
      </w:tblGrid>
      <w:tr w:rsidR="00A33C1A" w:rsidRPr="00A33C1A" w:rsidTr="00270EB0">
        <w:trPr>
          <w:trHeight w:val="320"/>
          <w:jc w:val="center"/>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Patient ID</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Gene</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Mutation</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Variant classification</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E1</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p.E7Dfs*21</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E2</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p.E1329*</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E3</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p.E1822*</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E4</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p.W102*</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E5</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p.G2369*</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E6</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p.E1313Gfs*36</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E7</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p.G956*</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E7</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p.G956*</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E8</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p.Q1084*</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E9</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p.G2536Efs*6</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E10</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p.R1814Kfs*8</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E11</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p.Q445Lfs*42</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E12</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p.Q2615*</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E13</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p.S1372*</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E14</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p.G873*</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E15</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p.L537*</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E16</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p.D2569*</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E17</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p.I1581Nfs*5</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E18</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p.Q1636Rfs*10</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E19</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p.Y889Ifs*10</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E20</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p.E871*</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E21</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p.E1940*</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E22</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p.Q1225*</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E23</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p.E1979*</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E24</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p.S2882*</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E25</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p.S2207Ifs*15</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E26</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p.E3015*</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E27</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p.K343*</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E28</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p.S751Ffs*14</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E28</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p.S1487*</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E29</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p.Q628*</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E30</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p.E770*</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E31</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p.E833*</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E32</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p.S1616*</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E33</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p.G736*</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E34</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p.I1525Nfs*6</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E35</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p.K1196*</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E36</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p.R248*</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E37</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p.C819Lfs*4</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E38</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p.R1437*</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E39</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p.S508Lfs*5</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E40</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p.R250Sfs*3</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E40</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p.L2006*</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E41</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p.T1029Qfs*10</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E42</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p.Q65*</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E43</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p.I97*</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E44</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p.L427*</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E45</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p.L210Wfs*20</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E46</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p.Q1116Sfs*10</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Frameshift</w:t>
            </w:r>
          </w:p>
        </w:tc>
      </w:tr>
      <w:tr w:rsidR="00A33C1A"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E47</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ATR</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p.Q2085*</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r w:rsidR="00270EB0" w:rsidRPr="00A33C1A" w:rsidTr="00270EB0">
        <w:trPr>
          <w:trHeight w:val="32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E48</w:t>
            </w:r>
          </w:p>
        </w:tc>
        <w:tc>
          <w:tcPr>
            <w:tcW w:w="130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ATM</w:t>
            </w:r>
          </w:p>
        </w:tc>
        <w:tc>
          <w:tcPr>
            <w:tcW w:w="17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p.Q2277*</w:t>
            </w:r>
          </w:p>
        </w:tc>
        <w:tc>
          <w:tcPr>
            <w:tcW w:w="2420" w:type="dxa"/>
            <w:tcBorders>
              <w:top w:val="nil"/>
              <w:left w:val="nil"/>
              <w:bottom w:val="single" w:sz="4" w:space="0" w:color="auto"/>
              <w:right w:val="single" w:sz="4" w:space="0" w:color="auto"/>
            </w:tcBorders>
            <w:shd w:val="clear" w:color="auto" w:fill="auto"/>
            <w:noWrap/>
            <w:vAlign w:val="bottom"/>
            <w:hideMark/>
          </w:tcPr>
          <w:p w:rsidR="00270EB0" w:rsidRPr="00A33C1A" w:rsidRDefault="00270EB0" w:rsidP="00270EB0">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Nonsense</w:t>
            </w:r>
          </w:p>
        </w:tc>
      </w:tr>
    </w:tbl>
    <w:p w:rsidR="00270EB0" w:rsidRPr="00A33C1A" w:rsidRDefault="00270EB0" w:rsidP="000C1C07">
      <w:pPr>
        <w:spacing w:line="360" w:lineRule="auto"/>
        <w:rPr>
          <w:rFonts w:ascii="Times New Roman" w:hAnsi="Times New Roman" w:cs="Times New Roman"/>
          <w:color w:val="000000" w:themeColor="text1"/>
          <w:sz w:val="36"/>
          <w:szCs w:val="36"/>
        </w:rPr>
      </w:pPr>
    </w:p>
    <w:p w:rsidR="00270EB0" w:rsidRPr="00A33C1A" w:rsidRDefault="00270EB0" w:rsidP="000C1C07">
      <w:pPr>
        <w:spacing w:line="360" w:lineRule="auto"/>
        <w:rPr>
          <w:rFonts w:ascii="Times New Roman" w:hAnsi="Times New Roman" w:cs="Times New Roman"/>
          <w:color w:val="000000" w:themeColor="text1"/>
          <w:sz w:val="36"/>
          <w:szCs w:val="36"/>
        </w:rPr>
      </w:pPr>
    </w:p>
    <w:p w:rsidR="008B0F0D" w:rsidRPr="00A33C1A" w:rsidRDefault="008B0F0D" w:rsidP="000C1C07">
      <w:pPr>
        <w:spacing w:line="360" w:lineRule="auto"/>
        <w:rPr>
          <w:rFonts w:ascii="Times New Roman" w:hAnsi="Times New Roman" w:cs="Times New Roman"/>
          <w:color w:val="000000" w:themeColor="text1"/>
          <w:sz w:val="36"/>
          <w:szCs w:val="36"/>
        </w:rPr>
      </w:pPr>
    </w:p>
    <w:p w:rsidR="008B0F0D" w:rsidRPr="00A33C1A" w:rsidRDefault="008B0F0D" w:rsidP="000C1C07">
      <w:pPr>
        <w:spacing w:line="360" w:lineRule="auto"/>
        <w:rPr>
          <w:rFonts w:ascii="Times New Roman" w:hAnsi="Times New Roman" w:cs="Times New Roman"/>
          <w:color w:val="000000" w:themeColor="text1"/>
          <w:sz w:val="36"/>
          <w:szCs w:val="36"/>
        </w:rPr>
      </w:pPr>
    </w:p>
    <w:p w:rsidR="008B0F0D" w:rsidRPr="00A33C1A" w:rsidRDefault="008B0F0D" w:rsidP="000C1C07">
      <w:pPr>
        <w:spacing w:line="360" w:lineRule="auto"/>
        <w:rPr>
          <w:rFonts w:ascii="Times New Roman" w:hAnsi="Times New Roman" w:cs="Times New Roman"/>
          <w:color w:val="000000" w:themeColor="text1"/>
          <w:sz w:val="36"/>
          <w:szCs w:val="36"/>
        </w:rPr>
      </w:pPr>
    </w:p>
    <w:p w:rsidR="008B0F0D" w:rsidRPr="00A33C1A" w:rsidRDefault="008B0F0D" w:rsidP="000C1C07">
      <w:pPr>
        <w:spacing w:line="360" w:lineRule="auto"/>
        <w:rPr>
          <w:rFonts w:ascii="Times New Roman" w:hAnsi="Times New Roman" w:cs="Times New Roman"/>
          <w:color w:val="000000" w:themeColor="text1"/>
          <w:sz w:val="36"/>
          <w:szCs w:val="36"/>
        </w:rPr>
      </w:pPr>
    </w:p>
    <w:p w:rsidR="00481704" w:rsidRPr="00A33C1A" w:rsidRDefault="00481704" w:rsidP="000C1C07">
      <w:pPr>
        <w:spacing w:line="360" w:lineRule="auto"/>
        <w:rPr>
          <w:rFonts w:ascii="Times New Roman" w:hAnsi="Times New Roman" w:cs="Times New Roman"/>
          <w:color w:val="000000" w:themeColor="text1"/>
          <w:sz w:val="36"/>
          <w:szCs w:val="36"/>
        </w:rPr>
      </w:pPr>
    </w:p>
    <w:p w:rsidR="00481704" w:rsidRPr="00A33C1A" w:rsidRDefault="00481704" w:rsidP="000C1C07">
      <w:pPr>
        <w:spacing w:line="360" w:lineRule="auto"/>
        <w:rPr>
          <w:rFonts w:ascii="Times New Roman" w:hAnsi="Times New Roman" w:cs="Times New Roman"/>
          <w:color w:val="000000" w:themeColor="text1"/>
          <w:sz w:val="36"/>
          <w:szCs w:val="36"/>
        </w:rPr>
      </w:pPr>
    </w:p>
    <w:p w:rsidR="008B0F0D" w:rsidRPr="00A33C1A" w:rsidRDefault="002E7346" w:rsidP="000C1C07">
      <w:pPr>
        <w:spacing w:line="360" w:lineRule="auto"/>
        <w:rPr>
          <w:rFonts w:ascii="Times New Roman" w:hAnsi="Times New Roman" w:cs="Times New Roman"/>
          <w:color w:val="000000" w:themeColor="text1"/>
          <w:sz w:val="36"/>
          <w:szCs w:val="36"/>
        </w:rPr>
      </w:pPr>
      <w:r w:rsidRPr="00A33C1A">
        <w:rPr>
          <w:rFonts w:ascii="Times New Roman" w:hAnsi="Times New Roman" w:cs="Times New Roman"/>
          <w:b/>
          <w:color w:val="000000" w:themeColor="text1"/>
          <w:sz w:val="36"/>
          <w:szCs w:val="36"/>
        </w:rPr>
        <w:t xml:space="preserve">Table </w:t>
      </w:r>
      <w:r w:rsidR="00A33C1A" w:rsidRPr="00A33C1A">
        <w:rPr>
          <w:rFonts w:ascii="Times New Roman" w:hAnsi="Times New Roman" w:cs="Times New Roman"/>
          <w:b/>
          <w:color w:val="000000" w:themeColor="text1"/>
          <w:sz w:val="36"/>
          <w:szCs w:val="36"/>
        </w:rPr>
        <w:t>S</w:t>
      </w:r>
      <w:r w:rsidRPr="00A33C1A">
        <w:rPr>
          <w:rFonts w:ascii="Times New Roman" w:hAnsi="Times New Roman" w:cs="Times New Roman"/>
          <w:b/>
          <w:color w:val="000000" w:themeColor="text1"/>
          <w:sz w:val="36"/>
          <w:szCs w:val="36"/>
        </w:rPr>
        <w:t>4</w:t>
      </w:r>
      <w:r w:rsidRPr="00A33C1A">
        <w:rPr>
          <w:rFonts w:ascii="Times New Roman" w:hAnsi="Times New Roman" w:cs="Times New Roman"/>
          <w:color w:val="000000" w:themeColor="text1"/>
          <w:sz w:val="36"/>
          <w:szCs w:val="36"/>
        </w:rPr>
        <w:t xml:space="preserve"> Demographic characteristics of the 2,727 NSCLC patients in the external cohort.</w:t>
      </w:r>
    </w:p>
    <w:tbl>
      <w:tblPr>
        <w:tblW w:w="7645" w:type="dxa"/>
        <w:jc w:val="center"/>
        <w:tblLook w:val="04A0" w:firstRow="1" w:lastRow="0" w:firstColumn="1" w:lastColumn="0" w:noHBand="0" w:noVBand="1"/>
      </w:tblPr>
      <w:tblGrid>
        <w:gridCol w:w="2000"/>
        <w:gridCol w:w="3035"/>
        <w:gridCol w:w="2160"/>
        <w:gridCol w:w="777"/>
      </w:tblGrid>
      <w:tr w:rsidR="00A33C1A" w:rsidRPr="00A33C1A" w:rsidTr="00CE71A3">
        <w:trPr>
          <w:trHeight w:val="320"/>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2755" w:rsidRPr="00A33C1A" w:rsidRDefault="003C2755" w:rsidP="003C2755">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Characteristics</w:t>
            </w:r>
          </w:p>
        </w:tc>
        <w:tc>
          <w:tcPr>
            <w:tcW w:w="3035" w:type="dxa"/>
            <w:tcBorders>
              <w:top w:val="single" w:sz="4" w:space="0" w:color="auto"/>
              <w:left w:val="nil"/>
              <w:bottom w:val="single" w:sz="4" w:space="0" w:color="auto"/>
              <w:right w:val="single" w:sz="4" w:space="0" w:color="auto"/>
            </w:tcBorders>
            <w:shd w:val="clear" w:color="auto" w:fill="auto"/>
            <w:noWrap/>
            <w:vAlign w:val="center"/>
            <w:hideMark/>
          </w:tcPr>
          <w:p w:rsidR="003C2755" w:rsidRPr="00A33C1A" w:rsidRDefault="003C2755" w:rsidP="003C2755">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With ATM/ATR pathological mutations (n=48)</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3C2755" w:rsidRPr="00A33C1A" w:rsidRDefault="003C2755" w:rsidP="003C2755">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Without ATM/ATR mutations (n=2,679)</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3C2755" w:rsidRPr="00A33C1A" w:rsidRDefault="003C2755" w:rsidP="003C2755">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i/>
                <w:iCs/>
                <w:color w:val="000000" w:themeColor="text1"/>
                <w:sz w:val="36"/>
                <w:szCs w:val="36"/>
              </w:rPr>
              <w:t>P</w:t>
            </w:r>
            <w:r w:rsidRPr="00A33C1A">
              <w:rPr>
                <w:rFonts w:ascii="Times New Roman" w:eastAsia="Times New Roman" w:hAnsi="Times New Roman" w:cs="Times New Roman"/>
                <w:b/>
                <w:bCs/>
                <w:color w:val="000000" w:themeColor="text1"/>
                <w:sz w:val="36"/>
                <w:szCs w:val="36"/>
              </w:rPr>
              <w:t xml:space="preserve"> values</w:t>
            </w:r>
          </w:p>
        </w:tc>
      </w:tr>
      <w:tr w:rsidR="00A33C1A" w:rsidRPr="00A33C1A" w:rsidTr="00CE71A3">
        <w:trPr>
          <w:trHeight w:val="32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3C2755" w:rsidRPr="00A33C1A" w:rsidRDefault="003C2755" w:rsidP="003C2755">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Age (mean, range)</w:t>
            </w:r>
          </w:p>
        </w:tc>
        <w:tc>
          <w:tcPr>
            <w:tcW w:w="3035"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65 (44-84)</w:t>
            </w:r>
          </w:p>
        </w:tc>
        <w:tc>
          <w:tcPr>
            <w:tcW w:w="216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67 (25-93)</w:t>
            </w:r>
          </w:p>
        </w:tc>
        <w:tc>
          <w:tcPr>
            <w:tcW w:w="45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0.303</w:t>
            </w:r>
          </w:p>
        </w:tc>
      </w:tr>
      <w:tr w:rsidR="00A33C1A" w:rsidRPr="00A33C1A" w:rsidTr="00CE71A3">
        <w:trPr>
          <w:trHeight w:val="32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3C2755" w:rsidRPr="00A33C1A" w:rsidRDefault="003C2755" w:rsidP="003C2755">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Sex</w:t>
            </w:r>
          </w:p>
        </w:tc>
        <w:tc>
          <w:tcPr>
            <w:tcW w:w="3035"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c>
          <w:tcPr>
            <w:tcW w:w="216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c>
          <w:tcPr>
            <w:tcW w:w="45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0.306</w:t>
            </w:r>
          </w:p>
        </w:tc>
      </w:tr>
      <w:tr w:rsidR="00A33C1A" w:rsidRPr="00A33C1A" w:rsidTr="00CE71A3">
        <w:trPr>
          <w:trHeight w:val="32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3C2755" w:rsidRPr="00A33C1A" w:rsidRDefault="003C2755" w:rsidP="003C2755">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xml:space="preserve">    Male</w:t>
            </w:r>
          </w:p>
        </w:tc>
        <w:tc>
          <w:tcPr>
            <w:tcW w:w="3035"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18 (37.5%)</w:t>
            </w:r>
          </w:p>
        </w:tc>
        <w:tc>
          <w:tcPr>
            <w:tcW w:w="216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1,223 (45.6%)</w:t>
            </w:r>
          </w:p>
        </w:tc>
        <w:tc>
          <w:tcPr>
            <w:tcW w:w="45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r>
      <w:tr w:rsidR="00A33C1A" w:rsidRPr="00A33C1A" w:rsidTr="00CE71A3">
        <w:trPr>
          <w:trHeight w:val="32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3C2755" w:rsidRPr="00A33C1A" w:rsidRDefault="003C2755" w:rsidP="003C2755">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xml:space="preserve">    Female</w:t>
            </w:r>
          </w:p>
        </w:tc>
        <w:tc>
          <w:tcPr>
            <w:tcW w:w="3035"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30 (62.5%)</w:t>
            </w:r>
          </w:p>
        </w:tc>
        <w:tc>
          <w:tcPr>
            <w:tcW w:w="216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1,446 (54.0%)</w:t>
            </w:r>
          </w:p>
        </w:tc>
        <w:tc>
          <w:tcPr>
            <w:tcW w:w="45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r>
      <w:tr w:rsidR="00A33C1A" w:rsidRPr="00A33C1A" w:rsidTr="00CE71A3">
        <w:trPr>
          <w:trHeight w:val="32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3C2755" w:rsidRPr="00A33C1A" w:rsidRDefault="003C2755" w:rsidP="003C2755">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xml:space="preserve">    NA</w:t>
            </w:r>
          </w:p>
        </w:tc>
        <w:tc>
          <w:tcPr>
            <w:tcW w:w="3035"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0 (0.0%)</w:t>
            </w:r>
          </w:p>
        </w:tc>
        <w:tc>
          <w:tcPr>
            <w:tcW w:w="216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10 (0.4%)</w:t>
            </w:r>
          </w:p>
        </w:tc>
        <w:tc>
          <w:tcPr>
            <w:tcW w:w="45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r>
      <w:tr w:rsidR="00A33C1A" w:rsidRPr="00A33C1A" w:rsidTr="00CE71A3">
        <w:trPr>
          <w:trHeight w:val="32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3C2755" w:rsidRPr="00A33C1A" w:rsidRDefault="003C2755" w:rsidP="003C2755">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Histologic subtype</w:t>
            </w:r>
          </w:p>
        </w:tc>
        <w:tc>
          <w:tcPr>
            <w:tcW w:w="3035"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c>
          <w:tcPr>
            <w:tcW w:w="216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c>
          <w:tcPr>
            <w:tcW w:w="45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0.543</w:t>
            </w:r>
          </w:p>
        </w:tc>
      </w:tr>
      <w:tr w:rsidR="00A33C1A" w:rsidRPr="00A33C1A" w:rsidTr="00CE71A3">
        <w:trPr>
          <w:trHeight w:val="32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3C2755" w:rsidRPr="00A33C1A" w:rsidRDefault="003C2755" w:rsidP="003C2755">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xml:space="preserve">    ADC</w:t>
            </w:r>
          </w:p>
        </w:tc>
        <w:tc>
          <w:tcPr>
            <w:tcW w:w="3035"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39 (81.3%)</w:t>
            </w:r>
          </w:p>
        </w:tc>
        <w:tc>
          <w:tcPr>
            <w:tcW w:w="216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2,176 (81.2%)</w:t>
            </w:r>
          </w:p>
        </w:tc>
        <w:tc>
          <w:tcPr>
            <w:tcW w:w="45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r>
      <w:tr w:rsidR="00A33C1A" w:rsidRPr="00A33C1A" w:rsidTr="00CE71A3">
        <w:trPr>
          <w:trHeight w:val="32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3C2755" w:rsidRPr="00A33C1A" w:rsidRDefault="003C2755" w:rsidP="003C2755">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xml:space="preserve">    SCC</w:t>
            </w:r>
          </w:p>
        </w:tc>
        <w:tc>
          <w:tcPr>
            <w:tcW w:w="3035"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9 (18.7%)</w:t>
            </w:r>
          </w:p>
        </w:tc>
        <w:tc>
          <w:tcPr>
            <w:tcW w:w="216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394 (14.7%)</w:t>
            </w:r>
          </w:p>
        </w:tc>
        <w:tc>
          <w:tcPr>
            <w:tcW w:w="45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r>
      <w:tr w:rsidR="003C2755" w:rsidRPr="00A33C1A" w:rsidTr="00CE71A3">
        <w:trPr>
          <w:trHeight w:val="32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3C2755" w:rsidRPr="00A33C1A" w:rsidRDefault="003C2755" w:rsidP="003C2755">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xml:space="preserve">    NA</w:t>
            </w:r>
          </w:p>
        </w:tc>
        <w:tc>
          <w:tcPr>
            <w:tcW w:w="3035"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0 (0.0%)</w:t>
            </w:r>
          </w:p>
        </w:tc>
        <w:tc>
          <w:tcPr>
            <w:tcW w:w="216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109 (4.1%)</w:t>
            </w:r>
          </w:p>
        </w:tc>
        <w:tc>
          <w:tcPr>
            <w:tcW w:w="450" w:type="dxa"/>
            <w:tcBorders>
              <w:top w:val="nil"/>
              <w:left w:val="nil"/>
              <w:bottom w:val="single" w:sz="4" w:space="0" w:color="auto"/>
              <w:right w:val="single" w:sz="4" w:space="0" w:color="auto"/>
            </w:tcBorders>
            <w:shd w:val="clear" w:color="auto" w:fill="auto"/>
            <w:noWrap/>
            <w:vAlign w:val="bottom"/>
            <w:hideMark/>
          </w:tcPr>
          <w:p w:rsidR="003C2755" w:rsidRPr="00A33C1A" w:rsidRDefault="003C2755" w:rsidP="003C2755">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r>
    </w:tbl>
    <w:p w:rsidR="003C2755" w:rsidRPr="00A33C1A" w:rsidRDefault="003C2755" w:rsidP="000C1C07">
      <w:pPr>
        <w:spacing w:line="360" w:lineRule="auto"/>
        <w:rPr>
          <w:rFonts w:ascii="Times New Roman" w:hAnsi="Times New Roman" w:cs="Times New Roman"/>
          <w:color w:val="000000" w:themeColor="text1"/>
          <w:sz w:val="36"/>
          <w:szCs w:val="36"/>
        </w:rPr>
      </w:pPr>
    </w:p>
    <w:p w:rsidR="009664D4" w:rsidRPr="00A33C1A" w:rsidRDefault="009664D4" w:rsidP="000C1C07">
      <w:pPr>
        <w:spacing w:line="360" w:lineRule="auto"/>
        <w:rPr>
          <w:rFonts w:ascii="Times New Roman" w:hAnsi="Times New Roman" w:cs="Times New Roman"/>
          <w:color w:val="000000" w:themeColor="text1"/>
          <w:sz w:val="36"/>
          <w:szCs w:val="36"/>
        </w:rPr>
      </w:pPr>
      <w:r w:rsidRPr="00A33C1A">
        <w:rPr>
          <w:rFonts w:ascii="Times New Roman" w:hAnsi="Times New Roman" w:cs="Times New Roman"/>
          <w:b/>
          <w:color w:val="000000" w:themeColor="text1"/>
          <w:sz w:val="36"/>
          <w:szCs w:val="36"/>
        </w:rPr>
        <w:t xml:space="preserve">Table </w:t>
      </w:r>
      <w:r w:rsidR="00A33C1A" w:rsidRPr="00A33C1A">
        <w:rPr>
          <w:rFonts w:ascii="Times New Roman" w:hAnsi="Times New Roman" w:cs="Times New Roman"/>
          <w:b/>
          <w:color w:val="000000" w:themeColor="text1"/>
          <w:sz w:val="36"/>
          <w:szCs w:val="36"/>
        </w:rPr>
        <w:t>S</w:t>
      </w:r>
      <w:r w:rsidRPr="00A33C1A">
        <w:rPr>
          <w:rFonts w:ascii="Times New Roman" w:hAnsi="Times New Roman" w:cs="Times New Roman"/>
          <w:b/>
          <w:color w:val="000000" w:themeColor="text1"/>
          <w:sz w:val="36"/>
          <w:szCs w:val="36"/>
        </w:rPr>
        <w:t>5</w:t>
      </w:r>
      <w:r w:rsidRPr="00A33C1A">
        <w:rPr>
          <w:rFonts w:ascii="Times New Roman" w:hAnsi="Times New Roman" w:cs="Times New Roman"/>
          <w:color w:val="000000" w:themeColor="text1"/>
          <w:sz w:val="36"/>
          <w:szCs w:val="36"/>
        </w:rPr>
        <w:t xml:space="preserve"> The list of mutated genes that were enriched in PIKK-mutated patients by at least 2 fold.</w:t>
      </w:r>
    </w:p>
    <w:tbl>
      <w:tblPr>
        <w:tblW w:w="8995" w:type="dxa"/>
        <w:tblLayout w:type="fixed"/>
        <w:tblLook w:val="04A0" w:firstRow="1" w:lastRow="0" w:firstColumn="1" w:lastColumn="0" w:noHBand="0" w:noVBand="1"/>
      </w:tblPr>
      <w:tblGrid>
        <w:gridCol w:w="1075"/>
        <w:gridCol w:w="1080"/>
        <w:gridCol w:w="990"/>
        <w:gridCol w:w="1170"/>
        <w:gridCol w:w="1260"/>
        <w:gridCol w:w="1080"/>
        <w:gridCol w:w="990"/>
        <w:gridCol w:w="1350"/>
      </w:tblGrid>
      <w:tr w:rsidR="00A33C1A" w:rsidRPr="00A33C1A" w:rsidTr="00CE71A3">
        <w:trPr>
          <w:trHeight w:val="32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ABCB1</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LZTR1</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EPHA2</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PKHD1</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CDC73</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NRAS</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GNAQ</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SMO</w:t>
            </w:r>
          </w:p>
        </w:tc>
      </w:tr>
      <w:tr w:rsidR="00A33C1A" w:rsidRPr="00A33C1A" w:rsidTr="00CE71A3">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ADGRB3</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MAP2K4</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EPHA5</w:t>
            </w:r>
          </w:p>
        </w:tc>
        <w:tc>
          <w:tcPr>
            <w:tcW w:w="117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POLD1</w:t>
            </w:r>
          </w:p>
        </w:tc>
        <w:tc>
          <w:tcPr>
            <w:tcW w:w="126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CDH1</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NSD1</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GRIN2A</w:t>
            </w:r>
          </w:p>
        </w:tc>
        <w:tc>
          <w:tcPr>
            <w:tcW w:w="135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SOX2</w:t>
            </w:r>
          </w:p>
        </w:tc>
      </w:tr>
      <w:tr w:rsidR="00A33C1A" w:rsidRPr="00A33C1A" w:rsidTr="00CE71A3">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ALK</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MAP3K4</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ERCC2</w:t>
            </w:r>
          </w:p>
        </w:tc>
        <w:tc>
          <w:tcPr>
            <w:tcW w:w="117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POT1</w:t>
            </w:r>
          </w:p>
        </w:tc>
        <w:tc>
          <w:tcPr>
            <w:tcW w:w="126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CDK12</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NTRK1</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GRM8</w:t>
            </w:r>
          </w:p>
        </w:tc>
        <w:tc>
          <w:tcPr>
            <w:tcW w:w="135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SPRY4</w:t>
            </w:r>
          </w:p>
        </w:tc>
      </w:tr>
      <w:tr w:rsidR="00A33C1A" w:rsidRPr="00A33C1A" w:rsidTr="00CE71A3">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ASCL4</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MCL1</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ERCC5</w:t>
            </w:r>
          </w:p>
        </w:tc>
        <w:tc>
          <w:tcPr>
            <w:tcW w:w="117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PRF1</w:t>
            </w:r>
          </w:p>
        </w:tc>
        <w:tc>
          <w:tcPr>
            <w:tcW w:w="126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CDK8</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NTRK3</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GSTM5</w:t>
            </w:r>
          </w:p>
        </w:tc>
        <w:tc>
          <w:tcPr>
            <w:tcW w:w="135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SRC</w:t>
            </w:r>
          </w:p>
        </w:tc>
      </w:tr>
      <w:tr w:rsidR="00A33C1A" w:rsidRPr="00A33C1A" w:rsidTr="00CE71A3">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AURKB</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MDM2</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EXT1</w:t>
            </w:r>
          </w:p>
        </w:tc>
        <w:tc>
          <w:tcPr>
            <w:tcW w:w="117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PRKCI</w:t>
            </w:r>
          </w:p>
        </w:tc>
        <w:tc>
          <w:tcPr>
            <w:tcW w:w="126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CDKN1B</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PALB2</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HDAC2</w:t>
            </w:r>
          </w:p>
        </w:tc>
        <w:tc>
          <w:tcPr>
            <w:tcW w:w="135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STAG2</w:t>
            </w:r>
          </w:p>
        </w:tc>
      </w:tr>
      <w:tr w:rsidR="00A33C1A" w:rsidRPr="00A33C1A" w:rsidTr="00CE71A3">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AXIN2</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MECOM</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FANCA</w:t>
            </w:r>
          </w:p>
        </w:tc>
        <w:tc>
          <w:tcPr>
            <w:tcW w:w="117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PRSS1</w:t>
            </w:r>
          </w:p>
        </w:tc>
        <w:tc>
          <w:tcPr>
            <w:tcW w:w="126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CEBPA</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PALLD</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HNF1A</w:t>
            </w:r>
          </w:p>
        </w:tc>
        <w:tc>
          <w:tcPr>
            <w:tcW w:w="135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STK11</w:t>
            </w:r>
          </w:p>
        </w:tc>
      </w:tr>
      <w:tr w:rsidR="00A33C1A" w:rsidRPr="00A33C1A" w:rsidTr="00CE71A3">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B2M</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MEN1</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FANCC</w:t>
            </w:r>
          </w:p>
        </w:tc>
        <w:tc>
          <w:tcPr>
            <w:tcW w:w="117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PTCH1</w:t>
            </w:r>
          </w:p>
        </w:tc>
        <w:tc>
          <w:tcPr>
            <w:tcW w:w="126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CEP57</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PARK2</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IDH1</w:t>
            </w:r>
          </w:p>
        </w:tc>
        <w:tc>
          <w:tcPr>
            <w:tcW w:w="135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TERT</w:t>
            </w:r>
          </w:p>
        </w:tc>
      </w:tr>
      <w:tr w:rsidR="00A33C1A" w:rsidRPr="00A33C1A" w:rsidTr="00CE71A3">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BAP1</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MITF</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FANCE</w:t>
            </w:r>
          </w:p>
        </w:tc>
        <w:tc>
          <w:tcPr>
            <w:tcW w:w="117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PTPN11</w:t>
            </w:r>
          </w:p>
        </w:tc>
        <w:tc>
          <w:tcPr>
            <w:tcW w:w="126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CHD4</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PARP1</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IDH2</w:t>
            </w:r>
          </w:p>
        </w:tc>
        <w:tc>
          <w:tcPr>
            <w:tcW w:w="135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TGFBR2</w:t>
            </w:r>
          </w:p>
        </w:tc>
      </w:tr>
      <w:tr w:rsidR="00A33C1A" w:rsidRPr="00A33C1A" w:rsidTr="00CE71A3">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BARD1</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MLH1</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FANCF</w:t>
            </w:r>
          </w:p>
        </w:tc>
        <w:tc>
          <w:tcPr>
            <w:tcW w:w="117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RAD54L</w:t>
            </w:r>
          </w:p>
        </w:tc>
        <w:tc>
          <w:tcPr>
            <w:tcW w:w="126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CHD8</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PAX5</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IGF1R</w:t>
            </w:r>
          </w:p>
        </w:tc>
        <w:tc>
          <w:tcPr>
            <w:tcW w:w="135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TNFRSF11A</w:t>
            </w:r>
          </w:p>
        </w:tc>
      </w:tr>
      <w:tr w:rsidR="00A33C1A" w:rsidRPr="00A33C1A" w:rsidTr="00CE71A3">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BLM</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MLH3</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FANCG</w:t>
            </w:r>
          </w:p>
        </w:tc>
        <w:tc>
          <w:tcPr>
            <w:tcW w:w="117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RET</w:t>
            </w:r>
          </w:p>
        </w:tc>
        <w:tc>
          <w:tcPr>
            <w:tcW w:w="126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CHEK1</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PBRM1</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IGF2</w:t>
            </w:r>
          </w:p>
        </w:tc>
        <w:tc>
          <w:tcPr>
            <w:tcW w:w="135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TOP2A</w:t>
            </w:r>
          </w:p>
        </w:tc>
      </w:tr>
      <w:tr w:rsidR="00A33C1A" w:rsidRPr="00A33C1A" w:rsidTr="00CE71A3">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BMPR1A</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MPL</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FANCL</w:t>
            </w:r>
          </w:p>
        </w:tc>
        <w:tc>
          <w:tcPr>
            <w:tcW w:w="117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ROS1</w:t>
            </w:r>
          </w:p>
        </w:tc>
        <w:tc>
          <w:tcPr>
            <w:tcW w:w="126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CHEK2</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PDCD1</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INPP4B</w:t>
            </w:r>
          </w:p>
        </w:tc>
        <w:tc>
          <w:tcPr>
            <w:tcW w:w="135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TSC1</w:t>
            </w:r>
          </w:p>
        </w:tc>
      </w:tr>
      <w:tr w:rsidR="00A33C1A" w:rsidRPr="00A33C1A" w:rsidTr="00CE71A3">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BRCA1</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MSH2</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FBXW7</w:t>
            </w:r>
          </w:p>
        </w:tc>
        <w:tc>
          <w:tcPr>
            <w:tcW w:w="117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RPTOR</w:t>
            </w:r>
          </w:p>
        </w:tc>
        <w:tc>
          <w:tcPr>
            <w:tcW w:w="126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CRKL</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PDE11A</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KDM5A</w:t>
            </w:r>
          </w:p>
        </w:tc>
        <w:tc>
          <w:tcPr>
            <w:tcW w:w="135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TTF1</w:t>
            </w:r>
          </w:p>
        </w:tc>
      </w:tr>
      <w:tr w:rsidR="00A33C1A" w:rsidRPr="00A33C1A" w:rsidTr="00CE71A3">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BRCA2</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MSH6</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FGFR2</w:t>
            </w:r>
          </w:p>
        </w:tc>
        <w:tc>
          <w:tcPr>
            <w:tcW w:w="117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RRM1</w:t>
            </w:r>
          </w:p>
        </w:tc>
        <w:tc>
          <w:tcPr>
            <w:tcW w:w="126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CSF1R</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PDGFRA</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KDR</w:t>
            </w:r>
          </w:p>
        </w:tc>
        <w:tc>
          <w:tcPr>
            <w:tcW w:w="135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WAS</w:t>
            </w:r>
          </w:p>
        </w:tc>
      </w:tr>
      <w:tr w:rsidR="00A33C1A" w:rsidRPr="00A33C1A" w:rsidTr="00CE71A3">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BRD4</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MYC</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FGFR4</w:t>
            </w:r>
          </w:p>
        </w:tc>
        <w:tc>
          <w:tcPr>
            <w:tcW w:w="117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RUNX1</w:t>
            </w:r>
          </w:p>
        </w:tc>
        <w:tc>
          <w:tcPr>
            <w:tcW w:w="126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CYLD</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PDGFRB</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KLLN</w:t>
            </w:r>
          </w:p>
        </w:tc>
        <w:tc>
          <w:tcPr>
            <w:tcW w:w="135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WISP3</w:t>
            </w:r>
          </w:p>
        </w:tc>
      </w:tr>
      <w:tr w:rsidR="00A33C1A" w:rsidRPr="00A33C1A" w:rsidTr="00CE71A3">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BRIP1</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NBN</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FH</w:t>
            </w:r>
          </w:p>
        </w:tc>
        <w:tc>
          <w:tcPr>
            <w:tcW w:w="117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RUNX1T1</w:t>
            </w:r>
          </w:p>
        </w:tc>
        <w:tc>
          <w:tcPr>
            <w:tcW w:w="126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CYP2C19</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PDK1</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KMT2C</w:t>
            </w:r>
          </w:p>
        </w:tc>
        <w:tc>
          <w:tcPr>
            <w:tcW w:w="135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WRN</w:t>
            </w:r>
          </w:p>
        </w:tc>
      </w:tr>
      <w:tr w:rsidR="00A33C1A" w:rsidRPr="00A33C1A" w:rsidTr="00CE71A3">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BTK</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NF1</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FLT1</w:t>
            </w:r>
          </w:p>
        </w:tc>
        <w:tc>
          <w:tcPr>
            <w:tcW w:w="117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SETBP1</w:t>
            </w:r>
          </w:p>
        </w:tc>
        <w:tc>
          <w:tcPr>
            <w:tcW w:w="126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DDR2</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PIK3R2</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KRAS</w:t>
            </w:r>
          </w:p>
        </w:tc>
        <w:tc>
          <w:tcPr>
            <w:tcW w:w="135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WT1</w:t>
            </w:r>
          </w:p>
        </w:tc>
      </w:tr>
      <w:tr w:rsidR="00A33C1A" w:rsidRPr="00A33C1A" w:rsidTr="00CE71A3">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C11orf30</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NOTCH1</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GATA3</w:t>
            </w:r>
          </w:p>
        </w:tc>
        <w:tc>
          <w:tcPr>
            <w:tcW w:w="117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SGK1</w:t>
            </w:r>
          </w:p>
        </w:tc>
        <w:tc>
          <w:tcPr>
            <w:tcW w:w="126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DENND1A</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PKD1</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LHCGR</w:t>
            </w:r>
          </w:p>
        </w:tc>
        <w:tc>
          <w:tcPr>
            <w:tcW w:w="135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XPC</w:t>
            </w:r>
          </w:p>
        </w:tc>
      </w:tr>
      <w:tr w:rsidR="00CE71A3" w:rsidRPr="00A33C1A" w:rsidTr="00CE71A3">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CCNE1</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NPM1</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GATA4</w:t>
            </w:r>
          </w:p>
        </w:tc>
        <w:tc>
          <w:tcPr>
            <w:tcW w:w="117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SMAD3</w:t>
            </w:r>
          </w:p>
        </w:tc>
        <w:tc>
          <w:tcPr>
            <w:tcW w:w="126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EPAS1</w:t>
            </w:r>
          </w:p>
        </w:tc>
        <w:tc>
          <w:tcPr>
            <w:tcW w:w="108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PKD2</w:t>
            </w:r>
          </w:p>
        </w:tc>
        <w:tc>
          <w:tcPr>
            <w:tcW w:w="99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ZNF703</w:t>
            </w:r>
          </w:p>
        </w:tc>
        <w:tc>
          <w:tcPr>
            <w:tcW w:w="1350" w:type="dxa"/>
            <w:tcBorders>
              <w:top w:val="nil"/>
              <w:left w:val="nil"/>
              <w:bottom w:val="single" w:sz="4" w:space="0" w:color="auto"/>
              <w:right w:val="single" w:sz="4" w:space="0" w:color="auto"/>
            </w:tcBorders>
            <w:shd w:val="clear" w:color="auto" w:fill="auto"/>
            <w:noWrap/>
            <w:vAlign w:val="bottom"/>
            <w:hideMark/>
          </w:tcPr>
          <w:p w:rsidR="00CE71A3" w:rsidRPr="00A33C1A" w:rsidRDefault="00CE71A3" w:rsidP="00CE71A3">
            <w:pP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 </w:t>
            </w:r>
          </w:p>
        </w:tc>
      </w:tr>
    </w:tbl>
    <w:p w:rsidR="009664D4" w:rsidRPr="00A33C1A" w:rsidRDefault="009664D4" w:rsidP="009664D4">
      <w:pPr>
        <w:rPr>
          <w:rFonts w:ascii="Times New Roman" w:hAnsi="Times New Roman" w:cs="Times New Roman"/>
          <w:color w:val="000000" w:themeColor="text1"/>
          <w:sz w:val="36"/>
          <w:szCs w:val="36"/>
        </w:rPr>
      </w:pPr>
    </w:p>
    <w:p w:rsidR="00CE71A3" w:rsidRPr="00A33C1A" w:rsidRDefault="00CE71A3" w:rsidP="009664D4">
      <w:pPr>
        <w:rPr>
          <w:rFonts w:ascii="Times New Roman" w:hAnsi="Times New Roman" w:cs="Times New Roman"/>
          <w:color w:val="000000" w:themeColor="text1"/>
          <w:sz w:val="36"/>
          <w:szCs w:val="36"/>
        </w:rPr>
      </w:pPr>
    </w:p>
    <w:p w:rsidR="00CE71A3" w:rsidRPr="00A33C1A" w:rsidRDefault="00CE71A3" w:rsidP="009664D4">
      <w:pPr>
        <w:rPr>
          <w:rFonts w:ascii="Times New Roman" w:hAnsi="Times New Roman" w:cs="Times New Roman"/>
          <w:color w:val="000000" w:themeColor="text1"/>
          <w:sz w:val="36"/>
          <w:szCs w:val="36"/>
        </w:rPr>
      </w:pPr>
    </w:p>
    <w:p w:rsidR="00CE71A3" w:rsidRPr="00A33C1A" w:rsidRDefault="00CE71A3" w:rsidP="009664D4">
      <w:pPr>
        <w:rPr>
          <w:rFonts w:ascii="Times New Roman" w:hAnsi="Times New Roman" w:cs="Times New Roman"/>
          <w:color w:val="000000" w:themeColor="text1"/>
          <w:sz w:val="36"/>
          <w:szCs w:val="36"/>
        </w:rPr>
      </w:pPr>
    </w:p>
    <w:p w:rsidR="00CE71A3" w:rsidRPr="00A33C1A" w:rsidRDefault="00CE71A3" w:rsidP="009664D4">
      <w:pPr>
        <w:rPr>
          <w:rFonts w:ascii="Times New Roman" w:hAnsi="Times New Roman" w:cs="Times New Roman"/>
          <w:color w:val="000000" w:themeColor="text1"/>
          <w:sz w:val="36"/>
          <w:szCs w:val="36"/>
        </w:rPr>
      </w:pPr>
    </w:p>
    <w:p w:rsidR="00CE71A3" w:rsidRPr="00A33C1A" w:rsidRDefault="00CE71A3" w:rsidP="009664D4">
      <w:pPr>
        <w:rPr>
          <w:rFonts w:ascii="Times New Roman" w:hAnsi="Times New Roman" w:cs="Times New Roman"/>
          <w:color w:val="000000" w:themeColor="text1"/>
          <w:sz w:val="36"/>
          <w:szCs w:val="36"/>
        </w:rPr>
      </w:pPr>
    </w:p>
    <w:p w:rsidR="00CE71A3" w:rsidRPr="00A33C1A" w:rsidRDefault="00CE71A3" w:rsidP="009664D4">
      <w:pPr>
        <w:rPr>
          <w:rFonts w:ascii="Times New Roman" w:hAnsi="Times New Roman" w:cs="Times New Roman"/>
          <w:color w:val="000000" w:themeColor="text1"/>
          <w:sz w:val="36"/>
          <w:szCs w:val="36"/>
        </w:rPr>
      </w:pPr>
    </w:p>
    <w:p w:rsidR="00CE71A3" w:rsidRPr="00A33C1A" w:rsidRDefault="00CE71A3" w:rsidP="009664D4">
      <w:pPr>
        <w:rPr>
          <w:rFonts w:ascii="Times New Roman" w:hAnsi="Times New Roman" w:cs="Times New Roman"/>
          <w:color w:val="000000" w:themeColor="text1"/>
          <w:sz w:val="36"/>
          <w:szCs w:val="36"/>
        </w:rPr>
      </w:pPr>
    </w:p>
    <w:p w:rsidR="00CE71A3" w:rsidRPr="00A33C1A" w:rsidRDefault="006164FB" w:rsidP="009664D4">
      <w:pPr>
        <w:rPr>
          <w:rFonts w:ascii="Times New Roman" w:hAnsi="Times New Roman" w:cs="Times New Roman"/>
          <w:color w:val="000000" w:themeColor="text1"/>
          <w:sz w:val="36"/>
          <w:szCs w:val="36"/>
        </w:rPr>
      </w:pPr>
      <w:r w:rsidRPr="00A33C1A">
        <w:rPr>
          <w:rFonts w:ascii="Times New Roman" w:hAnsi="Times New Roman" w:cs="Times New Roman"/>
          <w:b/>
          <w:color w:val="000000" w:themeColor="text1"/>
          <w:sz w:val="36"/>
          <w:szCs w:val="36"/>
        </w:rPr>
        <w:t xml:space="preserve">Table </w:t>
      </w:r>
      <w:r w:rsidR="00A33C1A" w:rsidRPr="00A33C1A">
        <w:rPr>
          <w:rFonts w:ascii="Times New Roman" w:hAnsi="Times New Roman" w:cs="Times New Roman"/>
          <w:b/>
          <w:color w:val="000000" w:themeColor="text1"/>
          <w:sz w:val="36"/>
          <w:szCs w:val="36"/>
        </w:rPr>
        <w:t>S</w:t>
      </w:r>
      <w:r w:rsidRPr="00A33C1A">
        <w:rPr>
          <w:rFonts w:ascii="Times New Roman" w:hAnsi="Times New Roman" w:cs="Times New Roman"/>
          <w:b/>
          <w:color w:val="000000" w:themeColor="text1"/>
          <w:sz w:val="36"/>
          <w:szCs w:val="36"/>
        </w:rPr>
        <w:t>6</w:t>
      </w:r>
      <w:r w:rsidRPr="00A33C1A">
        <w:rPr>
          <w:rFonts w:ascii="Times New Roman" w:hAnsi="Times New Roman" w:cs="Times New Roman"/>
          <w:color w:val="000000" w:themeColor="text1"/>
          <w:sz w:val="36"/>
          <w:szCs w:val="36"/>
        </w:rPr>
        <w:t xml:space="preserve"> The list of mutated genes that were enriched in ATM or ATR by at least two folds.</w:t>
      </w:r>
    </w:p>
    <w:tbl>
      <w:tblPr>
        <w:tblW w:w="8628" w:type="dxa"/>
        <w:jc w:val="center"/>
        <w:tblLook w:val="04A0" w:firstRow="1" w:lastRow="0" w:firstColumn="1" w:lastColumn="0" w:noHBand="0" w:noVBand="1"/>
      </w:tblPr>
      <w:tblGrid>
        <w:gridCol w:w="1975"/>
        <w:gridCol w:w="6653"/>
      </w:tblGrid>
      <w:tr w:rsidR="00A33C1A" w:rsidRPr="00A33C1A" w:rsidTr="00AD65DA">
        <w:trPr>
          <w:trHeight w:val="320"/>
          <w:jc w:val="center"/>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65DA" w:rsidRPr="00A33C1A" w:rsidRDefault="00AD65DA" w:rsidP="00AD65DA">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Category</w:t>
            </w:r>
          </w:p>
        </w:tc>
        <w:tc>
          <w:tcPr>
            <w:tcW w:w="6653" w:type="dxa"/>
            <w:tcBorders>
              <w:top w:val="single" w:sz="4" w:space="0" w:color="auto"/>
              <w:left w:val="nil"/>
              <w:bottom w:val="single" w:sz="4" w:space="0" w:color="auto"/>
              <w:right w:val="single" w:sz="4" w:space="0" w:color="auto"/>
            </w:tcBorders>
            <w:shd w:val="clear" w:color="auto" w:fill="auto"/>
            <w:noWrap/>
            <w:vAlign w:val="center"/>
            <w:hideMark/>
          </w:tcPr>
          <w:p w:rsidR="00AD65DA" w:rsidRPr="00A33C1A" w:rsidRDefault="00AD65DA" w:rsidP="00AD65DA">
            <w:pPr>
              <w:jc w:val="center"/>
              <w:rPr>
                <w:rFonts w:ascii="Times New Roman" w:eastAsia="Times New Roman" w:hAnsi="Times New Roman" w:cs="Times New Roman"/>
                <w:b/>
                <w:bCs/>
                <w:color w:val="000000" w:themeColor="text1"/>
                <w:sz w:val="36"/>
                <w:szCs w:val="36"/>
              </w:rPr>
            </w:pPr>
            <w:r w:rsidRPr="00A33C1A">
              <w:rPr>
                <w:rFonts w:ascii="Times New Roman" w:eastAsia="Times New Roman" w:hAnsi="Times New Roman" w:cs="Times New Roman"/>
                <w:b/>
                <w:bCs/>
                <w:color w:val="000000" w:themeColor="text1"/>
                <w:sz w:val="36"/>
                <w:szCs w:val="36"/>
              </w:rPr>
              <w:t>Gene list</w:t>
            </w:r>
          </w:p>
        </w:tc>
      </w:tr>
      <w:tr w:rsidR="00A33C1A" w:rsidRPr="00A33C1A" w:rsidTr="00AD65DA">
        <w:trPr>
          <w:trHeight w:val="320"/>
          <w:jc w:val="center"/>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rsidR="00AD65DA" w:rsidRPr="00A33C1A" w:rsidRDefault="00AD65DA" w:rsidP="00AD65D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Enriched in ATM than ATR group</w:t>
            </w:r>
          </w:p>
        </w:tc>
        <w:tc>
          <w:tcPr>
            <w:tcW w:w="6653" w:type="dxa"/>
            <w:tcBorders>
              <w:top w:val="nil"/>
              <w:left w:val="nil"/>
              <w:bottom w:val="single" w:sz="4" w:space="0" w:color="auto"/>
              <w:right w:val="single" w:sz="4" w:space="0" w:color="auto"/>
            </w:tcBorders>
            <w:shd w:val="clear" w:color="auto" w:fill="auto"/>
            <w:noWrap/>
            <w:vAlign w:val="center"/>
            <w:hideMark/>
          </w:tcPr>
          <w:p w:rsidR="00AD65DA" w:rsidRPr="00A33C1A" w:rsidRDefault="00AD65DA" w:rsidP="00AD65D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AURKB  B2M  BUB1B  CDC73  CDKN1C  CHEK2  CYP2C19  DENND1A  DLL3  EPHA5  ERBB4  FANCD2  HDAC9  JAK3  KDR  KMT2C  KRAS  MCL1  MECOM  MET  MLH3  MYC  NRG1  PTPN13  RAD54L  RPTOR  RRM1  SMAD4  STAT3  STK11  UGT1A1</w:t>
            </w:r>
          </w:p>
        </w:tc>
      </w:tr>
      <w:tr w:rsidR="00AD65DA" w:rsidRPr="00A33C1A" w:rsidTr="00AD65DA">
        <w:trPr>
          <w:trHeight w:val="320"/>
          <w:jc w:val="center"/>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rsidR="00AD65DA" w:rsidRPr="00A33C1A" w:rsidRDefault="00AD65DA" w:rsidP="00AD65D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Enriched in ATR than ATM group</w:t>
            </w:r>
          </w:p>
        </w:tc>
        <w:tc>
          <w:tcPr>
            <w:tcW w:w="6653" w:type="dxa"/>
            <w:tcBorders>
              <w:top w:val="nil"/>
              <w:left w:val="nil"/>
              <w:bottom w:val="single" w:sz="4" w:space="0" w:color="auto"/>
              <w:right w:val="single" w:sz="4" w:space="0" w:color="auto"/>
            </w:tcBorders>
            <w:shd w:val="clear" w:color="auto" w:fill="auto"/>
            <w:noWrap/>
            <w:vAlign w:val="center"/>
            <w:hideMark/>
          </w:tcPr>
          <w:p w:rsidR="00AD65DA" w:rsidRPr="00A33C1A" w:rsidRDefault="00AD65DA" w:rsidP="00AD65DA">
            <w:pPr>
              <w:jc w:val="center"/>
              <w:rPr>
                <w:rFonts w:ascii="Times New Roman" w:eastAsia="Times New Roman" w:hAnsi="Times New Roman" w:cs="Times New Roman"/>
                <w:color w:val="000000" w:themeColor="text1"/>
                <w:sz w:val="36"/>
                <w:szCs w:val="36"/>
              </w:rPr>
            </w:pPr>
            <w:r w:rsidRPr="00A33C1A">
              <w:rPr>
                <w:rFonts w:ascii="Times New Roman" w:eastAsia="Times New Roman" w:hAnsi="Times New Roman" w:cs="Times New Roman"/>
                <w:color w:val="000000" w:themeColor="text1"/>
                <w:sz w:val="36"/>
                <w:szCs w:val="36"/>
              </w:rPr>
              <w:t>AMER1  AXIN2  BRAF  BRCA1  BRCA2  BRIP1  BTK  C11orf30  CBL  CBLB  CDH1  CDK8  CEP57  CHD4  CHD8  CREBBP  CSF1R  CYLD  DAXX  DDR2  DICER1  DNMT3A  ERBB2  ERCC2  FANCG  FBXW7  FGFR1  FGFR2  FLT3  GATA6  GNAQ  GNAS  HGF  IGF2  JAK1  KDM5A  KMT2B  MED12  MLH1  MSH2  MTOR  NFE2L2  NKX2-1  NOTCH1  NOTCH2  NPM1  NRAS  NSD1  NTRK1  PALB2  PALLD  PAX5  PDCD1  PDK1  PGR  PKD1  PKD2  PLCB4  PMS1  POLD1  POLE  POLH  PRKCI  PRSS1  PTCH1  RET  SETD2  SMAD3  SMARCA4  SPRY4  SRC  TEK  TET2  TGFBR2  WISP3  WT1  AKT1  BLM  BMPR1A  CTCF  DPYD  ERCC3  FANCE  FOXA1  IDH2  KLLN  PARP1  RAD51D  RARA  RUNX1  STAG2  TAP2</w:t>
            </w:r>
          </w:p>
        </w:tc>
      </w:tr>
    </w:tbl>
    <w:p w:rsidR="006164FB" w:rsidRPr="00A33C1A" w:rsidRDefault="006164FB" w:rsidP="009664D4">
      <w:pPr>
        <w:rPr>
          <w:rFonts w:ascii="Times New Roman" w:hAnsi="Times New Roman" w:cs="Times New Roman"/>
          <w:color w:val="000000" w:themeColor="text1"/>
          <w:sz w:val="36"/>
          <w:szCs w:val="36"/>
        </w:rPr>
      </w:pPr>
    </w:p>
    <w:bookmarkEnd w:id="0"/>
    <w:p w:rsidR="002E5394" w:rsidRPr="00A33C1A" w:rsidRDefault="002E5394" w:rsidP="009664D4">
      <w:pPr>
        <w:rPr>
          <w:rFonts w:ascii="Times New Roman" w:hAnsi="Times New Roman" w:cs="Times New Roman"/>
          <w:color w:val="000000" w:themeColor="text1"/>
          <w:sz w:val="36"/>
          <w:szCs w:val="36"/>
        </w:rPr>
      </w:pPr>
    </w:p>
    <w:sectPr w:rsidR="002E5394" w:rsidRPr="00A33C1A" w:rsidSect="00A33C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860"/>
    <w:rsid w:val="00004860"/>
    <w:rsid w:val="0002478E"/>
    <w:rsid w:val="00030374"/>
    <w:rsid w:val="000321EA"/>
    <w:rsid w:val="00060D81"/>
    <w:rsid w:val="0006539D"/>
    <w:rsid w:val="000A6931"/>
    <w:rsid w:val="000B2AA3"/>
    <w:rsid w:val="000B53D7"/>
    <w:rsid w:val="000B620D"/>
    <w:rsid w:val="000C1C07"/>
    <w:rsid w:val="000D0175"/>
    <w:rsid w:val="001104D3"/>
    <w:rsid w:val="00145937"/>
    <w:rsid w:val="00146739"/>
    <w:rsid w:val="00147129"/>
    <w:rsid w:val="001476BE"/>
    <w:rsid w:val="001667EB"/>
    <w:rsid w:val="00176D2F"/>
    <w:rsid w:val="001B2236"/>
    <w:rsid w:val="001D0576"/>
    <w:rsid w:val="001F0D59"/>
    <w:rsid w:val="001F613D"/>
    <w:rsid w:val="00207403"/>
    <w:rsid w:val="00216D25"/>
    <w:rsid w:val="00224FA4"/>
    <w:rsid w:val="00254C0B"/>
    <w:rsid w:val="00262BB9"/>
    <w:rsid w:val="002642FA"/>
    <w:rsid w:val="00270EB0"/>
    <w:rsid w:val="002711F7"/>
    <w:rsid w:val="00295CBA"/>
    <w:rsid w:val="002A69A4"/>
    <w:rsid w:val="002C3AB7"/>
    <w:rsid w:val="002E5394"/>
    <w:rsid w:val="002E7346"/>
    <w:rsid w:val="003158B1"/>
    <w:rsid w:val="00346498"/>
    <w:rsid w:val="00352C1C"/>
    <w:rsid w:val="00354CB0"/>
    <w:rsid w:val="0036559D"/>
    <w:rsid w:val="0039629F"/>
    <w:rsid w:val="003C2755"/>
    <w:rsid w:val="003D1462"/>
    <w:rsid w:val="003D7332"/>
    <w:rsid w:val="003E6780"/>
    <w:rsid w:val="00402E80"/>
    <w:rsid w:val="00403B89"/>
    <w:rsid w:val="00404EEC"/>
    <w:rsid w:val="00420018"/>
    <w:rsid w:val="00423F74"/>
    <w:rsid w:val="004250AF"/>
    <w:rsid w:val="00425264"/>
    <w:rsid w:val="00440892"/>
    <w:rsid w:val="004416E3"/>
    <w:rsid w:val="00463A04"/>
    <w:rsid w:val="00477894"/>
    <w:rsid w:val="00481704"/>
    <w:rsid w:val="004855D1"/>
    <w:rsid w:val="00494278"/>
    <w:rsid w:val="004972FF"/>
    <w:rsid w:val="004A4B53"/>
    <w:rsid w:val="004A50C9"/>
    <w:rsid w:val="004B2866"/>
    <w:rsid w:val="004B629F"/>
    <w:rsid w:val="004C67FD"/>
    <w:rsid w:val="004C6D6C"/>
    <w:rsid w:val="004D0C76"/>
    <w:rsid w:val="004E29D3"/>
    <w:rsid w:val="004E492A"/>
    <w:rsid w:val="004F2BFC"/>
    <w:rsid w:val="00500328"/>
    <w:rsid w:val="0052690E"/>
    <w:rsid w:val="00532C72"/>
    <w:rsid w:val="005352CF"/>
    <w:rsid w:val="00535AFB"/>
    <w:rsid w:val="00536684"/>
    <w:rsid w:val="00543552"/>
    <w:rsid w:val="00554CFA"/>
    <w:rsid w:val="00563D14"/>
    <w:rsid w:val="005963EB"/>
    <w:rsid w:val="0059640C"/>
    <w:rsid w:val="005A4269"/>
    <w:rsid w:val="005A5954"/>
    <w:rsid w:val="005A6435"/>
    <w:rsid w:val="005A6F80"/>
    <w:rsid w:val="005C0864"/>
    <w:rsid w:val="005C6483"/>
    <w:rsid w:val="005D46E8"/>
    <w:rsid w:val="005E0644"/>
    <w:rsid w:val="005E5119"/>
    <w:rsid w:val="006026E7"/>
    <w:rsid w:val="006164FB"/>
    <w:rsid w:val="00620676"/>
    <w:rsid w:val="0062275A"/>
    <w:rsid w:val="00627BDD"/>
    <w:rsid w:val="006347B5"/>
    <w:rsid w:val="006360B4"/>
    <w:rsid w:val="00643958"/>
    <w:rsid w:val="006502C2"/>
    <w:rsid w:val="006562AA"/>
    <w:rsid w:val="00657231"/>
    <w:rsid w:val="00670BFB"/>
    <w:rsid w:val="00671E0A"/>
    <w:rsid w:val="006802FF"/>
    <w:rsid w:val="0068065B"/>
    <w:rsid w:val="00681883"/>
    <w:rsid w:val="0069358E"/>
    <w:rsid w:val="006B2AE7"/>
    <w:rsid w:val="006C444D"/>
    <w:rsid w:val="006D3DD2"/>
    <w:rsid w:val="00742DC6"/>
    <w:rsid w:val="007463B6"/>
    <w:rsid w:val="0074746E"/>
    <w:rsid w:val="00753D68"/>
    <w:rsid w:val="00763EF6"/>
    <w:rsid w:val="0078342B"/>
    <w:rsid w:val="00795839"/>
    <w:rsid w:val="007A17A2"/>
    <w:rsid w:val="007A7C9F"/>
    <w:rsid w:val="007B0D75"/>
    <w:rsid w:val="007C4552"/>
    <w:rsid w:val="007C4878"/>
    <w:rsid w:val="007D36CD"/>
    <w:rsid w:val="007D6DAD"/>
    <w:rsid w:val="007F0424"/>
    <w:rsid w:val="00805791"/>
    <w:rsid w:val="00827F56"/>
    <w:rsid w:val="00840CBB"/>
    <w:rsid w:val="00845B8B"/>
    <w:rsid w:val="0084679D"/>
    <w:rsid w:val="0087399B"/>
    <w:rsid w:val="00876D94"/>
    <w:rsid w:val="008771AA"/>
    <w:rsid w:val="008933CD"/>
    <w:rsid w:val="008A7955"/>
    <w:rsid w:val="008A7DC1"/>
    <w:rsid w:val="008B0F0D"/>
    <w:rsid w:val="008D63EA"/>
    <w:rsid w:val="008E3B79"/>
    <w:rsid w:val="008F4AD5"/>
    <w:rsid w:val="00900231"/>
    <w:rsid w:val="00913948"/>
    <w:rsid w:val="00916410"/>
    <w:rsid w:val="00925C82"/>
    <w:rsid w:val="009664D4"/>
    <w:rsid w:val="00967A9E"/>
    <w:rsid w:val="00975A4D"/>
    <w:rsid w:val="0098229F"/>
    <w:rsid w:val="00986F48"/>
    <w:rsid w:val="00992065"/>
    <w:rsid w:val="009A2A86"/>
    <w:rsid w:val="009A5C72"/>
    <w:rsid w:val="009A681A"/>
    <w:rsid w:val="009B1801"/>
    <w:rsid w:val="00A205BB"/>
    <w:rsid w:val="00A33C1A"/>
    <w:rsid w:val="00A4717C"/>
    <w:rsid w:val="00A57DEA"/>
    <w:rsid w:val="00A76EE3"/>
    <w:rsid w:val="00A817BA"/>
    <w:rsid w:val="00A8560C"/>
    <w:rsid w:val="00A87F0C"/>
    <w:rsid w:val="00A9246A"/>
    <w:rsid w:val="00A95EC4"/>
    <w:rsid w:val="00AB6C88"/>
    <w:rsid w:val="00AB7F98"/>
    <w:rsid w:val="00AC655E"/>
    <w:rsid w:val="00AD416A"/>
    <w:rsid w:val="00AD65DA"/>
    <w:rsid w:val="00AE0C6C"/>
    <w:rsid w:val="00AE10B0"/>
    <w:rsid w:val="00AE2212"/>
    <w:rsid w:val="00AF74CB"/>
    <w:rsid w:val="00B01D4C"/>
    <w:rsid w:val="00B031B0"/>
    <w:rsid w:val="00B065DC"/>
    <w:rsid w:val="00B17C63"/>
    <w:rsid w:val="00B202E0"/>
    <w:rsid w:val="00B475D6"/>
    <w:rsid w:val="00B47B43"/>
    <w:rsid w:val="00B94AEE"/>
    <w:rsid w:val="00B96317"/>
    <w:rsid w:val="00BB3355"/>
    <w:rsid w:val="00BD1BAC"/>
    <w:rsid w:val="00BF4AEA"/>
    <w:rsid w:val="00C0293C"/>
    <w:rsid w:val="00C203E7"/>
    <w:rsid w:val="00C330C0"/>
    <w:rsid w:val="00C43239"/>
    <w:rsid w:val="00C52017"/>
    <w:rsid w:val="00C539E6"/>
    <w:rsid w:val="00CA0533"/>
    <w:rsid w:val="00CA681D"/>
    <w:rsid w:val="00CC2F11"/>
    <w:rsid w:val="00CD5C75"/>
    <w:rsid w:val="00CE71A3"/>
    <w:rsid w:val="00CF0194"/>
    <w:rsid w:val="00CF1294"/>
    <w:rsid w:val="00D04DA1"/>
    <w:rsid w:val="00D161C0"/>
    <w:rsid w:val="00D233F8"/>
    <w:rsid w:val="00D41B6B"/>
    <w:rsid w:val="00D522F5"/>
    <w:rsid w:val="00D53E82"/>
    <w:rsid w:val="00D55947"/>
    <w:rsid w:val="00D6384D"/>
    <w:rsid w:val="00D63D41"/>
    <w:rsid w:val="00D8499B"/>
    <w:rsid w:val="00D9742A"/>
    <w:rsid w:val="00DA43D8"/>
    <w:rsid w:val="00DA49A7"/>
    <w:rsid w:val="00DB21A0"/>
    <w:rsid w:val="00DB7669"/>
    <w:rsid w:val="00DC50F7"/>
    <w:rsid w:val="00DD2179"/>
    <w:rsid w:val="00DE6C64"/>
    <w:rsid w:val="00E03901"/>
    <w:rsid w:val="00E07BEB"/>
    <w:rsid w:val="00E74BBF"/>
    <w:rsid w:val="00E8175A"/>
    <w:rsid w:val="00EA1FA1"/>
    <w:rsid w:val="00EC0E99"/>
    <w:rsid w:val="00EC5102"/>
    <w:rsid w:val="00ED031B"/>
    <w:rsid w:val="00F10468"/>
    <w:rsid w:val="00F16C5F"/>
    <w:rsid w:val="00F24BE9"/>
    <w:rsid w:val="00F3365C"/>
    <w:rsid w:val="00F35AE8"/>
    <w:rsid w:val="00F450EC"/>
    <w:rsid w:val="00F67E49"/>
    <w:rsid w:val="00F7188E"/>
    <w:rsid w:val="00F72C21"/>
    <w:rsid w:val="00F86EDB"/>
    <w:rsid w:val="00FA43E0"/>
    <w:rsid w:val="00FB464A"/>
    <w:rsid w:val="00FC1244"/>
    <w:rsid w:val="00FC6F34"/>
    <w:rsid w:val="00FE6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C2D65C-73A9-0648-B525-2358874D8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33679">
      <w:bodyDiv w:val="1"/>
      <w:marLeft w:val="0"/>
      <w:marRight w:val="0"/>
      <w:marTop w:val="0"/>
      <w:marBottom w:val="0"/>
      <w:divBdr>
        <w:top w:val="none" w:sz="0" w:space="0" w:color="auto"/>
        <w:left w:val="none" w:sz="0" w:space="0" w:color="auto"/>
        <w:bottom w:val="none" w:sz="0" w:space="0" w:color="auto"/>
        <w:right w:val="none" w:sz="0" w:space="0" w:color="auto"/>
      </w:divBdr>
    </w:div>
    <w:div w:id="119805220">
      <w:bodyDiv w:val="1"/>
      <w:marLeft w:val="0"/>
      <w:marRight w:val="0"/>
      <w:marTop w:val="0"/>
      <w:marBottom w:val="0"/>
      <w:divBdr>
        <w:top w:val="none" w:sz="0" w:space="0" w:color="auto"/>
        <w:left w:val="none" w:sz="0" w:space="0" w:color="auto"/>
        <w:bottom w:val="none" w:sz="0" w:space="0" w:color="auto"/>
        <w:right w:val="none" w:sz="0" w:space="0" w:color="auto"/>
      </w:divBdr>
    </w:div>
    <w:div w:id="340594179">
      <w:bodyDiv w:val="1"/>
      <w:marLeft w:val="0"/>
      <w:marRight w:val="0"/>
      <w:marTop w:val="0"/>
      <w:marBottom w:val="0"/>
      <w:divBdr>
        <w:top w:val="none" w:sz="0" w:space="0" w:color="auto"/>
        <w:left w:val="none" w:sz="0" w:space="0" w:color="auto"/>
        <w:bottom w:val="none" w:sz="0" w:space="0" w:color="auto"/>
        <w:right w:val="none" w:sz="0" w:space="0" w:color="auto"/>
      </w:divBdr>
    </w:div>
    <w:div w:id="389034145">
      <w:bodyDiv w:val="1"/>
      <w:marLeft w:val="0"/>
      <w:marRight w:val="0"/>
      <w:marTop w:val="0"/>
      <w:marBottom w:val="0"/>
      <w:divBdr>
        <w:top w:val="none" w:sz="0" w:space="0" w:color="auto"/>
        <w:left w:val="none" w:sz="0" w:space="0" w:color="auto"/>
        <w:bottom w:val="none" w:sz="0" w:space="0" w:color="auto"/>
        <w:right w:val="none" w:sz="0" w:space="0" w:color="auto"/>
      </w:divBdr>
    </w:div>
    <w:div w:id="934022558">
      <w:bodyDiv w:val="1"/>
      <w:marLeft w:val="0"/>
      <w:marRight w:val="0"/>
      <w:marTop w:val="0"/>
      <w:marBottom w:val="0"/>
      <w:divBdr>
        <w:top w:val="none" w:sz="0" w:space="0" w:color="auto"/>
        <w:left w:val="none" w:sz="0" w:space="0" w:color="auto"/>
        <w:bottom w:val="none" w:sz="0" w:space="0" w:color="auto"/>
        <w:right w:val="none" w:sz="0" w:space="0" w:color="auto"/>
      </w:divBdr>
    </w:div>
    <w:div w:id="190814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2635</Words>
  <Characters>15022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Yang</dc:creator>
  <cp:keywords/>
  <dc:description/>
  <cp:lastModifiedBy>Nithya sudalai</cp:lastModifiedBy>
  <cp:revision>26</cp:revision>
  <dcterms:created xsi:type="dcterms:W3CDTF">2023-02-14T16:43:00Z</dcterms:created>
  <dcterms:modified xsi:type="dcterms:W3CDTF">2023-10-17T14:38:00Z</dcterms:modified>
</cp:coreProperties>
</file>