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C6CEF" w14:textId="68E43BE5" w:rsidR="002E51B5" w:rsidRPr="00DE5FD2" w:rsidRDefault="00DE5FD2" w:rsidP="00DE5FD2">
      <w:pPr>
        <w:pStyle w:val="BodyText-12pt"/>
        <w:jc w:val="center"/>
        <w:rPr>
          <w:b/>
          <w:bCs/>
        </w:rPr>
      </w:pPr>
      <w:bookmarkStart w:id="0" w:name="_Hlk89881457"/>
      <w:r w:rsidRPr="00DE5FD2">
        <w:rPr>
          <w:b/>
          <w:bCs/>
        </w:rPr>
        <w:t>PROTOCOL</w:t>
      </w:r>
    </w:p>
    <w:p w14:paraId="03ED4DFE" w14:textId="786F7296" w:rsidR="00BC09BE" w:rsidRPr="00C820E8" w:rsidRDefault="00BC09BE" w:rsidP="002A4717">
      <w:pPr>
        <w:pStyle w:val="BodyText-12pt"/>
        <w:jc w:val="center"/>
      </w:pPr>
    </w:p>
    <w:p w14:paraId="71048ECB" w14:textId="1443C5B8" w:rsidR="00EF76B6" w:rsidRPr="00EF76B6" w:rsidRDefault="00EF76B6" w:rsidP="00EF76B6">
      <w:pPr>
        <w:spacing w:line="360" w:lineRule="auto"/>
        <w:contextualSpacing/>
        <w:rPr>
          <w:sz w:val="22"/>
        </w:rPr>
      </w:pPr>
      <w:r w:rsidRPr="00EF76B6">
        <w:rPr>
          <w:rStyle w:val="fontstyle01"/>
          <w:rFonts w:ascii="Times New Roman" w:hint="default"/>
          <w:sz w:val="22"/>
          <w:szCs w:val="22"/>
        </w:rPr>
        <w:t xml:space="preserve">A Phase I Study of a Novel </w:t>
      </w:r>
      <w:r w:rsidR="00F31A05">
        <w:rPr>
          <w:rStyle w:val="fontstyle01"/>
          <w:rFonts w:ascii="Times New Roman" w:hint="default"/>
          <w:sz w:val="22"/>
          <w:szCs w:val="22"/>
        </w:rPr>
        <w:t>Fully human</w:t>
      </w:r>
      <w:r w:rsidRPr="00EF76B6">
        <w:rPr>
          <w:rStyle w:val="fontstyle01"/>
          <w:rFonts w:ascii="Times New Roman" w:hint="default"/>
          <w:sz w:val="22"/>
          <w:szCs w:val="22"/>
        </w:rPr>
        <w:t xml:space="preserve"> BCMA-Targeting CAR (CT103A) Combined with </w:t>
      </w:r>
      <w:r w:rsidR="00F31A05">
        <w:rPr>
          <w:rStyle w:val="fontstyle01"/>
          <w:rFonts w:ascii="Times New Roman" w:hint="default"/>
          <w:sz w:val="22"/>
          <w:szCs w:val="22"/>
        </w:rPr>
        <w:t>Selinexor</w:t>
      </w:r>
      <w:r w:rsidRPr="00EF76B6">
        <w:rPr>
          <w:rStyle w:val="fontstyle01"/>
          <w:rFonts w:ascii="Times New Roman" w:hint="default"/>
          <w:sz w:val="22"/>
          <w:szCs w:val="22"/>
        </w:rPr>
        <w:t xml:space="preserve"> in Patients with Relapsed/Refractory Extramedullary Multiple Myeloma</w:t>
      </w:r>
    </w:p>
    <w:p w14:paraId="56E6FB21" w14:textId="77777777" w:rsidR="00EF76B6" w:rsidRDefault="00EF76B6" w:rsidP="00EF7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rPr>
          <w:sz w:val="22"/>
        </w:rPr>
      </w:pPr>
    </w:p>
    <w:p w14:paraId="763D04B7" w14:textId="77777777" w:rsidR="00EF76B6" w:rsidRDefault="00EF76B6" w:rsidP="00EF7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rPr>
          <w:sz w:val="22"/>
        </w:rPr>
      </w:pPr>
    </w:p>
    <w:p w14:paraId="1DEAD79E" w14:textId="77777777" w:rsidR="00EF76B6" w:rsidRDefault="00EF76B6" w:rsidP="00EF7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rPr>
          <w:sz w:val="22"/>
        </w:rPr>
      </w:pPr>
      <w:r>
        <w:rPr>
          <w:sz w:val="22"/>
        </w:rPr>
        <w:t>Protocol Number: XL-LCYJ-0003</w:t>
      </w:r>
    </w:p>
    <w:p w14:paraId="555E9B0B" w14:textId="77777777" w:rsidR="00EF76B6" w:rsidRDefault="00EF76B6" w:rsidP="00EF7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rPr>
          <w:sz w:val="22"/>
        </w:rPr>
      </w:pPr>
      <w:r>
        <w:rPr>
          <w:sz w:val="22"/>
        </w:rPr>
        <w:t xml:space="preserve">Protocol Version: </w:t>
      </w:r>
      <w:r>
        <w:rPr>
          <w:rFonts w:eastAsia="TimesNewRomanPSMT"/>
          <w:sz w:val="22"/>
        </w:rPr>
        <w:t>Version 1.0</w:t>
      </w:r>
    </w:p>
    <w:p w14:paraId="296EDC40" w14:textId="77777777" w:rsidR="00EF76B6" w:rsidRDefault="00EF76B6" w:rsidP="00EF7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rPr>
          <w:sz w:val="22"/>
        </w:rPr>
      </w:pPr>
      <w:r>
        <w:rPr>
          <w:sz w:val="22"/>
        </w:rPr>
        <w:t>Version Date: 2021-11-9</w:t>
      </w:r>
    </w:p>
    <w:p w14:paraId="1D044244" w14:textId="77777777" w:rsidR="00EF76B6" w:rsidRDefault="00EF76B6" w:rsidP="00EF7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rPr>
          <w:color w:val="000000"/>
          <w:sz w:val="22"/>
        </w:rPr>
      </w:pPr>
    </w:p>
    <w:p w14:paraId="476EFB53" w14:textId="77777777" w:rsidR="00EF76B6" w:rsidRPr="00414CEB" w:rsidRDefault="00EF76B6" w:rsidP="00EF7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rPr>
          <w:color w:val="000000"/>
          <w:sz w:val="22"/>
        </w:rPr>
      </w:pPr>
      <w:r w:rsidRPr="00414CEB">
        <w:rPr>
          <w:color w:val="000000"/>
          <w:sz w:val="22"/>
        </w:rPr>
        <w:t>Principle Investigator: Dr. Chunrui Li</w:t>
      </w:r>
    </w:p>
    <w:p w14:paraId="07AC8A14" w14:textId="77777777" w:rsidR="00EF76B6" w:rsidRPr="00414CEB" w:rsidRDefault="00EF76B6" w:rsidP="00EF7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rPr>
          <w:color w:val="000000"/>
          <w:sz w:val="22"/>
        </w:rPr>
      </w:pPr>
      <w:r w:rsidRPr="00414CEB">
        <w:rPr>
          <w:color w:val="000000"/>
          <w:sz w:val="22"/>
        </w:rPr>
        <w:t>Study Site: Tongji Hospital of Tongji medical school, Huazhong University of Science and Technology</w:t>
      </w:r>
    </w:p>
    <w:p w14:paraId="0139DC77" w14:textId="77777777" w:rsidR="00EF76B6" w:rsidRPr="00414CEB" w:rsidRDefault="00EF76B6" w:rsidP="00EF7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rPr>
          <w:color w:val="000000"/>
          <w:sz w:val="22"/>
        </w:rPr>
      </w:pPr>
    </w:p>
    <w:p w14:paraId="23CB6160" w14:textId="77777777" w:rsidR="00EF76B6" w:rsidRPr="00414CEB" w:rsidRDefault="00EF76B6" w:rsidP="00EF7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rPr>
          <w:color w:val="000000"/>
          <w:sz w:val="22"/>
        </w:rPr>
      </w:pPr>
      <w:r w:rsidRPr="00414CEB">
        <w:rPr>
          <w:color w:val="000000"/>
          <w:sz w:val="22"/>
        </w:rPr>
        <w:t>CAR-T Producer: Nanjing</w:t>
      </w:r>
      <w:r w:rsidRPr="00414CEB">
        <w:rPr>
          <w:sz w:val="22"/>
        </w:rPr>
        <w:t xml:space="preserve"> IASO Biotherapeutics Ltd.</w:t>
      </w:r>
    </w:p>
    <w:p w14:paraId="4C6376CB" w14:textId="340006DC" w:rsidR="00EF76B6" w:rsidRDefault="00EF76B6" w:rsidP="00EF7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rPr>
          <w:color w:val="000000"/>
          <w:sz w:val="22"/>
        </w:rPr>
      </w:pPr>
      <w:r w:rsidRPr="00414CEB">
        <w:rPr>
          <w:color w:val="000000"/>
          <w:sz w:val="22"/>
        </w:rPr>
        <w:t>Study Collaborator: Nanjing</w:t>
      </w:r>
      <w:r w:rsidRPr="00414CEB">
        <w:rPr>
          <w:sz w:val="22"/>
        </w:rPr>
        <w:t xml:space="preserve"> IASO Biotherapeutics Ltd. and </w:t>
      </w:r>
      <w:bookmarkStart w:id="1" w:name="_Hlk111838305"/>
      <w:proofErr w:type="spellStart"/>
      <w:r w:rsidRPr="00414CEB">
        <w:rPr>
          <w:sz w:val="22"/>
        </w:rPr>
        <w:t>Antengene</w:t>
      </w:r>
      <w:proofErr w:type="spellEnd"/>
      <w:r w:rsidRPr="00414CEB">
        <w:rPr>
          <w:sz w:val="22"/>
        </w:rPr>
        <w:t xml:space="preserve"> Corporation</w:t>
      </w:r>
      <w:bookmarkEnd w:id="1"/>
      <w:r w:rsidRPr="00414CEB">
        <w:rPr>
          <w:sz w:val="22"/>
        </w:rPr>
        <w:t xml:space="preserve"> </w:t>
      </w:r>
      <w:r w:rsidRPr="00414CEB">
        <w:rPr>
          <w:rFonts w:hint="eastAsia"/>
          <w:sz w:val="22"/>
        </w:rPr>
        <w:t>Ltd.</w:t>
      </w:r>
    </w:p>
    <w:p w14:paraId="0B652C32" w14:textId="04E67BC0" w:rsidR="00281917" w:rsidRPr="00C820E8" w:rsidRDefault="00281917" w:rsidP="00737CEE">
      <w:pPr>
        <w:pStyle w:val="BodyText-10pt"/>
      </w:pPr>
      <w:r w:rsidRPr="00C820E8">
        <w:br w:type="page"/>
      </w:r>
    </w:p>
    <w:p w14:paraId="5026D070" w14:textId="4FFA7750" w:rsidR="00BC09BE" w:rsidRDefault="00DE5FD2" w:rsidP="00F23CA1">
      <w:pPr>
        <w:pStyle w:val="1"/>
        <w:numPr>
          <w:ilvl w:val="0"/>
          <w:numId w:val="0"/>
        </w:numPr>
        <w:ind w:left="432" w:hanging="432"/>
      </w:pPr>
      <w:bookmarkStart w:id="2" w:name="_Toc112064811"/>
      <w:r>
        <w:lastRenderedPageBreak/>
        <w:t xml:space="preserve">PROTOCOL </w:t>
      </w:r>
      <w:r w:rsidR="00270C9D" w:rsidRPr="00C820E8">
        <w:t>SYNOPSIS</w:t>
      </w:r>
      <w:bookmarkEnd w:id="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3"/>
        <w:gridCol w:w="6597"/>
      </w:tblGrid>
      <w:tr w:rsidR="001A3661" w:rsidRPr="008E34DC" w14:paraId="6A397726" w14:textId="77777777" w:rsidTr="0058514D">
        <w:tc>
          <w:tcPr>
            <w:tcW w:w="2753" w:type="dxa"/>
          </w:tcPr>
          <w:p w14:paraId="39B7B03C" w14:textId="344B16E3" w:rsidR="001A3661" w:rsidRPr="008E34DC" w:rsidRDefault="001A3661" w:rsidP="001A3661">
            <w:pPr>
              <w:rPr>
                <w:b/>
              </w:rPr>
            </w:pPr>
            <w:r w:rsidRPr="008E34DC">
              <w:rPr>
                <w:b/>
              </w:rPr>
              <w:t>Title of Study</w:t>
            </w:r>
          </w:p>
        </w:tc>
        <w:tc>
          <w:tcPr>
            <w:tcW w:w="6597" w:type="dxa"/>
          </w:tcPr>
          <w:p w14:paraId="56F0AD69" w14:textId="6FB1A35A" w:rsidR="001A3661" w:rsidRPr="008E34DC" w:rsidRDefault="00EF76B6" w:rsidP="001A3661">
            <w:r w:rsidRPr="008E34DC">
              <w:rPr>
                <w:rStyle w:val="fontstyle01"/>
                <w:rFonts w:ascii="Times New Roman" w:hint="default"/>
                <w:sz w:val="24"/>
                <w:szCs w:val="24"/>
              </w:rPr>
              <w:t xml:space="preserve">A Phase I Study of a Novel </w:t>
            </w:r>
            <w:r w:rsidR="00F31A05">
              <w:rPr>
                <w:rStyle w:val="fontstyle01"/>
                <w:rFonts w:ascii="Times New Roman" w:hint="default"/>
                <w:sz w:val="24"/>
                <w:szCs w:val="24"/>
              </w:rPr>
              <w:t>Fully human</w:t>
            </w:r>
            <w:r w:rsidRPr="008E34DC">
              <w:rPr>
                <w:rStyle w:val="fontstyle01"/>
                <w:rFonts w:ascii="Times New Roman" w:hint="default"/>
                <w:sz w:val="24"/>
                <w:szCs w:val="24"/>
              </w:rPr>
              <w:t xml:space="preserve"> BCMA-Targeting CAR (CT103A) Combined with </w:t>
            </w:r>
            <w:r w:rsidR="00F31A05">
              <w:rPr>
                <w:rStyle w:val="fontstyle01"/>
                <w:rFonts w:ascii="Times New Roman" w:hint="default"/>
                <w:sz w:val="24"/>
                <w:szCs w:val="24"/>
              </w:rPr>
              <w:t>Selinexor</w:t>
            </w:r>
            <w:r w:rsidRPr="008E34DC">
              <w:rPr>
                <w:rStyle w:val="fontstyle01"/>
                <w:rFonts w:ascii="Times New Roman" w:hint="default"/>
                <w:sz w:val="24"/>
                <w:szCs w:val="24"/>
              </w:rPr>
              <w:t xml:space="preserve"> in Patients with </w:t>
            </w:r>
            <w:r w:rsidR="00C158E2">
              <w:rPr>
                <w:rStyle w:val="fontstyle01"/>
                <w:rFonts w:ascii="Times New Roman"/>
                <w:sz w:val="24"/>
                <w:szCs w:val="24"/>
                <w:lang w:eastAsia="zh-CN"/>
              </w:rPr>
              <w:t>r</w:t>
            </w:r>
            <w:r w:rsidRPr="008E34DC">
              <w:rPr>
                <w:rStyle w:val="fontstyle01"/>
                <w:rFonts w:ascii="Times New Roman" w:hint="default"/>
                <w:sz w:val="24"/>
                <w:szCs w:val="24"/>
              </w:rPr>
              <w:t>elapsed/Refractory Extramedullary Multiple Myeloma</w:t>
            </w:r>
          </w:p>
        </w:tc>
      </w:tr>
      <w:tr w:rsidR="001A3661" w:rsidRPr="008E34DC" w14:paraId="79336C9F" w14:textId="77777777" w:rsidTr="0058514D">
        <w:tc>
          <w:tcPr>
            <w:tcW w:w="2753" w:type="dxa"/>
          </w:tcPr>
          <w:p w14:paraId="399CDD1F" w14:textId="3CC7CEEB" w:rsidR="001A3661" w:rsidRPr="008E34DC" w:rsidRDefault="00C043AF" w:rsidP="001A3661">
            <w:pPr>
              <w:rPr>
                <w:b/>
              </w:rPr>
            </w:pPr>
            <w:r w:rsidRPr="008E34DC">
              <w:rPr>
                <w:b/>
              </w:rPr>
              <w:t>Phase</w:t>
            </w:r>
          </w:p>
        </w:tc>
        <w:tc>
          <w:tcPr>
            <w:tcW w:w="6597" w:type="dxa"/>
          </w:tcPr>
          <w:p w14:paraId="51DBD2D1" w14:textId="2EB3AC66" w:rsidR="001A3661" w:rsidRPr="008E34DC" w:rsidRDefault="00EF76B6" w:rsidP="001A3661">
            <w:r w:rsidRPr="008E34DC">
              <w:t>Phase I</w:t>
            </w:r>
          </w:p>
        </w:tc>
      </w:tr>
      <w:tr w:rsidR="00037DF0" w:rsidRPr="008E34DC" w14:paraId="165D6FB2" w14:textId="77777777" w:rsidTr="0058514D">
        <w:tc>
          <w:tcPr>
            <w:tcW w:w="2753" w:type="dxa"/>
          </w:tcPr>
          <w:p w14:paraId="44DB01A7" w14:textId="47D9ADB8" w:rsidR="00037DF0" w:rsidRPr="008E34DC" w:rsidRDefault="004D5DA5" w:rsidP="00037DF0">
            <w:pPr>
              <w:rPr>
                <w:b/>
                <w:highlight w:val="yellow"/>
              </w:rPr>
            </w:pPr>
            <w:r w:rsidRPr="00166C45">
              <w:rPr>
                <w:b/>
              </w:rPr>
              <w:t>Methodology</w:t>
            </w:r>
          </w:p>
        </w:tc>
        <w:tc>
          <w:tcPr>
            <w:tcW w:w="6597" w:type="dxa"/>
          </w:tcPr>
          <w:p w14:paraId="20DB411B" w14:textId="4187C3E1" w:rsidR="00037DF0" w:rsidRPr="008E34DC" w:rsidRDefault="00EF76B6" w:rsidP="00037DF0">
            <w:pPr>
              <w:pStyle w:val="BodyText-10pt"/>
              <w:keepLines/>
              <w:widowControl w:val="0"/>
              <w:contextualSpacing/>
              <w:rPr>
                <w:rFonts w:cs="Times New Roman"/>
                <w:sz w:val="24"/>
                <w:szCs w:val="24"/>
              </w:rPr>
            </w:pPr>
            <w:r w:rsidRPr="008E34DC">
              <w:rPr>
                <w:rFonts w:cs="Times New Roman"/>
                <w:sz w:val="24"/>
                <w:szCs w:val="24"/>
              </w:rPr>
              <w:t>This is a</w:t>
            </w:r>
            <w:r w:rsidR="000A0CD0">
              <w:rPr>
                <w:rFonts w:cs="Times New Roman"/>
                <w:sz w:val="24"/>
                <w:szCs w:val="24"/>
              </w:rPr>
              <w:t>n</w:t>
            </w:r>
            <w:r w:rsidRPr="008E34DC">
              <w:rPr>
                <w:rFonts w:cs="Times New Roman"/>
                <w:sz w:val="24"/>
                <w:szCs w:val="24"/>
              </w:rPr>
              <w:t xml:space="preserve"> open-able and </w:t>
            </w:r>
            <w:r w:rsidRPr="004322E6">
              <w:rPr>
                <w:rFonts w:cs="Times New Roman"/>
                <w:sz w:val="24"/>
                <w:szCs w:val="24"/>
              </w:rPr>
              <w:t>single-center</w:t>
            </w:r>
            <w:r w:rsidRPr="008E34DC">
              <w:rPr>
                <w:rFonts w:cs="Times New Roman"/>
                <w:sz w:val="24"/>
                <w:szCs w:val="24"/>
              </w:rPr>
              <w:t xml:space="preserve"> study to evaluate the efficacy and safety of CT103A in combination with different doses of </w:t>
            </w:r>
            <w:r w:rsidR="00F31A05">
              <w:rPr>
                <w:rFonts w:cs="Times New Roman"/>
                <w:sz w:val="24"/>
                <w:szCs w:val="24"/>
              </w:rPr>
              <w:t>Selinexor</w:t>
            </w:r>
            <w:r w:rsidRPr="008E34DC">
              <w:rPr>
                <w:rFonts w:cs="Times New Roman"/>
                <w:sz w:val="24"/>
                <w:szCs w:val="24"/>
              </w:rPr>
              <w:t xml:space="preserve"> in patients with relapsed/refractory extramedullary multiple myeloma (EMM), as well as the pharmacokinetics (PK) and pharmacodynamics (PD) of </w:t>
            </w:r>
            <w:r w:rsidR="00F31A05">
              <w:rPr>
                <w:rFonts w:cs="Times New Roman"/>
                <w:sz w:val="24"/>
                <w:szCs w:val="24"/>
              </w:rPr>
              <w:t>Selinexor</w:t>
            </w:r>
            <w:r w:rsidRPr="008E34DC">
              <w:rPr>
                <w:rFonts w:cs="Times New Roman"/>
                <w:sz w:val="24"/>
                <w:szCs w:val="24"/>
              </w:rPr>
              <w:t xml:space="preserve"> and CT103A.</w:t>
            </w:r>
          </w:p>
        </w:tc>
      </w:tr>
      <w:tr w:rsidR="00037DF0" w:rsidRPr="008E34DC" w14:paraId="0879358C" w14:textId="77777777" w:rsidTr="0058514D">
        <w:tc>
          <w:tcPr>
            <w:tcW w:w="2753" w:type="dxa"/>
          </w:tcPr>
          <w:p w14:paraId="1992ACB3" w14:textId="020F4D80" w:rsidR="00037DF0" w:rsidRPr="008E34DC" w:rsidRDefault="00C043AF" w:rsidP="00037DF0">
            <w:pPr>
              <w:rPr>
                <w:b/>
                <w:highlight w:val="yellow"/>
              </w:rPr>
            </w:pPr>
            <w:r w:rsidRPr="008E34DC">
              <w:rPr>
                <w:b/>
              </w:rPr>
              <w:t>Study Duration</w:t>
            </w:r>
          </w:p>
        </w:tc>
        <w:tc>
          <w:tcPr>
            <w:tcW w:w="6597" w:type="dxa"/>
          </w:tcPr>
          <w:p w14:paraId="2AF808E0" w14:textId="031B8364" w:rsidR="00037DF0" w:rsidRPr="008E34DC" w:rsidRDefault="00C043AF" w:rsidP="00037DF0">
            <w:pPr>
              <w:spacing w:line="240" w:lineRule="auto"/>
              <w:rPr>
                <w:i/>
              </w:rPr>
            </w:pPr>
            <w:r w:rsidRPr="008E34DC">
              <w:t xml:space="preserve">The main follow-up period is </w:t>
            </w:r>
            <w:r w:rsidR="00EA599D">
              <w:t>one</w:t>
            </w:r>
            <w:r w:rsidRPr="008E34DC">
              <w:t xml:space="preserve"> year after cell infusion.</w:t>
            </w:r>
          </w:p>
        </w:tc>
      </w:tr>
      <w:tr w:rsidR="00C043AF" w:rsidRPr="008E34DC" w14:paraId="1E408512" w14:textId="77777777" w:rsidTr="0058514D">
        <w:tc>
          <w:tcPr>
            <w:tcW w:w="2753" w:type="dxa"/>
          </w:tcPr>
          <w:p w14:paraId="7C161996" w14:textId="41C57580" w:rsidR="00C043AF" w:rsidRPr="008E34DC" w:rsidRDefault="00C043AF" w:rsidP="00C043AF">
            <w:pPr>
              <w:rPr>
                <w:b/>
              </w:rPr>
            </w:pPr>
            <w:r w:rsidRPr="008E34DC">
              <w:rPr>
                <w:b/>
              </w:rPr>
              <w:t>Study Site</w:t>
            </w:r>
          </w:p>
        </w:tc>
        <w:tc>
          <w:tcPr>
            <w:tcW w:w="6597" w:type="dxa"/>
          </w:tcPr>
          <w:p w14:paraId="76E0844D" w14:textId="371F2400" w:rsidR="00C043AF" w:rsidRPr="008E34DC" w:rsidRDefault="00C043AF" w:rsidP="00C043AF">
            <w:pPr>
              <w:spacing w:line="240" w:lineRule="auto"/>
            </w:pPr>
            <w:r w:rsidRPr="008E34DC">
              <w:t>Tongji Hospital, Tongji Medical College, Huazhong University of Science &amp; Technology</w:t>
            </w:r>
          </w:p>
        </w:tc>
      </w:tr>
      <w:tr w:rsidR="00C043AF" w:rsidRPr="008E34DC" w14:paraId="169DF2F7" w14:textId="77777777" w:rsidTr="0058514D">
        <w:tc>
          <w:tcPr>
            <w:tcW w:w="2753" w:type="dxa"/>
          </w:tcPr>
          <w:p w14:paraId="2D07E9DE" w14:textId="7790A750" w:rsidR="00C043AF" w:rsidRPr="008E34DC" w:rsidRDefault="00C043AF" w:rsidP="00C043AF">
            <w:pPr>
              <w:pStyle w:val="TableParagraph"/>
              <w:keepLines/>
              <w:spacing w:after="120" w:line="276" w:lineRule="auto"/>
              <w:ind w:right="389"/>
              <w:rPr>
                <w:b/>
                <w:bCs/>
                <w:sz w:val="24"/>
                <w:szCs w:val="24"/>
              </w:rPr>
            </w:pPr>
            <w:r w:rsidRPr="008E34DC">
              <w:rPr>
                <w:b/>
                <w:bCs/>
                <w:sz w:val="24"/>
                <w:szCs w:val="24"/>
              </w:rPr>
              <w:t>Objectives</w:t>
            </w:r>
          </w:p>
        </w:tc>
        <w:tc>
          <w:tcPr>
            <w:tcW w:w="6597" w:type="dxa"/>
          </w:tcPr>
          <w:p w14:paraId="7DBACDE6" w14:textId="3C2BF405" w:rsidR="00C043AF" w:rsidRPr="008E34DC" w:rsidRDefault="00C043AF" w:rsidP="00C043AF">
            <w:pPr>
              <w:pStyle w:val="TableParagraph"/>
              <w:keepLines/>
              <w:spacing w:after="120" w:line="276" w:lineRule="auto"/>
              <w:ind w:right="389"/>
              <w:rPr>
                <w:b/>
                <w:bCs/>
                <w:sz w:val="24"/>
                <w:szCs w:val="24"/>
              </w:rPr>
            </w:pPr>
            <w:r w:rsidRPr="008E34DC">
              <w:rPr>
                <w:b/>
                <w:bCs/>
                <w:sz w:val="24"/>
                <w:szCs w:val="24"/>
              </w:rPr>
              <w:t>Primary objective</w:t>
            </w:r>
          </w:p>
          <w:p w14:paraId="7CB023E1" w14:textId="0D0F2AE0" w:rsidR="00C043AF" w:rsidRPr="008E34DC" w:rsidRDefault="00C043AF" w:rsidP="00C043AF">
            <w:pPr>
              <w:pStyle w:val="TableParagraph"/>
              <w:keepLines/>
              <w:numPr>
                <w:ilvl w:val="0"/>
                <w:numId w:val="16"/>
              </w:numPr>
              <w:spacing w:after="120" w:line="276" w:lineRule="auto"/>
              <w:ind w:left="360" w:right="389"/>
              <w:rPr>
                <w:sz w:val="24"/>
                <w:szCs w:val="24"/>
              </w:rPr>
            </w:pPr>
            <w:r w:rsidRPr="008E34DC">
              <w:rPr>
                <w:sz w:val="24"/>
                <w:szCs w:val="24"/>
              </w:rPr>
              <w:t xml:space="preserve">To evaluate the efficacy of CT103A infusion in combination with </w:t>
            </w:r>
            <w:r w:rsidR="00F31A05">
              <w:rPr>
                <w:sz w:val="24"/>
                <w:szCs w:val="24"/>
              </w:rPr>
              <w:t>Selinexor</w:t>
            </w:r>
            <w:r w:rsidRPr="008E34DC">
              <w:rPr>
                <w:sz w:val="24"/>
                <w:szCs w:val="24"/>
              </w:rPr>
              <w:t xml:space="preserve"> in patients with relapsed/refractory EMM</w:t>
            </w:r>
          </w:p>
          <w:p w14:paraId="1C1E8854" w14:textId="7D3D49F1" w:rsidR="00C043AF" w:rsidRPr="008E34DC" w:rsidRDefault="00C043AF" w:rsidP="00C043AF">
            <w:pPr>
              <w:pStyle w:val="TableParagraph"/>
              <w:keepLines/>
              <w:spacing w:after="120" w:line="276" w:lineRule="auto"/>
              <w:ind w:right="389"/>
              <w:rPr>
                <w:b/>
                <w:bCs/>
                <w:sz w:val="24"/>
                <w:szCs w:val="24"/>
              </w:rPr>
            </w:pPr>
            <w:r w:rsidRPr="008E34DC">
              <w:rPr>
                <w:b/>
                <w:bCs/>
                <w:sz w:val="24"/>
                <w:szCs w:val="24"/>
              </w:rPr>
              <w:t>Secondary objectives</w:t>
            </w:r>
          </w:p>
          <w:p w14:paraId="3FF00AFD" w14:textId="246B0EEF" w:rsidR="00C043AF" w:rsidRPr="008E34DC" w:rsidRDefault="00C043AF" w:rsidP="00C043AF">
            <w:pPr>
              <w:pStyle w:val="TableParagraph"/>
              <w:keepLines/>
              <w:numPr>
                <w:ilvl w:val="0"/>
                <w:numId w:val="16"/>
              </w:numPr>
              <w:spacing w:after="120" w:line="276" w:lineRule="auto"/>
              <w:ind w:left="360" w:right="389"/>
              <w:rPr>
                <w:sz w:val="24"/>
                <w:szCs w:val="24"/>
              </w:rPr>
            </w:pPr>
            <w:r w:rsidRPr="008E34DC">
              <w:rPr>
                <w:sz w:val="24"/>
                <w:szCs w:val="24"/>
              </w:rPr>
              <w:t xml:space="preserve">To evaluate the safety of CT103A infusion in combination with </w:t>
            </w:r>
            <w:r w:rsidR="00F31A05">
              <w:rPr>
                <w:sz w:val="24"/>
                <w:szCs w:val="24"/>
              </w:rPr>
              <w:t>Selinexor</w:t>
            </w:r>
            <w:r w:rsidRPr="008E34DC">
              <w:rPr>
                <w:sz w:val="24"/>
                <w:szCs w:val="24"/>
              </w:rPr>
              <w:t xml:space="preserve"> in patients with relapsed/refractory EMM</w:t>
            </w:r>
          </w:p>
          <w:p w14:paraId="76E25590" w14:textId="44A5D461" w:rsidR="00C043AF" w:rsidRPr="008E34DC" w:rsidRDefault="00C043AF" w:rsidP="00C043AF">
            <w:pPr>
              <w:pStyle w:val="TableParagraph"/>
              <w:keepLines/>
              <w:numPr>
                <w:ilvl w:val="0"/>
                <w:numId w:val="16"/>
              </w:numPr>
              <w:spacing w:after="120" w:line="276" w:lineRule="auto"/>
              <w:ind w:left="360" w:right="389"/>
              <w:rPr>
                <w:sz w:val="24"/>
                <w:szCs w:val="24"/>
              </w:rPr>
            </w:pPr>
            <w:r w:rsidRPr="008E34DC">
              <w:rPr>
                <w:sz w:val="24"/>
                <w:szCs w:val="24"/>
              </w:rPr>
              <w:t xml:space="preserve">To evaluate PK characteristics after </w:t>
            </w:r>
            <w:r w:rsidR="00F31A05">
              <w:rPr>
                <w:sz w:val="24"/>
                <w:szCs w:val="24"/>
              </w:rPr>
              <w:t xml:space="preserve">administrations of </w:t>
            </w:r>
            <w:r w:rsidRPr="008E34DC">
              <w:rPr>
                <w:sz w:val="24"/>
                <w:szCs w:val="24"/>
              </w:rPr>
              <w:t xml:space="preserve">CT103A </w:t>
            </w:r>
            <w:r w:rsidR="00F31A05">
              <w:rPr>
                <w:sz w:val="24"/>
                <w:szCs w:val="24"/>
              </w:rPr>
              <w:t>and Selinexor</w:t>
            </w:r>
          </w:p>
          <w:p w14:paraId="63F9645B" w14:textId="242E6AAE" w:rsidR="00C043AF" w:rsidRPr="008E34DC" w:rsidRDefault="00C043AF" w:rsidP="00C043AF">
            <w:pPr>
              <w:pStyle w:val="TableParagraph"/>
              <w:keepLines/>
              <w:numPr>
                <w:ilvl w:val="0"/>
                <w:numId w:val="16"/>
              </w:numPr>
              <w:spacing w:after="120" w:line="276" w:lineRule="auto"/>
              <w:ind w:left="360" w:right="389"/>
              <w:rPr>
                <w:sz w:val="24"/>
                <w:szCs w:val="24"/>
              </w:rPr>
            </w:pPr>
            <w:r w:rsidRPr="008E34DC">
              <w:rPr>
                <w:sz w:val="24"/>
                <w:szCs w:val="24"/>
              </w:rPr>
              <w:t xml:space="preserve">To evaluate PD characteristics after </w:t>
            </w:r>
            <w:r w:rsidR="00F31A05">
              <w:rPr>
                <w:sz w:val="24"/>
                <w:szCs w:val="24"/>
              </w:rPr>
              <w:t xml:space="preserve">administrations of </w:t>
            </w:r>
            <w:r w:rsidR="00F31A05" w:rsidRPr="008E34DC">
              <w:rPr>
                <w:sz w:val="24"/>
                <w:szCs w:val="24"/>
              </w:rPr>
              <w:t xml:space="preserve">CT103A </w:t>
            </w:r>
            <w:r w:rsidR="00F31A05">
              <w:rPr>
                <w:sz w:val="24"/>
                <w:szCs w:val="24"/>
              </w:rPr>
              <w:t>and Selinexor</w:t>
            </w:r>
          </w:p>
          <w:p w14:paraId="718BD863" w14:textId="3D3677D3" w:rsidR="00C043AF" w:rsidRPr="008E34DC" w:rsidRDefault="00C043AF" w:rsidP="00C043AF">
            <w:pPr>
              <w:pStyle w:val="TableParagraph"/>
              <w:keepLines/>
              <w:numPr>
                <w:ilvl w:val="0"/>
                <w:numId w:val="16"/>
              </w:numPr>
              <w:spacing w:after="120" w:line="276" w:lineRule="auto"/>
              <w:ind w:left="360" w:right="389"/>
              <w:rPr>
                <w:sz w:val="24"/>
                <w:szCs w:val="24"/>
              </w:rPr>
            </w:pPr>
            <w:r w:rsidRPr="008E34DC">
              <w:rPr>
                <w:sz w:val="24"/>
                <w:szCs w:val="24"/>
              </w:rPr>
              <w:t xml:space="preserve">To evaluate patients’ quality of life after </w:t>
            </w:r>
            <w:r w:rsidR="00F31A05">
              <w:rPr>
                <w:sz w:val="24"/>
                <w:szCs w:val="24"/>
              </w:rPr>
              <w:t xml:space="preserve">administrations of </w:t>
            </w:r>
            <w:r w:rsidR="00F31A05" w:rsidRPr="008E34DC">
              <w:rPr>
                <w:sz w:val="24"/>
                <w:szCs w:val="24"/>
              </w:rPr>
              <w:t xml:space="preserve">CT103A </w:t>
            </w:r>
            <w:r w:rsidR="00F31A05">
              <w:rPr>
                <w:sz w:val="24"/>
                <w:szCs w:val="24"/>
              </w:rPr>
              <w:t>and Selinexor</w:t>
            </w:r>
          </w:p>
          <w:p w14:paraId="1CF94C4C" w14:textId="082213F9" w:rsidR="00C043AF" w:rsidRPr="008E34DC" w:rsidRDefault="00C043AF" w:rsidP="00C043AF">
            <w:pPr>
              <w:pStyle w:val="TableParagraph"/>
              <w:keepLines/>
              <w:numPr>
                <w:ilvl w:val="0"/>
                <w:numId w:val="16"/>
              </w:numPr>
              <w:spacing w:after="120" w:line="276" w:lineRule="auto"/>
              <w:ind w:left="360" w:right="389"/>
              <w:rPr>
                <w:sz w:val="24"/>
                <w:szCs w:val="24"/>
              </w:rPr>
            </w:pPr>
            <w:r w:rsidRPr="008E34DC">
              <w:rPr>
                <w:sz w:val="24"/>
                <w:szCs w:val="24"/>
              </w:rPr>
              <w:t xml:space="preserve">To evaluate the immune status of patients after </w:t>
            </w:r>
            <w:r w:rsidR="00F31A05">
              <w:rPr>
                <w:sz w:val="24"/>
                <w:szCs w:val="24"/>
              </w:rPr>
              <w:t xml:space="preserve">administrations of </w:t>
            </w:r>
            <w:r w:rsidR="00F31A05" w:rsidRPr="008E34DC">
              <w:rPr>
                <w:sz w:val="24"/>
                <w:szCs w:val="24"/>
              </w:rPr>
              <w:t xml:space="preserve">CT103A </w:t>
            </w:r>
            <w:r w:rsidR="00F31A05">
              <w:rPr>
                <w:sz w:val="24"/>
                <w:szCs w:val="24"/>
              </w:rPr>
              <w:t>and Selinexor</w:t>
            </w:r>
          </w:p>
          <w:p w14:paraId="478C1987" w14:textId="619A3CDF" w:rsidR="00C043AF" w:rsidRPr="008E34DC" w:rsidRDefault="00C043AF" w:rsidP="00C043AF">
            <w:pPr>
              <w:pStyle w:val="TableParagraph"/>
              <w:keepLines/>
              <w:spacing w:after="120" w:line="276" w:lineRule="auto"/>
              <w:ind w:right="389"/>
              <w:rPr>
                <w:b/>
                <w:bCs/>
                <w:sz w:val="24"/>
                <w:szCs w:val="24"/>
              </w:rPr>
            </w:pPr>
            <w:r w:rsidRPr="008E34DC">
              <w:rPr>
                <w:b/>
                <w:bCs/>
                <w:sz w:val="24"/>
                <w:szCs w:val="24"/>
              </w:rPr>
              <w:t>Exploratory objective</w:t>
            </w:r>
          </w:p>
          <w:p w14:paraId="1E615245" w14:textId="06291045" w:rsidR="00C043AF" w:rsidRPr="008E34DC" w:rsidRDefault="00C043AF" w:rsidP="00C043AF">
            <w:pPr>
              <w:pStyle w:val="TableParagraph"/>
              <w:keepLines/>
              <w:numPr>
                <w:ilvl w:val="0"/>
                <w:numId w:val="16"/>
              </w:numPr>
              <w:spacing w:after="120" w:line="276" w:lineRule="auto"/>
              <w:ind w:left="360" w:right="389"/>
              <w:rPr>
                <w:sz w:val="24"/>
                <w:szCs w:val="24"/>
              </w:rPr>
            </w:pPr>
            <w:r w:rsidRPr="008E34DC">
              <w:rPr>
                <w:sz w:val="24"/>
                <w:szCs w:val="24"/>
              </w:rPr>
              <w:t xml:space="preserve">To evaluate the </w:t>
            </w:r>
            <w:r w:rsidR="00F31A05">
              <w:rPr>
                <w:sz w:val="24"/>
                <w:szCs w:val="24"/>
              </w:rPr>
              <w:t>impact</w:t>
            </w:r>
            <w:r w:rsidR="00F31A05" w:rsidRPr="008E34DC">
              <w:rPr>
                <w:sz w:val="24"/>
                <w:szCs w:val="24"/>
              </w:rPr>
              <w:t xml:space="preserve"> </w:t>
            </w:r>
            <w:r w:rsidRPr="008E34DC">
              <w:rPr>
                <w:sz w:val="24"/>
                <w:szCs w:val="24"/>
              </w:rPr>
              <w:t xml:space="preserve">of </w:t>
            </w:r>
            <w:r w:rsidR="00F31A05">
              <w:rPr>
                <w:sz w:val="24"/>
                <w:szCs w:val="24"/>
              </w:rPr>
              <w:t>Selinexor</w:t>
            </w:r>
            <w:r w:rsidRPr="008E34DC">
              <w:rPr>
                <w:sz w:val="24"/>
                <w:szCs w:val="24"/>
              </w:rPr>
              <w:t xml:space="preserve"> on CT103A</w:t>
            </w:r>
          </w:p>
        </w:tc>
      </w:tr>
      <w:tr w:rsidR="00C043AF" w:rsidRPr="008E34DC" w14:paraId="682B4D14" w14:textId="77777777" w:rsidTr="0058514D">
        <w:tc>
          <w:tcPr>
            <w:tcW w:w="2753" w:type="dxa"/>
          </w:tcPr>
          <w:p w14:paraId="447EB5A9" w14:textId="677AFCA3" w:rsidR="00C043AF" w:rsidRPr="008E34DC" w:rsidRDefault="00C043AF" w:rsidP="00C043AF">
            <w:pPr>
              <w:rPr>
                <w:b/>
              </w:rPr>
            </w:pPr>
            <w:r w:rsidRPr="008E34DC">
              <w:rPr>
                <w:b/>
              </w:rPr>
              <w:lastRenderedPageBreak/>
              <w:t>Investigational Drug, Dose, and Groups</w:t>
            </w:r>
          </w:p>
        </w:tc>
        <w:tc>
          <w:tcPr>
            <w:tcW w:w="6597" w:type="dxa"/>
          </w:tcPr>
          <w:p w14:paraId="16CE0940" w14:textId="7061CF27" w:rsidR="00C043AF" w:rsidRPr="008E34DC" w:rsidRDefault="00C043AF" w:rsidP="00C043AF">
            <w:pPr>
              <w:autoSpaceDE w:val="0"/>
              <w:autoSpaceDN w:val="0"/>
              <w:adjustRightInd w:val="0"/>
              <w:spacing w:line="360" w:lineRule="auto"/>
            </w:pPr>
            <w:r w:rsidRPr="008E34DC">
              <w:t xml:space="preserve">CT103A: a novel </w:t>
            </w:r>
            <w:r w:rsidR="00F31A05">
              <w:t>fully human</w:t>
            </w:r>
            <w:r w:rsidRPr="008E34DC">
              <w:t xml:space="preserve"> </w:t>
            </w:r>
            <w:r w:rsidR="00F31A05">
              <w:t>anti-</w:t>
            </w:r>
            <w:r w:rsidR="00C84ED4" w:rsidRPr="00C84ED4">
              <w:t xml:space="preserve">B cell maturation antigen </w:t>
            </w:r>
            <w:r w:rsidR="00C84ED4">
              <w:t>(</w:t>
            </w:r>
            <w:r w:rsidRPr="008E34DC">
              <w:t>BCMA</w:t>
            </w:r>
            <w:r w:rsidR="00C84ED4">
              <w:t>)</w:t>
            </w:r>
            <w:r w:rsidRPr="008E34DC">
              <w:t>-CAR autologous T cells injection</w:t>
            </w:r>
          </w:p>
          <w:p w14:paraId="7945903F" w14:textId="518C4468" w:rsidR="00C043AF" w:rsidRPr="008E34DC" w:rsidRDefault="00F31A05" w:rsidP="00C043AF">
            <w:pPr>
              <w:autoSpaceDE w:val="0"/>
              <w:autoSpaceDN w:val="0"/>
              <w:adjustRightInd w:val="0"/>
              <w:spacing w:line="360" w:lineRule="auto"/>
            </w:pPr>
            <w:r>
              <w:t>Selinexor</w:t>
            </w:r>
            <w:r w:rsidR="00C043AF" w:rsidRPr="008E34DC">
              <w:t xml:space="preserve">: </w:t>
            </w:r>
            <w:r w:rsidR="00EA599D">
              <w:t xml:space="preserve">a </w:t>
            </w:r>
            <w:r w:rsidR="00C043AF" w:rsidRPr="00ED46D3">
              <w:t>selective inhibitor of nuclear export</w:t>
            </w:r>
            <w:r w:rsidR="00ED46D3" w:rsidRPr="00ED46D3">
              <w:t xml:space="preserve"> protein</w:t>
            </w:r>
            <w:r>
              <w:t xml:space="preserve"> 1</w:t>
            </w:r>
          </w:p>
          <w:p w14:paraId="64854815" w14:textId="0BA3FD99" w:rsidR="00C043AF" w:rsidRPr="008E34DC" w:rsidRDefault="00C043AF" w:rsidP="004C683F">
            <w:pPr>
              <w:pStyle w:val="DocumentText"/>
              <w:spacing w:after="120" w:line="276" w:lineRule="auto"/>
            </w:pPr>
            <w:r w:rsidRPr="004C683F">
              <w:rPr>
                <w:color w:val="000000"/>
                <w:lang w:val="en"/>
              </w:rPr>
              <w:t xml:space="preserve">There are </w:t>
            </w:r>
            <w:r w:rsidR="00EA599D">
              <w:rPr>
                <w:color w:val="000000"/>
                <w:lang w:val="en"/>
              </w:rPr>
              <w:t>two</w:t>
            </w:r>
            <w:r w:rsidRPr="004C683F">
              <w:rPr>
                <w:color w:val="000000"/>
                <w:lang w:val="en"/>
              </w:rPr>
              <w:t xml:space="preserve"> dose groups (20 mg/week and 40 mg/week) for </w:t>
            </w:r>
            <w:r w:rsidR="00F31A05">
              <w:rPr>
                <w:color w:val="000000"/>
                <w:lang w:val="en"/>
              </w:rPr>
              <w:t>Selinexor</w:t>
            </w:r>
            <w:r w:rsidRPr="004C683F">
              <w:rPr>
                <w:color w:val="000000"/>
                <w:lang w:val="en"/>
              </w:rPr>
              <w:t>, the dose of CT103A in both groups is 1.0×10</w:t>
            </w:r>
            <w:r w:rsidRPr="004C683F">
              <w:rPr>
                <w:color w:val="000000"/>
                <w:vertAlign w:val="superscript"/>
                <w:lang w:val="en"/>
              </w:rPr>
              <w:t>6</w:t>
            </w:r>
            <w:r w:rsidRPr="004C683F">
              <w:rPr>
                <w:color w:val="000000"/>
                <w:lang w:val="en"/>
              </w:rPr>
              <w:t xml:space="preserve"> </w:t>
            </w:r>
            <w:r w:rsidR="00F31A05">
              <w:rPr>
                <w:color w:val="000000"/>
                <w:lang w:val="en"/>
              </w:rPr>
              <w:t>CAR</w:t>
            </w:r>
            <w:r w:rsidR="00F31A05" w:rsidRPr="00F31A05">
              <w:rPr>
                <w:color w:val="000000"/>
                <w:vertAlign w:val="superscript"/>
                <w:lang w:val="en"/>
              </w:rPr>
              <w:t>+</w:t>
            </w:r>
            <w:r w:rsidR="00F31A05">
              <w:rPr>
                <w:color w:val="000000"/>
                <w:lang w:val="en"/>
              </w:rPr>
              <w:t xml:space="preserve"> </w:t>
            </w:r>
            <w:r w:rsidRPr="004C683F">
              <w:rPr>
                <w:color w:val="000000"/>
                <w:lang w:val="en"/>
              </w:rPr>
              <w:t xml:space="preserve">cells/kg. Patients in both dose groups will receive a single CT103A cell infusion. After at least </w:t>
            </w:r>
            <w:r w:rsidR="00EA599D">
              <w:rPr>
                <w:color w:val="000000"/>
                <w:lang w:val="en"/>
              </w:rPr>
              <w:t>one</w:t>
            </w:r>
            <w:r w:rsidRPr="004C683F">
              <w:rPr>
                <w:color w:val="000000"/>
                <w:lang w:val="en"/>
              </w:rPr>
              <w:t xml:space="preserve"> month after CT103A infusion and the platelet count recovery to ≥50×10</w:t>
            </w:r>
            <w:r w:rsidRPr="004C683F">
              <w:rPr>
                <w:color w:val="000000"/>
                <w:vertAlign w:val="superscript"/>
                <w:lang w:val="en"/>
              </w:rPr>
              <w:t>9</w:t>
            </w:r>
            <w:r w:rsidRPr="004C683F">
              <w:rPr>
                <w:color w:val="000000"/>
                <w:lang w:val="en"/>
              </w:rPr>
              <w:t xml:space="preserve">/L, </w:t>
            </w:r>
            <w:r w:rsidR="00F31A05">
              <w:rPr>
                <w:color w:val="000000"/>
                <w:lang w:val="en"/>
              </w:rPr>
              <w:t>Selinexor</w:t>
            </w:r>
            <w:r w:rsidRPr="004C683F">
              <w:rPr>
                <w:color w:val="000000"/>
                <w:lang w:val="en"/>
              </w:rPr>
              <w:t xml:space="preserve"> will be started orally once a week for </w:t>
            </w:r>
            <w:r w:rsidR="00EA599D">
              <w:rPr>
                <w:color w:val="000000"/>
                <w:lang w:val="en"/>
              </w:rPr>
              <w:t>one</w:t>
            </w:r>
            <w:r w:rsidRPr="004C683F">
              <w:rPr>
                <w:color w:val="000000"/>
                <w:lang w:val="en"/>
              </w:rPr>
              <w:t xml:space="preserve"> year.</w:t>
            </w:r>
          </w:p>
        </w:tc>
      </w:tr>
      <w:tr w:rsidR="00C043AF" w:rsidRPr="008E34DC" w14:paraId="36D011D6" w14:textId="77777777" w:rsidTr="0058514D">
        <w:tc>
          <w:tcPr>
            <w:tcW w:w="2753" w:type="dxa"/>
          </w:tcPr>
          <w:p w14:paraId="6038F758" w14:textId="676717ED" w:rsidR="00C043AF" w:rsidRPr="008E34DC" w:rsidRDefault="00C043AF" w:rsidP="00C043AF">
            <w:pPr>
              <w:rPr>
                <w:b/>
              </w:rPr>
            </w:pPr>
            <w:r w:rsidRPr="008E34DC">
              <w:rPr>
                <w:b/>
              </w:rPr>
              <w:t>Sample Size</w:t>
            </w:r>
          </w:p>
        </w:tc>
        <w:tc>
          <w:tcPr>
            <w:tcW w:w="6597" w:type="dxa"/>
          </w:tcPr>
          <w:p w14:paraId="046F244B" w14:textId="3785A93D" w:rsidR="00C043AF" w:rsidRPr="008E34DC" w:rsidRDefault="00C043AF" w:rsidP="00C043AF">
            <w:pPr>
              <w:pStyle w:val="DocumentText"/>
              <w:spacing w:after="120" w:line="276" w:lineRule="auto"/>
            </w:pPr>
            <w:r w:rsidRPr="008E34DC">
              <w:rPr>
                <w:color w:val="000000"/>
                <w:lang w:val="en"/>
              </w:rPr>
              <w:t>Eight to ten patients will be enrolled at each dose level</w:t>
            </w:r>
            <w:r w:rsidR="00EA599D">
              <w:rPr>
                <w:color w:val="000000"/>
                <w:lang w:val="en"/>
              </w:rPr>
              <w:t>, and</w:t>
            </w:r>
            <w:r w:rsidRPr="008E34DC">
              <w:rPr>
                <w:color w:val="000000"/>
                <w:lang w:val="en"/>
              </w:rPr>
              <w:t xml:space="preserve"> 16 to 20 patients are expected to be enrolled.</w:t>
            </w:r>
          </w:p>
        </w:tc>
      </w:tr>
      <w:tr w:rsidR="00C043AF" w:rsidRPr="008E34DC" w14:paraId="5DBBF349" w14:textId="77777777" w:rsidTr="0058514D">
        <w:tc>
          <w:tcPr>
            <w:tcW w:w="2753" w:type="dxa"/>
          </w:tcPr>
          <w:p w14:paraId="72F3D2EC" w14:textId="0EEF919D" w:rsidR="00C043AF" w:rsidRPr="008E34DC" w:rsidRDefault="00C043AF" w:rsidP="00C043AF">
            <w:pPr>
              <w:pStyle w:val="BodyText-10pt"/>
              <w:keepLines/>
              <w:widowControl w:val="0"/>
              <w:rPr>
                <w:rFonts w:cs="Times New Roman"/>
                <w:b/>
                <w:bCs/>
                <w:sz w:val="24"/>
                <w:szCs w:val="24"/>
              </w:rPr>
            </w:pPr>
            <w:r w:rsidRPr="008E34DC">
              <w:rPr>
                <w:rFonts w:cs="Times New Roman"/>
                <w:b/>
                <w:bCs/>
                <w:sz w:val="24"/>
                <w:szCs w:val="24"/>
              </w:rPr>
              <w:t>Inclusion Criteria</w:t>
            </w:r>
          </w:p>
          <w:p w14:paraId="6749083F" w14:textId="7A498EAF" w:rsidR="00C043AF" w:rsidRPr="008E34DC" w:rsidRDefault="00C043AF" w:rsidP="00C043AF">
            <w:pPr>
              <w:rPr>
                <w:b/>
              </w:rPr>
            </w:pPr>
          </w:p>
        </w:tc>
        <w:tc>
          <w:tcPr>
            <w:tcW w:w="6597" w:type="dxa"/>
          </w:tcPr>
          <w:p w14:paraId="4DCEBB29" w14:textId="2DB84941" w:rsidR="00455B9B" w:rsidRPr="008E34DC" w:rsidRDefault="00455B9B" w:rsidP="004322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eastAsia="TimesNewRomanPSMT"/>
                <w:color w:val="000000"/>
              </w:rPr>
            </w:pPr>
            <w:r w:rsidRPr="008E34DC">
              <w:rPr>
                <w:rFonts w:eastAsia="TimesNewRomanPSMT"/>
                <w:color w:val="000000"/>
                <w:lang w:val="en"/>
              </w:rPr>
              <w:t>Patients must meet all of the following criteria to be included in this study:</w:t>
            </w:r>
          </w:p>
          <w:p w14:paraId="6677FC3E" w14:textId="33F7E67B" w:rsidR="00455B9B" w:rsidRPr="008E34DC" w:rsidRDefault="00455B9B" w:rsidP="004C683F">
            <w:pPr>
              <w:pStyle w:val="13"/>
              <w:numPr>
                <w:ilvl w:val="0"/>
                <w:numId w:val="44"/>
              </w:numPr>
              <w:snapToGrid w:val="0"/>
              <w:spacing w:beforeLines="0" w:after="120" w:line="276" w:lineRule="auto"/>
              <w:ind w:left="418" w:firstLineChars="0" w:hanging="418"/>
              <w:jc w:val="left"/>
              <w:rPr>
                <w:snapToGrid w:val="0"/>
                <w:color w:val="000000" w:themeColor="text1"/>
                <w:kern w:val="0"/>
                <w:sz w:val="24"/>
                <w:szCs w:val="24"/>
              </w:rPr>
            </w:pPr>
            <w:r w:rsidRPr="008E34DC">
              <w:rPr>
                <w:color w:val="000000" w:themeColor="text1"/>
                <w:sz w:val="24"/>
                <w:szCs w:val="24"/>
                <w:lang w:val="en"/>
              </w:rPr>
              <w:t xml:space="preserve">Patients must be ≥18 years of age, male or female. </w:t>
            </w:r>
          </w:p>
          <w:p w14:paraId="2414B9F5" w14:textId="02347FA9" w:rsidR="00455B9B" w:rsidRPr="008E34DC" w:rsidRDefault="00455B9B" w:rsidP="004C683F">
            <w:pPr>
              <w:pStyle w:val="13"/>
              <w:numPr>
                <w:ilvl w:val="0"/>
                <w:numId w:val="44"/>
              </w:numPr>
              <w:snapToGrid w:val="0"/>
              <w:spacing w:beforeLines="0" w:after="120" w:line="276" w:lineRule="auto"/>
              <w:ind w:left="418" w:firstLineChars="0" w:hanging="418"/>
              <w:jc w:val="left"/>
              <w:rPr>
                <w:color w:val="000000" w:themeColor="text1"/>
                <w:sz w:val="24"/>
                <w:szCs w:val="24"/>
                <w:lang w:val="en"/>
              </w:rPr>
            </w:pPr>
            <w:bookmarkStart w:id="3" w:name="_Hlk86392553"/>
            <w:r w:rsidRPr="008E34DC">
              <w:rPr>
                <w:color w:val="000000" w:themeColor="text1"/>
                <w:sz w:val="24"/>
                <w:szCs w:val="24"/>
                <w:lang w:val="en"/>
              </w:rPr>
              <w:t xml:space="preserve">Patients must have received at least </w:t>
            </w:r>
            <w:r w:rsidR="00EA599D">
              <w:rPr>
                <w:color w:val="000000" w:themeColor="text1"/>
                <w:sz w:val="24"/>
                <w:szCs w:val="24"/>
                <w:lang w:val="en"/>
              </w:rPr>
              <w:t>three</w:t>
            </w:r>
            <w:r w:rsidRPr="008E34DC">
              <w:rPr>
                <w:color w:val="000000" w:themeColor="text1"/>
                <w:sz w:val="24"/>
                <w:szCs w:val="24"/>
                <w:lang w:val="en"/>
              </w:rPr>
              <w:t xml:space="preserve"> prior lines of therapy with relapsed, progressive</w:t>
            </w:r>
            <w:r w:rsidR="00EA599D">
              <w:rPr>
                <w:color w:val="000000" w:themeColor="text1"/>
                <w:sz w:val="24"/>
                <w:szCs w:val="24"/>
                <w:lang w:val="en"/>
              </w:rPr>
              <w:t>,</w:t>
            </w:r>
            <w:r w:rsidRPr="008E34DC">
              <w:rPr>
                <w:color w:val="000000" w:themeColor="text1"/>
                <w:sz w:val="24"/>
                <w:szCs w:val="24"/>
                <w:lang w:val="en"/>
              </w:rPr>
              <w:t xml:space="preserve"> or refractory EMM</w:t>
            </w:r>
            <w:r w:rsidR="00EA599D">
              <w:rPr>
                <w:color w:val="000000" w:themeColor="text1"/>
                <w:sz w:val="24"/>
                <w:szCs w:val="24"/>
                <w:lang w:val="en"/>
              </w:rPr>
              <w:t>,</w:t>
            </w:r>
            <w:r w:rsidRPr="008E34DC">
              <w:rPr>
                <w:color w:val="000000" w:themeColor="text1"/>
                <w:sz w:val="24"/>
                <w:szCs w:val="24"/>
                <w:lang w:val="en"/>
              </w:rPr>
              <w:t xml:space="preserve"> according to the </w:t>
            </w:r>
            <w:r w:rsidR="00C84ED4" w:rsidRPr="00C84ED4">
              <w:rPr>
                <w:color w:val="000000" w:themeColor="text1"/>
                <w:sz w:val="24"/>
                <w:szCs w:val="24"/>
                <w:lang w:val="en"/>
              </w:rPr>
              <w:t>International Myeloma Working Group</w:t>
            </w:r>
            <w:r w:rsidR="00C84ED4" w:rsidRPr="00C84ED4" w:rsidDel="00DC4C45">
              <w:rPr>
                <w:color w:val="000000" w:themeColor="text1"/>
                <w:sz w:val="24"/>
                <w:szCs w:val="24"/>
                <w:lang w:val="en"/>
              </w:rPr>
              <w:t xml:space="preserve"> </w:t>
            </w:r>
            <w:r w:rsidR="00C84ED4">
              <w:rPr>
                <w:color w:val="000000" w:themeColor="text1"/>
                <w:sz w:val="24"/>
                <w:szCs w:val="24"/>
                <w:lang w:val="en"/>
              </w:rPr>
              <w:t>(</w:t>
            </w:r>
            <w:r w:rsidRPr="008E34DC">
              <w:rPr>
                <w:color w:val="000000" w:themeColor="text1"/>
                <w:sz w:val="24"/>
                <w:szCs w:val="24"/>
                <w:lang w:val="en"/>
              </w:rPr>
              <w:t>IMWG</w:t>
            </w:r>
            <w:r w:rsidR="00C84ED4">
              <w:rPr>
                <w:color w:val="000000" w:themeColor="text1"/>
                <w:sz w:val="24"/>
                <w:szCs w:val="24"/>
                <w:lang w:val="en"/>
              </w:rPr>
              <w:t>)</w:t>
            </w:r>
            <w:r w:rsidRPr="008E34DC">
              <w:rPr>
                <w:color w:val="000000" w:themeColor="text1"/>
                <w:sz w:val="24"/>
                <w:szCs w:val="24"/>
                <w:lang w:val="en"/>
              </w:rPr>
              <w:t xml:space="preserve"> Consensus on </w:t>
            </w:r>
            <w:r w:rsidR="00715890" w:rsidRPr="00715890">
              <w:rPr>
                <w:color w:val="000000" w:themeColor="text1"/>
                <w:sz w:val="24"/>
                <w:szCs w:val="24"/>
                <w:lang w:val="en"/>
              </w:rPr>
              <w:t>multiple myeloma</w:t>
            </w:r>
            <w:r w:rsidR="00715890" w:rsidRPr="00715890" w:rsidDel="00DC4C45">
              <w:rPr>
                <w:color w:val="000000" w:themeColor="text1"/>
                <w:sz w:val="24"/>
                <w:szCs w:val="24"/>
                <w:lang w:val="en"/>
              </w:rPr>
              <w:t xml:space="preserve"> </w:t>
            </w:r>
            <w:r w:rsidR="00715890">
              <w:rPr>
                <w:color w:val="000000" w:themeColor="text1"/>
                <w:sz w:val="24"/>
                <w:szCs w:val="24"/>
                <w:lang w:val="en"/>
              </w:rPr>
              <w:t>(</w:t>
            </w:r>
            <w:r w:rsidRPr="008E34DC">
              <w:rPr>
                <w:color w:val="000000" w:themeColor="text1"/>
                <w:sz w:val="24"/>
                <w:szCs w:val="24"/>
                <w:lang w:val="en"/>
              </w:rPr>
              <w:t>MM</w:t>
            </w:r>
            <w:r w:rsidR="00715890">
              <w:rPr>
                <w:color w:val="000000" w:themeColor="text1"/>
                <w:sz w:val="24"/>
                <w:szCs w:val="24"/>
                <w:lang w:val="en"/>
              </w:rPr>
              <w:t>)</w:t>
            </w:r>
            <w:r w:rsidRPr="008E34DC">
              <w:rPr>
                <w:color w:val="000000" w:themeColor="text1"/>
                <w:sz w:val="24"/>
                <w:szCs w:val="24"/>
                <w:lang w:val="en"/>
              </w:rPr>
              <w:t xml:space="preserve"> (2016). </w:t>
            </w:r>
          </w:p>
          <w:bookmarkEnd w:id="3"/>
          <w:p w14:paraId="4A2EA0E7" w14:textId="5306B0AD" w:rsidR="00455B9B" w:rsidRPr="008E34DC" w:rsidRDefault="00455B9B" w:rsidP="004C683F">
            <w:pPr>
              <w:pStyle w:val="13"/>
              <w:numPr>
                <w:ilvl w:val="0"/>
                <w:numId w:val="44"/>
              </w:numPr>
              <w:snapToGrid w:val="0"/>
              <w:spacing w:beforeLines="0" w:after="120" w:line="276" w:lineRule="auto"/>
              <w:ind w:left="418" w:firstLineChars="0" w:hanging="418"/>
              <w:jc w:val="left"/>
              <w:rPr>
                <w:color w:val="000000" w:themeColor="text1"/>
                <w:sz w:val="24"/>
                <w:szCs w:val="24"/>
                <w:lang w:val="en"/>
              </w:rPr>
            </w:pPr>
            <w:r w:rsidRPr="008E34DC">
              <w:rPr>
                <w:color w:val="000000" w:themeColor="text1"/>
                <w:sz w:val="24"/>
                <w:szCs w:val="24"/>
                <w:lang w:val="en"/>
              </w:rPr>
              <w:t xml:space="preserve">The tumor </w:t>
            </w:r>
            <w:r w:rsidR="00F55104">
              <w:rPr>
                <w:color w:val="000000" w:themeColor="text1"/>
                <w:sz w:val="24"/>
                <w:szCs w:val="24"/>
                <w:lang w:val="en"/>
              </w:rPr>
              <w:t>cells</w:t>
            </w:r>
            <w:r w:rsidR="00F55104" w:rsidRPr="008E34DC">
              <w:rPr>
                <w:color w:val="000000" w:themeColor="text1"/>
                <w:sz w:val="24"/>
                <w:szCs w:val="24"/>
                <w:lang w:val="en"/>
              </w:rPr>
              <w:t xml:space="preserve"> </w:t>
            </w:r>
            <w:r w:rsidRPr="008E34DC">
              <w:rPr>
                <w:color w:val="000000" w:themeColor="text1"/>
                <w:sz w:val="24"/>
                <w:szCs w:val="24"/>
                <w:lang w:val="en"/>
              </w:rPr>
              <w:t xml:space="preserve">of patients must have positive BCMA expression, as determined by immunohistochemistry (IHC) or flow cytometry. </w:t>
            </w:r>
          </w:p>
          <w:p w14:paraId="79DFA0E5" w14:textId="35B307F5" w:rsidR="00455B9B" w:rsidRPr="008E34DC" w:rsidRDefault="00455B9B" w:rsidP="004C683F">
            <w:pPr>
              <w:pStyle w:val="13"/>
              <w:numPr>
                <w:ilvl w:val="0"/>
                <w:numId w:val="44"/>
              </w:numPr>
              <w:snapToGrid w:val="0"/>
              <w:spacing w:beforeLines="0" w:after="120" w:line="276" w:lineRule="auto"/>
              <w:ind w:left="418" w:firstLineChars="0" w:hanging="418"/>
              <w:jc w:val="left"/>
              <w:rPr>
                <w:color w:val="000000" w:themeColor="text1"/>
                <w:sz w:val="24"/>
                <w:szCs w:val="24"/>
                <w:lang w:val="en"/>
              </w:rPr>
            </w:pPr>
            <w:r w:rsidRPr="008E34DC">
              <w:rPr>
                <w:color w:val="000000" w:themeColor="text1"/>
                <w:sz w:val="24"/>
                <w:szCs w:val="24"/>
                <w:lang w:val="en"/>
              </w:rPr>
              <w:t xml:space="preserve">Measurable disease at Screening as defined by the following criteria: </w:t>
            </w:r>
          </w:p>
          <w:p w14:paraId="132C6F60" w14:textId="5AEE60E9" w:rsidR="00455B9B" w:rsidRPr="008E34DC" w:rsidRDefault="00455B9B" w:rsidP="004C683F">
            <w:pPr>
              <w:pStyle w:val="13"/>
              <w:snapToGrid w:val="0"/>
              <w:spacing w:beforeLines="0" w:after="120" w:line="276" w:lineRule="auto"/>
              <w:ind w:left="418" w:firstLineChars="0" w:firstLine="0"/>
              <w:jc w:val="left"/>
              <w:rPr>
                <w:color w:val="000000" w:themeColor="text1"/>
                <w:sz w:val="24"/>
                <w:szCs w:val="24"/>
                <w:lang w:val="en"/>
              </w:rPr>
            </w:pPr>
            <w:r w:rsidRPr="008E34DC">
              <w:rPr>
                <w:color w:val="000000" w:themeColor="text1"/>
                <w:sz w:val="24"/>
                <w:szCs w:val="24"/>
                <w:lang w:val="en"/>
              </w:rPr>
              <w:t xml:space="preserve">Patients with extramedullary myeloma </w:t>
            </w:r>
            <w:r w:rsidR="00EA599D">
              <w:rPr>
                <w:color w:val="000000" w:themeColor="text1"/>
                <w:sz w:val="24"/>
                <w:szCs w:val="24"/>
                <w:lang w:val="en"/>
              </w:rPr>
              <w:t>must have an extramedullary plasmacytoma</w:t>
            </w:r>
            <w:r w:rsidR="00F55104">
              <w:rPr>
                <w:color w:val="000000" w:themeColor="text1"/>
                <w:sz w:val="24"/>
                <w:szCs w:val="24"/>
                <w:lang w:val="en"/>
              </w:rPr>
              <w:t xml:space="preserve"> at least </w:t>
            </w:r>
            <w:r w:rsidRPr="008E34DC">
              <w:rPr>
                <w:color w:val="000000" w:themeColor="text1"/>
                <w:sz w:val="24"/>
                <w:szCs w:val="24"/>
                <w:lang w:val="en"/>
              </w:rPr>
              <w:t>2 cm in maximum diameter</w:t>
            </w:r>
            <w:r w:rsidR="00F55104">
              <w:rPr>
                <w:color w:val="000000" w:themeColor="text1"/>
                <w:sz w:val="24"/>
                <w:szCs w:val="24"/>
                <w:lang w:val="en"/>
              </w:rPr>
              <w:t>; or have serous effusion in which monoclonal plasma cells are detectable.</w:t>
            </w:r>
          </w:p>
          <w:p w14:paraId="2AB964DB" w14:textId="5A2AF8C9" w:rsidR="00455B9B" w:rsidRPr="008E34DC" w:rsidRDefault="00455B9B" w:rsidP="004C683F">
            <w:pPr>
              <w:pStyle w:val="13"/>
              <w:numPr>
                <w:ilvl w:val="0"/>
                <w:numId w:val="44"/>
              </w:numPr>
              <w:snapToGrid w:val="0"/>
              <w:spacing w:beforeLines="0" w:after="120" w:line="276" w:lineRule="auto"/>
              <w:ind w:left="418" w:firstLineChars="0" w:hanging="418"/>
              <w:jc w:val="left"/>
              <w:rPr>
                <w:color w:val="000000" w:themeColor="text1"/>
                <w:sz w:val="24"/>
                <w:szCs w:val="24"/>
                <w:lang w:val="en"/>
              </w:rPr>
            </w:pPr>
            <w:r w:rsidRPr="008E34DC">
              <w:rPr>
                <w:color w:val="000000" w:themeColor="text1"/>
                <w:sz w:val="24"/>
                <w:szCs w:val="24"/>
                <w:lang w:val="en"/>
              </w:rPr>
              <w:t xml:space="preserve">Eastern Cooperative Oncology Group (ECOG) performance status of 0 to 2. </w:t>
            </w:r>
          </w:p>
          <w:p w14:paraId="255EFB21" w14:textId="56FEA8A2" w:rsidR="00455B9B" w:rsidRPr="008E34DC" w:rsidRDefault="00455B9B" w:rsidP="004C683F">
            <w:pPr>
              <w:pStyle w:val="13"/>
              <w:numPr>
                <w:ilvl w:val="0"/>
                <w:numId w:val="44"/>
              </w:numPr>
              <w:snapToGrid w:val="0"/>
              <w:spacing w:beforeLines="0" w:after="120" w:line="276" w:lineRule="auto"/>
              <w:ind w:left="418" w:firstLineChars="0" w:hanging="418"/>
              <w:jc w:val="left"/>
              <w:rPr>
                <w:color w:val="000000" w:themeColor="text1"/>
                <w:sz w:val="24"/>
                <w:szCs w:val="24"/>
                <w:lang w:val="en"/>
              </w:rPr>
            </w:pPr>
            <w:r w:rsidRPr="008E34DC">
              <w:rPr>
                <w:color w:val="000000" w:themeColor="text1"/>
                <w:sz w:val="24"/>
                <w:szCs w:val="24"/>
                <w:lang w:val="en"/>
              </w:rPr>
              <w:t xml:space="preserve">Have an expected survival of ≥12 weeks. </w:t>
            </w:r>
          </w:p>
          <w:p w14:paraId="47D4E519" w14:textId="24DC0344" w:rsidR="00455B9B" w:rsidRPr="008E34DC" w:rsidRDefault="00455B9B" w:rsidP="004C683F">
            <w:pPr>
              <w:pStyle w:val="13"/>
              <w:numPr>
                <w:ilvl w:val="0"/>
                <w:numId w:val="44"/>
              </w:numPr>
              <w:snapToGrid w:val="0"/>
              <w:spacing w:beforeLines="0" w:after="120" w:line="276" w:lineRule="auto"/>
              <w:ind w:left="418" w:firstLineChars="0" w:hanging="418"/>
              <w:jc w:val="left"/>
              <w:rPr>
                <w:color w:val="000000" w:themeColor="text1"/>
                <w:sz w:val="24"/>
                <w:szCs w:val="24"/>
                <w:lang w:val="en"/>
              </w:rPr>
            </w:pPr>
            <w:r w:rsidRPr="008E34DC">
              <w:rPr>
                <w:color w:val="000000" w:themeColor="text1"/>
                <w:sz w:val="24"/>
                <w:szCs w:val="24"/>
                <w:lang w:val="en"/>
              </w:rPr>
              <w:t xml:space="preserve">Patients must have adequate organ function and meet all of the following laboratory test results before enrollment: </w:t>
            </w:r>
          </w:p>
          <w:p w14:paraId="4D65CE31" w14:textId="79A7912A" w:rsidR="00455B9B" w:rsidRPr="008E34DC" w:rsidRDefault="00F26339" w:rsidP="004C683F">
            <w:pPr>
              <w:pStyle w:val="aff3"/>
              <w:numPr>
                <w:ilvl w:val="0"/>
                <w:numId w:val="43"/>
              </w:numPr>
              <w:topLinePunct/>
              <w:adjustRightInd w:val="0"/>
              <w:snapToGrid w:val="0"/>
              <w:spacing w:after="120" w:line="276" w:lineRule="auto"/>
              <w:ind w:left="835" w:firstLineChars="0" w:hanging="475"/>
              <w:jc w:val="left"/>
              <w:rPr>
                <w:color w:val="000000" w:themeColor="text1"/>
              </w:rPr>
            </w:pPr>
            <w:r>
              <w:lastRenderedPageBreak/>
              <w:t xml:space="preserve"> </w:t>
            </w:r>
            <w:r w:rsidRPr="00F26339">
              <w:rPr>
                <w:color w:val="000000" w:themeColor="text1"/>
                <w:lang w:val="en"/>
              </w:rPr>
              <w:t>Complete blood count (CBC)</w:t>
            </w:r>
            <w:r w:rsidR="00455B9B" w:rsidRPr="008E34DC">
              <w:rPr>
                <w:color w:val="000000" w:themeColor="text1"/>
                <w:lang w:val="en"/>
              </w:rPr>
              <w:t>: absolute neutrophil count (ANC) ≥1 × 10</w:t>
            </w:r>
            <w:r w:rsidR="00455B9B" w:rsidRPr="008E34DC">
              <w:rPr>
                <w:color w:val="000000" w:themeColor="text1"/>
                <w:vertAlign w:val="superscript"/>
                <w:lang w:val="en"/>
              </w:rPr>
              <w:t>9</w:t>
            </w:r>
            <w:r w:rsidR="00455B9B" w:rsidRPr="008E34DC">
              <w:rPr>
                <w:color w:val="000000" w:themeColor="text1"/>
                <w:lang w:val="en"/>
              </w:rPr>
              <w:t>/L; absolute lymphocyte count (ALC) ≥0.3 × 10</w:t>
            </w:r>
            <w:r w:rsidR="00455B9B" w:rsidRPr="008E34DC">
              <w:rPr>
                <w:color w:val="000000" w:themeColor="text1"/>
                <w:vertAlign w:val="superscript"/>
                <w:lang w:val="en"/>
              </w:rPr>
              <w:t>9</w:t>
            </w:r>
            <w:r w:rsidR="00455B9B" w:rsidRPr="008E34DC">
              <w:rPr>
                <w:color w:val="000000" w:themeColor="text1"/>
                <w:lang w:val="en"/>
              </w:rPr>
              <w:t xml:space="preserve">/L; platelet count </w:t>
            </w:r>
            <w:r w:rsidR="00F458B7">
              <w:rPr>
                <w:color w:val="000000" w:themeColor="text1"/>
                <w:lang w:val="en"/>
              </w:rPr>
              <w:t>≥</w:t>
            </w:r>
            <w:r w:rsidR="00455B9B" w:rsidRPr="008E34DC">
              <w:rPr>
                <w:color w:val="000000" w:themeColor="text1"/>
                <w:lang w:val="en"/>
              </w:rPr>
              <w:t>50 × 10</w:t>
            </w:r>
            <w:r w:rsidR="00455B9B" w:rsidRPr="008E34DC">
              <w:rPr>
                <w:color w:val="000000" w:themeColor="text1"/>
                <w:vertAlign w:val="superscript"/>
                <w:lang w:val="en"/>
              </w:rPr>
              <w:t>9</w:t>
            </w:r>
            <w:r w:rsidR="00455B9B" w:rsidRPr="008E34DC">
              <w:rPr>
                <w:color w:val="000000" w:themeColor="text1"/>
                <w:lang w:val="en"/>
              </w:rPr>
              <w:t xml:space="preserve">/L; hemoglobin </w:t>
            </w:r>
            <w:r w:rsidR="00F458B7">
              <w:rPr>
                <w:color w:val="000000" w:themeColor="text1"/>
                <w:lang w:val="en"/>
              </w:rPr>
              <w:t>≥</w:t>
            </w:r>
            <w:r w:rsidR="00455B9B" w:rsidRPr="008E34DC">
              <w:rPr>
                <w:color w:val="000000" w:themeColor="text1"/>
                <w:lang w:val="en"/>
              </w:rPr>
              <w:t>60</w:t>
            </w:r>
            <w:r w:rsidR="00455B9B" w:rsidRPr="008E34DC">
              <w:rPr>
                <w:color w:val="000000" w:themeColor="text1"/>
              </w:rPr>
              <w:t> </w:t>
            </w:r>
            <w:r w:rsidR="00455B9B" w:rsidRPr="008E34DC">
              <w:rPr>
                <w:color w:val="000000" w:themeColor="text1"/>
                <w:lang w:val="en"/>
              </w:rPr>
              <w:t xml:space="preserve">g/L. </w:t>
            </w:r>
          </w:p>
          <w:p w14:paraId="55A40D09" w14:textId="39D9F2AA" w:rsidR="00455B9B" w:rsidRPr="00EF7A40" w:rsidRDefault="00455B9B" w:rsidP="004C683F">
            <w:pPr>
              <w:pStyle w:val="aff3"/>
              <w:numPr>
                <w:ilvl w:val="0"/>
                <w:numId w:val="43"/>
              </w:numPr>
              <w:topLinePunct/>
              <w:adjustRightInd w:val="0"/>
              <w:snapToGrid w:val="0"/>
              <w:spacing w:after="120" w:line="276" w:lineRule="auto"/>
              <w:ind w:left="835" w:firstLineChars="0" w:hanging="475"/>
              <w:jc w:val="left"/>
              <w:rPr>
                <w:color w:val="000000" w:themeColor="text1"/>
                <w:lang w:val="en"/>
              </w:rPr>
            </w:pPr>
            <w:r w:rsidRPr="008E34DC">
              <w:rPr>
                <w:color w:val="000000" w:themeColor="text1"/>
                <w:lang w:val="en"/>
              </w:rPr>
              <w:t xml:space="preserve">Liver function: alanine aminotransferase (ALT) and aspartate aminotransferase (AST) </w:t>
            </w:r>
            <w:r w:rsidR="00F458B7">
              <w:rPr>
                <w:color w:val="000000" w:themeColor="text1"/>
                <w:lang w:val="en"/>
              </w:rPr>
              <w:t>≤</w:t>
            </w:r>
            <w:r w:rsidRPr="008E34DC">
              <w:rPr>
                <w:color w:val="000000" w:themeColor="text1"/>
                <w:lang w:val="en"/>
              </w:rPr>
              <w:t xml:space="preserve">2.5 × the upper limit of normal (ULN); serum total bilirubin (STB) ≤1.5 × ULN; </w:t>
            </w:r>
          </w:p>
          <w:p w14:paraId="1194E6F1" w14:textId="0608A251" w:rsidR="00455B9B" w:rsidRPr="00EF7A40" w:rsidRDefault="00455B9B" w:rsidP="004C683F">
            <w:pPr>
              <w:pStyle w:val="aff3"/>
              <w:numPr>
                <w:ilvl w:val="0"/>
                <w:numId w:val="43"/>
              </w:numPr>
              <w:topLinePunct/>
              <w:adjustRightInd w:val="0"/>
              <w:snapToGrid w:val="0"/>
              <w:spacing w:after="120" w:line="276" w:lineRule="auto"/>
              <w:ind w:left="835" w:firstLineChars="0" w:hanging="475"/>
              <w:jc w:val="left"/>
              <w:rPr>
                <w:color w:val="000000" w:themeColor="text1"/>
                <w:lang w:val="en"/>
              </w:rPr>
            </w:pPr>
            <w:r w:rsidRPr="008E34DC">
              <w:rPr>
                <w:color w:val="000000" w:themeColor="text1"/>
                <w:lang w:val="en"/>
              </w:rPr>
              <w:t>Renal function: creatinine clearance (</w:t>
            </w:r>
            <w:proofErr w:type="spellStart"/>
            <w:r w:rsidRPr="008E34DC">
              <w:rPr>
                <w:color w:val="000000" w:themeColor="text1"/>
                <w:lang w:val="en"/>
              </w:rPr>
              <w:t>CrCl</w:t>
            </w:r>
            <w:proofErr w:type="spellEnd"/>
            <w:r w:rsidRPr="008E34DC">
              <w:rPr>
                <w:color w:val="000000" w:themeColor="text1"/>
                <w:lang w:val="en"/>
              </w:rPr>
              <w:t xml:space="preserve">) calculated using Cockcroft-Gault formula </w:t>
            </w:r>
            <w:r w:rsidR="00F458B7">
              <w:rPr>
                <w:color w:val="000000" w:themeColor="text1"/>
                <w:lang w:val="en"/>
              </w:rPr>
              <w:t>≥</w:t>
            </w:r>
            <w:r w:rsidR="00EA599D">
              <w:rPr>
                <w:color w:val="000000" w:themeColor="text1"/>
                <w:lang w:val="en"/>
              </w:rPr>
              <w:t xml:space="preserve"> </w:t>
            </w:r>
            <w:r w:rsidRPr="008E34DC">
              <w:rPr>
                <w:color w:val="000000" w:themeColor="text1"/>
                <w:lang w:val="en"/>
              </w:rPr>
              <w:t>40</w:t>
            </w:r>
            <w:r w:rsidRPr="00EF7A40">
              <w:rPr>
                <w:color w:val="000000" w:themeColor="text1"/>
                <w:lang w:val="en"/>
              </w:rPr>
              <w:t> </w:t>
            </w:r>
            <w:r w:rsidRPr="008E34DC">
              <w:rPr>
                <w:color w:val="000000" w:themeColor="text1"/>
                <w:lang w:val="en"/>
              </w:rPr>
              <w:t xml:space="preserve">mL/min (not applicable if the investigator determines that the abnormal renal function is caused by the progression of primary disease.  </w:t>
            </w:r>
          </w:p>
          <w:p w14:paraId="186C68C5" w14:textId="77777777" w:rsidR="00455B9B" w:rsidRPr="008E34DC" w:rsidRDefault="00455B9B" w:rsidP="004C683F">
            <w:pPr>
              <w:pStyle w:val="aff3"/>
              <w:topLinePunct/>
              <w:adjustRightInd w:val="0"/>
              <w:snapToGrid w:val="0"/>
              <w:spacing w:after="120" w:line="276" w:lineRule="auto"/>
              <w:ind w:firstLineChars="0" w:firstLine="0"/>
              <w:jc w:val="left"/>
              <w:rPr>
                <w:color w:val="000000" w:themeColor="text1"/>
              </w:rPr>
            </w:pPr>
            <w:r w:rsidRPr="008E34DC">
              <w:rPr>
                <w:noProof/>
                <w:color w:val="000000" w:themeColor="text1"/>
                <w:kern w:val="0"/>
                <w:lang w:val="en"/>
              </w:rPr>
              <mc:AlternateContent>
                <mc:Choice Requires="wps">
                  <w:drawing>
                    <wp:anchor distT="0" distB="0" distL="114300" distR="114300" simplePos="0" relativeHeight="251659264" behindDoc="0" locked="0" layoutInCell="1" allowOverlap="1" wp14:anchorId="0C9CF1FD" wp14:editId="294107E0">
                      <wp:simplePos x="0" y="0"/>
                      <wp:positionH relativeFrom="column">
                        <wp:posOffset>304800</wp:posOffset>
                      </wp:positionH>
                      <wp:positionV relativeFrom="paragraph">
                        <wp:posOffset>18415</wp:posOffset>
                      </wp:positionV>
                      <wp:extent cx="3183255" cy="527050"/>
                      <wp:effectExtent l="0" t="0" r="0" b="0"/>
                      <wp:wrapNone/>
                      <wp:docPr id="1" name="文本框 1"/>
                      <wp:cNvGraphicFramePr/>
                      <a:graphic xmlns:a="http://schemas.openxmlformats.org/drawingml/2006/main">
                        <a:graphicData uri="http://schemas.microsoft.com/office/word/2010/wordprocessingShape">
                          <wps:wsp>
                            <wps:cNvSpPr txBox="1"/>
                            <wps:spPr>
                              <a:xfrm>
                                <a:off x="0" y="0"/>
                                <a:ext cx="3183255" cy="527050"/>
                              </a:xfrm>
                              <a:prstGeom prst="rect">
                                <a:avLst/>
                              </a:prstGeom>
                              <a:noFill/>
                              <a:ln>
                                <a:noFill/>
                              </a:ln>
                              <a:effectLst/>
                            </wps:spPr>
                            <wps:txbx>
                              <w:txbxContent>
                                <w:p w14:paraId="6FC479DB" w14:textId="77777777" w:rsidR="008D660D" w:rsidRDefault="008D660D" w:rsidP="00455B9B">
                                  <w:pPr>
                                    <w:pStyle w:val="aff2"/>
                                    <w:spacing w:before="0" w:beforeAutospacing="0" w:after="0" w:afterAutospacing="0"/>
                                    <w:ind w:left="480" w:hanging="480"/>
                                    <w:jc w:val="center"/>
                                    <w:rPr>
                                      <w:rFonts w:eastAsiaTheme="minorEastAsia"/>
                                    </w:rPr>
                                  </w:pPr>
                                  <w:r>
                                    <w:rPr>
                                      <w:rFonts w:eastAsiaTheme="minorEastAsia"/>
                                      <w:color w:val="000000"/>
                                      <w:kern w:val="24"/>
                                      <w:lang w:val="en"/>
                                    </w:rPr>
                                    <w:t>C</w:t>
                                  </w:r>
                                  <m:oMath>
                                    <m:r>
                                      <m:rPr>
                                        <m:sty m:val="p"/>
                                      </m:rPr>
                                      <w:rPr>
                                        <w:rFonts w:ascii="Cambria Math" w:eastAsiaTheme="minorEastAsia" w:hAnsi="Cambria Math"/>
                                        <w:color w:val="000000"/>
                                        <w:kern w:val="24"/>
                                      </w:rPr>
                                      <m:t>rC</m:t>
                                    </m:r>
                                    <m:r>
                                      <w:rPr>
                                        <w:rFonts w:ascii="Cambria Math" w:eastAsiaTheme="minorEastAsia" w:hAnsi="Cambria Math"/>
                                        <w:color w:val="000000"/>
                                        <w:kern w:val="24"/>
                                      </w:rPr>
                                      <m:t>l=</m:t>
                                    </m:r>
                                    <m:f>
                                      <m:fPr>
                                        <m:ctrlPr>
                                          <w:rPr>
                                            <w:rFonts w:ascii="Cambria Math" w:eastAsiaTheme="minorEastAsia" w:hAnsi="Cambria Math"/>
                                            <w:i/>
                                            <w:iCs/>
                                            <w:color w:val="000000"/>
                                            <w:kern w:val="24"/>
                                          </w:rPr>
                                        </m:ctrlPr>
                                      </m:fPr>
                                      <m:num>
                                        <m:d>
                                          <m:dPr>
                                            <m:ctrlPr>
                                              <w:rPr>
                                                <w:rFonts w:ascii="Cambria Math" w:eastAsiaTheme="minorEastAsia" w:hAnsi="Cambria Math"/>
                                                <w:i/>
                                                <w:iCs/>
                                                <w:color w:val="000000"/>
                                                <w:kern w:val="24"/>
                                              </w:rPr>
                                            </m:ctrlPr>
                                          </m:dPr>
                                          <m:e>
                                            <m:r>
                                              <w:rPr>
                                                <w:rFonts w:ascii="Cambria Math" w:eastAsiaTheme="minorEastAsia" w:hAnsi="Cambria Math"/>
                                                <w:color w:val="000000"/>
                                                <w:kern w:val="24"/>
                                              </w:rPr>
                                              <m:t>140-age</m:t>
                                            </m:r>
                                          </m:e>
                                        </m:d>
                                        <m:r>
                                          <w:rPr>
                                            <w:rFonts w:ascii="Cambria Math" w:eastAsiaTheme="minorEastAsia" w:hAnsi="Cambria Math"/>
                                            <w:color w:val="000000"/>
                                            <w:kern w:val="24"/>
                                          </w:rPr>
                                          <m:t>×Body weight</m:t>
                                        </m:r>
                                        <m:d>
                                          <m:dPr>
                                            <m:ctrlPr>
                                              <w:rPr>
                                                <w:rFonts w:ascii="Cambria Math" w:eastAsiaTheme="minorEastAsia" w:hAnsi="Cambria Math"/>
                                                <w:i/>
                                                <w:iCs/>
                                                <w:color w:val="000000"/>
                                                <w:kern w:val="24"/>
                                              </w:rPr>
                                            </m:ctrlPr>
                                          </m:dPr>
                                          <m:e>
                                            <m:r>
                                              <w:rPr>
                                                <w:rFonts w:ascii="Cambria Math" w:eastAsiaTheme="minorEastAsia" w:hAnsi="Cambria Math"/>
                                                <w:color w:val="000000"/>
                                                <w:kern w:val="24"/>
                                              </w:rPr>
                                              <m:t>kg</m:t>
                                            </m:r>
                                          </m:e>
                                        </m:d>
                                      </m:num>
                                      <m:den>
                                        <m:r>
                                          <w:rPr>
                                            <w:rFonts w:ascii="Cambria Math" w:eastAsiaTheme="minorEastAsia" w:hAnsi="Cambria Math"/>
                                            <w:color w:val="000000"/>
                                            <w:kern w:val="24"/>
                                          </w:rPr>
                                          <m:t>72×Serum creatine</m:t>
                                        </m:r>
                                        <m:d>
                                          <m:dPr>
                                            <m:ctrlPr>
                                              <w:rPr>
                                                <w:rFonts w:ascii="Cambria Math" w:eastAsiaTheme="minorEastAsia" w:hAnsi="Cambria Math"/>
                                                <w:i/>
                                                <w:iCs/>
                                                <w:color w:val="000000"/>
                                                <w:kern w:val="24"/>
                                              </w:rPr>
                                            </m:ctrlPr>
                                          </m:dPr>
                                          <m:e>
                                            <m:f>
                                              <m:fPr>
                                                <m:ctrlPr>
                                                  <w:rPr>
                                                    <w:rFonts w:ascii="Cambria Math" w:eastAsiaTheme="minorEastAsia" w:hAnsi="Cambria Math"/>
                                                    <w:i/>
                                                    <w:color w:val="000000"/>
                                                    <w:kern w:val="24"/>
                                                  </w:rPr>
                                                </m:ctrlPr>
                                              </m:fPr>
                                              <m:num>
                                                <m:r>
                                                  <w:rPr>
                                                    <w:rFonts w:ascii="Cambria Math" w:eastAsiaTheme="minorEastAsia" w:hAnsi="Cambria Math"/>
                                                    <w:color w:val="000000"/>
                                                    <w:kern w:val="24"/>
                                                  </w:rPr>
                                                  <m:t>mg</m:t>
                                                </m:r>
                                              </m:num>
                                              <m:den>
                                                <m:r>
                                                  <w:rPr>
                                                    <w:rFonts w:ascii="Cambria Math" w:eastAsiaTheme="minorEastAsia" w:hAnsi="Cambria Math"/>
                                                    <w:color w:val="000000"/>
                                                    <w:kern w:val="24"/>
                                                  </w:rPr>
                                                  <m:t>dL</m:t>
                                                </m:r>
                                              </m:den>
                                            </m:f>
                                          </m:e>
                                        </m:d>
                                      </m:den>
                                    </m:f>
                                    <m:r>
                                      <w:rPr>
                                        <w:rFonts w:ascii="Cambria Math" w:eastAsiaTheme="minorEastAsia" w:hAnsi="Cambria Math"/>
                                        <w:color w:val="000000"/>
                                        <w:kern w:val="24"/>
                                      </w:rPr>
                                      <m:t>(×0.85 F)</m:t>
                                    </m:r>
                                  </m:oMath>
                                </w:p>
                              </w:txbxContent>
                            </wps:txbx>
                            <wps:bodyPr wrap="square" lIns="0" tIns="0" rIns="0" bIns="0" rtlCol="0">
                              <a:noAutofit/>
                            </wps:bodyPr>
                          </wps:wsp>
                        </a:graphicData>
                      </a:graphic>
                    </wp:anchor>
                  </w:drawing>
                </mc:Choice>
                <mc:Fallback>
                  <w:pict>
                    <v:shapetype w14:anchorId="0C9CF1FD" id="_x0000_t202" coordsize="21600,21600" o:spt="202" path="m,l,21600r21600,l21600,xe">
                      <v:stroke joinstyle="miter"/>
                      <v:path gradientshapeok="t" o:connecttype="rect"/>
                    </v:shapetype>
                    <v:shape id="文本框 1" o:spid="_x0000_s1026" type="#_x0000_t202" style="position:absolute;margin-left:24pt;margin-top:1.45pt;width:250.65pt;height:4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" filled="f" stroked="f">
                      <v:textbox inset="0,0,0,0">
                        <w:txbxContent>
                          <w:p w14:paraId="6FC479DB" w14:textId="77777777" w:rsidR="008D660D" w:rsidRDefault="008D660D" w:rsidP="00455B9B">
                            <w:pPr>
                              <w:pStyle w:val="aff2"/>
                              <w:spacing w:before="0" w:beforeAutospacing="0" w:after="0" w:afterAutospacing="0"/>
                              <w:ind w:left="480" w:hanging="480"/>
                              <w:jc w:val="center"/>
                              <w:rPr>
                                <w:rFonts w:eastAsiaTheme="minorEastAsia"/>
                              </w:rPr>
                            </w:pPr>
                            <w:r>
                              <w:rPr>
                                <w:rFonts w:eastAsiaTheme="minorEastAsia"/>
                                <w:color w:val="000000"/>
                                <w:kern w:val="24"/>
                                <w:lang w:val="en"/>
                              </w:rPr>
                              <w:t>C</w:t>
                            </w:r>
                            <m:oMath>
                              <m:r>
                                <m:rPr>
                                  <m:sty m:val="p"/>
                                </m:rPr>
                                <w:rPr>
                                  <w:rFonts w:ascii="Cambria Math" w:eastAsiaTheme="minorEastAsia" w:hAnsi="Cambria Math"/>
                                  <w:color w:val="000000"/>
                                  <w:kern w:val="24"/>
                                </w:rPr>
                                <m:t>rC</m:t>
                              </m:r>
                              <m:r>
                                <w:rPr>
                                  <w:rFonts w:ascii="Cambria Math" w:eastAsiaTheme="minorEastAsia" w:hAnsi="Cambria Math"/>
                                  <w:color w:val="000000"/>
                                  <w:kern w:val="24"/>
                                </w:rPr>
                                <m:t>l=</m:t>
                              </m:r>
                              <m:f>
                                <m:fPr>
                                  <m:ctrlPr>
                                    <w:rPr>
                                      <w:rFonts w:ascii="Cambria Math" w:eastAsiaTheme="minorEastAsia" w:hAnsi="Cambria Math"/>
                                      <w:i/>
                                      <w:iCs/>
                                      <w:color w:val="000000"/>
                                      <w:kern w:val="24"/>
                                    </w:rPr>
                                  </m:ctrlPr>
                                </m:fPr>
                                <m:num>
                                  <m:d>
                                    <m:dPr>
                                      <m:ctrlPr>
                                        <w:rPr>
                                          <w:rFonts w:ascii="Cambria Math" w:eastAsiaTheme="minorEastAsia" w:hAnsi="Cambria Math"/>
                                          <w:i/>
                                          <w:iCs/>
                                          <w:color w:val="000000"/>
                                          <w:kern w:val="24"/>
                                        </w:rPr>
                                      </m:ctrlPr>
                                    </m:dPr>
                                    <m:e>
                                      <m:r>
                                        <w:rPr>
                                          <w:rFonts w:ascii="Cambria Math" w:eastAsiaTheme="minorEastAsia" w:hAnsi="Cambria Math"/>
                                          <w:color w:val="000000"/>
                                          <w:kern w:val="24"/>
                                        </w:rPr>
                                        <m:t>140-age</m:t>
                                      </m:r>
                                    </m:e>
                                  </m:d>
                                  <m:r>
                                    <w:rPr>
                                      <w:rFonts w:ascii="Cambria Math" w:eastAsiaTheme="minorEastAsia" w:hAnsi="Cambria Math"/>
                                      <w:color w:val="000000"/>
                                      <w:kern w:val="24"/>
                                    </w:rPr>
                                    <m:t>×Body weight</m:t>
                                  </m:r>
                                  <m:d>
                                    <m:dPr>
                                      <m:ctrlPr>
                                        <w:rPr>
                                          <w:rFonts w:ascii="Cambria Math" w:eastAsiaTheme="minorEastAsia" w:hAnsi="Cambria Math"/>
                                          <w:i/>
                                          <w:iCs/>
                                          <w:color w:val="000000"/>
                                          <w:kern w:val="24"/>
                                        </w:rPr>
                                      </m:ctrlPr>
                                    </m:dPr>
                                    <m:e>
                                      <m:r>
                                        <w:rPr>
                                          <w:rFonts w:ascii="Cambria Math" w:eastAsiaTheme="minorEastAsia" w:hAnsi="Cambria Math"/>
                                          <w:color w:val="000000"/>
                                          <w:kern w:val="24"/>
                                        </w:rPr>
                                        <m:t>kg</m:t>
                                      </m:r>
                                    </m:e>
                                  </m:d>
                                </m:num>
                                <m:den>
                                  <m:r>
                                    <w:rPr>
                                      <w:rFonts w:ascii="Cambria Math" w:eastAsiaTheme="minorEastAsia" w:hAnsi="Cambria Math"/>
                                      <w:color w:val="000000"/>
                                      <w:kern w:val="24"/>
                                    </w:rPr>
                                    <m:t>72×Serum creatine</m:t>
                                  </m:r>
                                  <m:d>
                                    <m:dPr>
                                      <m:ctrlPr>
                                        <w:rPr>
                                          <w:rFonts w:ascii="Cambria Math" w:eastAsiaTheme="minorEastAsia" w:hAnsi="Cambria Math"/>
                                          <w:i/>
                                          <w:iCs/>
                                          <w:color w:val="000000"/>
                                          <w:kern w:val="24"/>
                                        </w:rPr>
                                      </m:ctrlPr>
                                    </m:dPr>
                                    <m:e>
                                      <m:f>
                                        <m:fPr>
                                          <m:ctrlPr>
                                            <w:rPr>
                                              <w:rFonts w:ascii="Cambria Math" w:eastAsiaTheme="minorEastAsia" w:hAnsi="Cambria Math"/>
                                              <w:i/>
                                              <w:color w:val="000000"/>
                                              <w:kern w:val="24"/>
                                            </w:rPr>
                                          </m:ctrlPr>
                                        </m:fPr>
                                        <m:num>
                                          <m:r>
                                            <w:rPr>
                                              <w:rFonts w:ascii="Cambria Math" w:eastAsiaTheme="minorEastAsia" w:hAnsi="Cambria Math"/>
                                              <w:color w:val="000000"/>
                                              <w:kern w:val="24"/>
                                            </w:rPr>
                                            <m:t>mg</m:t>
                                          </m:r>
                                        </m:num>
                                        <m:den>
                                          <m:r>
                                            <w:rPr>
                                              <w:rFonts w:ascii="Cambria Math" w:eastAsiaTheme="minorEastAsia" w:hAnsi="Cambria Math"/>
                                              <w:color w:val="000000"/>
                                              <w:kern w:val="24"/>
                                            </w:rPr>
                                            <m:t>dL</m:t>
                                          </m:r>
                                        </m:den>
                                      </m:f>
                                    </m:e>
                                  </m:d>
                                </m:den>
                              </m:f>
                              <m:r>
                                <w:rPr>
                                  <w:rFonts w:ascii="Cambria Math" w:eastAsiaTheme="minorEastAsia" w:hAnsi="Cambria Math"/>
                                  <w:color w:val="000000"/>
                                  <w:kern w:val="24"/>
                                </w:rPr>
                                <m:t>(×0.85 F)</m:t>
                              </m:r>
                            </m:oMath>
                          </w:p>
                        </w:txbxContent>
                      </v:textbox>
                    </v:shape>
                  </w:pict>
                </mc:Fallback>
              </mc:AlternateContent>
            </w:r>
          </w:p>
          <w:p w14:paraId="11FC1068" w14:textId="77777777" w:rsidR="00455B9B" w:rsidRPr="008E34DC" w:rsidRDefault="00455B9B" w:rsidP="004C683F">
            <w:pPr>
              <w:pStyle w:val="aff3"/>
              <w:topLinePunct/>
              <w:adjustRightInd w:val="0"/>
              <w:snapToGrid w:val="0"/>
              <w:spacing w:after="120" w:line="276" w:lineRule="auto"/>
              <w:ind w:firstLineChars="0" w:firstLine="0"/>
              <w:jc w:val="left"/>
              <w:rPr>
                <w:color w:val="000000" w:themeColor="text1"/>
              </w:rPr>
            </w:pPr>
          </w:p>
          <w:p w14:paraId="0E0E1A29" w14:textId="068A7208" w:rsidR="00455B9B" w:rsidRPr="00EF7A40" w:rsidRDefault="00455B9B" w:rsidP="004C683F">
            <w:pPr>
              <w:pStyle w:val="aff3"/>
              <w:numPr>
                <w:ilvl w:val="0"/>
                <w:numId w:val="43"/>
              </w:numPr>
              <w:topLinePunct/>
              <w:adjustRightInd w:val="0"/>
              <w:snapToGrid w:val="0"/>
              <w:spacing w:after="120" w:line="276" w:lineRule="auto"/>
              <w:ind w:left="835" w:firstLineChars="0" w:hanging="475"/>
              <w:jc w:val="left"/>
              <w:rPr>
                <w:color w:val="000000" w:themeColor="text1"/>
                <w:lang w:val="en"/>
              </w:rPr>
            </w:pPr>
            <w:r w:rsidRPr="008E34DC">
              <w:rPr>
                <w:color w:val="000000" w:themeColor="text1"/>
                <w:lang w:val="en"/>
              </w:rPr>
              <w:t xml:space="preserve">Coagulation function: fibrinogen ≥1.0 g/L; activated partial thromboplastin time (APTT) </w:t>
            </w:r>
            <w:r w:rsidR="00F458B7">
              <w:rPr>
                <w:color w:val="000000" w:themeColor="text1"/>
                <w:lang w:val="en"/>
              </w:rPr>
              <w:t>≤</w:t>
            </w:r>
            <w:r w:rsidRPr="008E34DC">
              <w:rPr>
                <w:color w:val="000000" w:themeColor="text1"/>
                <w:lang w:val="en"/>
              </w:rPr>
              <w:t xml:space="preserve">1.5 × ULN, prothrombin time (PT) ≤1.5 × ULN. </w:t>
            </w:r>
          </w:p>
          <w:p w14:paraId="4E0E4919" w14:textId="4EE77AFD" w:rsidR="00455B9B" w:rsidRPr="00EF7A40" w:rsidRDefault="00455B9B" w:rsidP="004C683F">
            <w:pPr>
              <w:pStyle w:val="aff3"/>
              <w:numPr>
                <w:ilvl w:val="0"/>
                <w:numId w:val="43"/>
              </w:numPr>
              <w:topLinePunct/>
              <w:adjustRightInd w:val="0"/>
              <w:snapToGrid w:val="0"/>
              <w:spacing w:after="120" w:line="276" w:lineRule="auto"/>
              <w:ind w:left="835" w:firstLineChars="0" w:hanging="475"/>
              <w:jc w:val="left"/>
              <w:rPr>
                <w:color w:val="000000" w:themeColor="text1"/>
                <w:lang w:val="en"/>
              </w:rPr>
            </w:pPr>
            <w:r w:rsidRPr="008E34DC">
              <w:rPr>
                <w:color w:val="000000" w:themeColor="text1"/>
                <w:lang w:val="en"/>
              </w:rPr>
              <w:t xml:space="preserve">Oxygen saturation &gt;91%. </w:t>
            </w:r>
          </w:p>
          <w:p w14:paraId="15171263" w14:textId="21661800" w:rsidR="00455B9B" w:rsidRPr="00EF7A40" w:rsidRDefault="00455B9B" w:rsidP="004C683F">
            <w:pPr>
              <w:pStyle w:val="aff3"/>
              <w:numPr>
                <w:ilvl w:val="0"/>
                <w:numId w:val="43"/>
              </w:numPr>
              <w:topLinePunct/>
              <w:adjustRightInd w:val="0"/>
              <w:snapToGrid w:val="0"/>
              <w:spacing w:after="120" w:line="276" w:lineRule="auto"/>
              <w:ind w:left="835" w:firstLineChars="0" w:hanging="475"/>
              <w:jc w:val="left"/>
              <w:rPr>
                <w:color w:val="000000" w:themeColor="text1"/>
                <w:lang w:val="en"/>
              </w:rPr>
            </w:pPr>
            <w:r w:rsidRPr="008E34DC">
              <w:rPr>
                <w:color w:val="000000" w:themeColor="text1"/>
                <w:lang w:val="en"/>
              </w:rPr>
              <w:t xml:space="preserve">Left ventricular ejection fraction (LVEF) ≥50%. </w:t>
            </w:r>
          </w:p>
          <w:p w14:paraId="31290C53" w14:textId="14479E79" w:rsidR="00455B9B" w:rsidRPr="00EF7A40" w:rsidRDefault="00455B9B" w:rsidP="004C683F">
            <w:pPr>
              <w:pStyle w:val="13"/>
              <w:numPr>
                <w:ilvl w:val="0"/>
                <w:numId w:val="44"/>
              </w:numPr>
              <w:snapToGrid w:val="0"/>
              <w:spacing w:beforeLines="0" w:after="120" w:line="276" w:lineRule="auto"/>
              <w:ind w:left="418" w:firstLineChars="0" w:hanging="418"/>
              <w:jc w:val="left"/>
              <w:rPr>
                <w:color w:val="000000" w:themeColor="text1"/>
                <w:sz w:val="24"/>
                <w:szCs w:val="24"/>
                <w:lang w:val="en"/>
              </w:rPr>
            </w:pPr>
            <w:r w:rsidRPr="008E34DC">
              <w:rPr>
                <w:color w:val="000000" w:themeColor="text1"/>
                <w:sz w:val="24"/>
                <w:szCs w:val="24"/>
                <w:lang w:val="en"/>
              </w:rPr>
              <w:t>Patients and their spouse</w:t>
            </w:r>
            <w:r w:rsidR="00EA599D">
              <w:rPr>
                <w:color w:val="000000" w:themeColor="text1"/>
                <w:sz w:val="24"/>
                <w:szCs w:val="24"/>
                <w:lang w:val="en"/>
              </w:rPr>
              <w:t>s</w:t>
            </w:r>
            <w:r w:rsidRPr="008E34DC">
              <w:rPr>
                <w:color w:val="000000" w:themeColor="text1"/>
                <w:sz w:val="24"/>
                <w:szCs w:val="24"/>
                <w:lang w:val="en"/>
              </w:rPr>
              <w:t xml:space="preserve"> agree to use reliable contraceptive methods, devices, or medicines (excluding the safe period contraception) within one year after CAR-T cell infusion. </w:t>
            </w:r>
          </w:p>
          <w:p w14:paraId="7241B4A4" w14:textId="11FCD9E6" w:rsidR="00C043AF" w:rsidRPr="009508FE" w:rsidRDefault="00455B9B" w:rsidP="009508FE">
            <w:pPr>
              <w:pStyle w:val="13"/>
              <w:numPr>
                <w:ilvl w:val="0"/>
                <w:numId w:val="44"/>
              </w:numPr>
              <w:snapToGrid w:val="0"/>
              <w:spacing w:beforeLines="0" w:after="120" w:line="276" w:lineRule="auto"/>
              <w:ind w:left="418" w:firstLineChars="0" w:hanging="418"/>
              <w:jc w:val="left"/>
              <w:rPr>
                <w:color w:val="000000" w:themeColor="text1"/>
                <w:sz w:val="24"/>
                <w:szCs w:val="24"/>
              </w:rPr>
            </w:pPr>
            <w:r w:rsidRPr="008E34DC">
              <w:rPr>
                <w:color w:val="000000" w:themeColor="text1"/>
                <w:sz w:val="24"/>
                <w:szCs w:val="24"/>
                <w:lang w:val="en"/>
              </w:rPr>
              <w:t xml:space="preserve">Patients must sign the </w:t>
            </w:r>
            <w:r w:rsidR="009508FE">
              <w:rPr>
                <w:color w:val="000000" w:themeColor="text1"/>
                <w:sz w:val="24"/>
                <w:szCs w:val="24"/>
                <w:lang w:val="en"/>
              </w:rPr>
              <w:t xml:space="preserve">written </w:t>
            </w:r>
            <w:r w:rsidRPr="008E34DC">
              <w:rPr>
                <w:color w:val="000000" w:themeColor="text1"/>
                <w:sz w:val="24"/>
                <w:szCs w:val="24"/>
                <w:lang w:val="en"/>
              </w:rPr>
              <w:t xml:space="preserve">informed consent </w:t>
            </w:r>
            <w:r w:rsidRPr="009508FE">
              <w:rPr>
                <w:color w:val="000000" w:themeColor="text1"/>
                <w:sz w:val="24"/>
                <w:szCs w:val="24"/>
                <w:lang w:val="en"/>
              </w:rPr>
              <w:t xml:space="preserve">form approved Ethics Committee </w:t>
            </w:r>
            <w:r w:rsidR="009508FE">
              <w:rPr>
                <w:color w:val="000000" w:themeColor="text1"/>
                <w:sz w:val="24"/>
                <w:szCs w:val="24"/>
                <w:lang w:val="en"/>
              </w:rPr>
              <w:t>by themselves</w:t>
            </w:r>
            <w:r w:rsidR="009508FE" w:rsidRPr="009508FE" w:rsidDel="009508FE">
              <w:rPr>
                <w:color w:val="000000" w:themeColor="text1"/>
                <w:sz w:val="24"/>
                <w:szCs w:val="24"/>
                <w:lang w:val="en"/>
              </w:rPr>
              <w:t xml:space="preserve"> </w:t>
            </w:r>
            <w:r w:rsidRPr="009508FE">
              <w:rPr>
                <w:color w:val="000000" w:themeColor="text1"/>
                <w:sz w:val="24"/>
                <w:szCs w:val="24"/>
                <w:lang w:val="en"/>
              </w:rPr>
              <w:t>before any screening procedures.</w:t>
            </w:r>
          </w:p>
        </w:tc>
      </w:tr>
      <w:tr w:rsidR="00C043AF" w:rsidRPr="008E34DC" w14:paraId="3193F867" w14:textId="77777777" w:rsidTr="0058514D">
        <w:tc>
          <w:tcPr>
            <w:tcW w:w="2753" w:type="dxa"/>
          </w:tcPr>
          <w:p w14:paraId="10B16179" w14:textId="5734AE1F" w:rsidR="00455B9B" w:rsidRPr="008E34DC" w:rsidRDefault="00455B9B" w:rsidP="00455B9B">
            <w:pPr>
              <w:pStyle w:val="BodyText-10pt"/>
              <w:keepLines/>
              <w:widowControl w:val="0"/>
              <w:rPr>
                <w:rFonts w:cs="Times New Roman"/>
                <w:b/>
                <w:bCs/>
                <w:sz w:val="24"/>
                <w:szCs w:val="24"/>
              </w:rPr>
            </w:pPr>
            <w:r w:rsidRPr="008E34DC">
              <w:rPr>
                <w:rFonts w:cs="Times New Roman"/>
                <w:b/>
                <w:bCs/>
                <w:sz w:val="24"/>
                <w:szCs w:val="24"/>
              </w:rPr>
              <w:lastRenderedPageBreak/>
              <w:t xml:space="preserve">Exclusion Criteria:  </w:t>
            </w:r>
          </w:p>
          <w:p w14:paraId="0E710D2A" w14:textId="62592370" w:rsidR="00C043AF" w:rsidRPr="008E34DC" w:rsidRDefault="00C043AF" w:rsidP="00C043AF">
            <w:pPr>
              <w:rPr>
                <w:b/>
              </w:rPr>
            </w:pPr>
          </w:p>
        </w:tc>
        <w:tc>
          <w:tcPr>
            <w:tcW w:w="6597" w:type="dxa"/>
          </w:tcPr>
          <w:p w14:paraId="597AAEB5" w14:textId="382BE4C6" w:rsidR="00455B9B" w:rsidRPr="004322E6" w:rsidRDefault="00455B9B" w:rsidP="004322E6">
            <w:r w:rsidRPr="00EF7A40">
              <w:rPr>
                <w:lang w:val="en"/>
              </w:rPr>
              <w:t xml:space="preserve">Patients </w:t>
            </w:r>
            <w:r w:rsidRPr="004322E6">
              <w:rPr>
                <w:lang w:val="en"/>
              </w:rPr>
              <w:t>who meet any of the following criteria will be excluded:</w:t>
            </w:r>
          </w:p>
          <w:p w14:paraId="0D172F84" w14:textId="31813FB9" w:rsidR="00455B9B" w:rsidRPr="00EF7A40" w:rsidRDefault="00455B9B" w:rsidP="004C683F">
            <w:pPr>
              <w:pStyle w:val="aff"/>
              <w:widowControl w:val="0"/>
              <w:numPr>
                <w:ilvl w:val="0"/>
                <w:numId w:val="46"/>
              </w:numPr>
              <w:spacing w:after="120" w:line="276" w:lineRule="auto"/>
              <w:ind w:left="418" w:hanging="418"/>
              <w:contextualSpacing w:val="0"/>
              <w:rPr>
                <w:rFonts w:ascii="Times New Roman" w:hAnsi="Times New Roman" w:cs="Times New Roman"/>
                <w:color w:val="000000" w:themeColor="text1"/>
                <w:sz w:val="24"/>
                <w:szCs w:val="24"/>
              </w:rPr>
            </w:pPr>
            <w:r w:rsidRPr="00EF7A40">
              <w:rPr>
                <w:rFonts w:ascii="Times New Roman" w:hAnsi="Times New Roman" w:cs="Times New Roman"/>
                <w:color w:val="000000" w:themeColor="text1"/>
                <w:sz w:val="24"/>
                <w:szCs w:val="24"/>
                <w:lang w:val="en"/>
              </w:rPr>
              <w:t xml:space="preserve">Patients with known resistance to </w:t>
            </w:r>
            <w:r w:rsidR="00F31A05">
              <w:rPr>
                <w:rFonts w:ascii="Times New Roman" w:hAnsi="Times New Roman" w:cs="Times New Roman"/>
                <w:color w:val="000000" w:themeColor="text1"/>
                <w:sz w:val="24"/>
                <w:szCs w:val="24"/>
                <w:lang w:val="en"/>
              </w:rPr>
              <w:t>Selinexor</w:t>
            </w:r>
            <w:r w:rsidRPr="00EF7A40">
              <w:rPr>
                <w:rFonts w:ascii="Times New Roman" w:hAnsi="Times New Roman" w:cs="Times New Roman"/>
                <w:color w:val="000000" w:themeColor="text1"/>
                <w:sz w:val="24"/>
                <w:szCs w:val="24"/>
                <w:lang w:val="en"/>
              </w:rPr>
              <w:t xml:space="preserve">. </w:t>
            </w:r>
          </w:p>
          <w:p w14:paraId="4D868E47" w14:textId="196A8DAF" w:rsidR="00455B9B" w:rsidRPr="00EF7A40" w:rsidRDefault="00455B9B" w:rsidP="004C683F">
            <w:pPr>
              <w:pStyle w:val="aff"/>
              <w:widowControl w:val="0"/>
              <w:numPr>
                <w:ilvl w:val="0"/>
                <w:numId w:val="46"/>
              </w:numPr>
              <w:spacing w:after="120" w:line="276" w:lineRule="auto"/>
              <w:ind w:left="418" w:hanging="418"/>
              <w:contextualSpacing w:val="0"/>
              <w:rPr>
                <w:rFonts w:ascii="Times New Roman" w:hAnsi="Times New Roman" w:cs="Times New Roman"/>
                <w:color w:val="000000" w:themeColor="text1"/>
                <w:sz w:val="24"/>
                <w:szCs w:val="24"/>
                <w:lang w:val="en"/>
              </w:rPr>
            </w:pPr>
            <w:r w:rsidRPr="00EF7A40">
              <w:rPr>
                <w:rFonts w:ascii="Times New Roman" w:hAnsi="Times New Roman" w:cs="Times New Roman"/>
                <w:color w:val="000000" w:themeColor="text1"/>
                <w:sz w:val="24"/>
                <w:szCs w:val="24"/>
                <w:lang w:val="en"/>
              </w:rPr>
              <w:t xml:space="preserve">Patients with graft-versus-host disease (GVHD) or autoimmune diseases requiring long-term immunosuppressive therapy. </w:t>
            </w:r>
          </w:p>
          <w:p w14:paraId="3E0D23E4" w14:textId="14FC860A" w:rsidR="00455B9B" w:rsidRPr="00EF7A40" w:rsidRDefault="00455B9B" w:rsidP="004C683F">
            <w:pPr>
              <w:pStyle w:val="aff"/>
              <w:widowControl w:val="0"/>
              <w:numPr>
                <w:ilvl w:val="0"/>
                <w:numId w:val="46"/>
              </w:numPr>
              <w:spacing w:after="120" w:line="276" w:lineRule="auto"/>
              <w:ind w:left="418" w:hanging="418"/>
              <w:contextualSpacing w:val="0"/>
              <w:rPr>
                <w:rFonts w:ascii="Times New Roman" w:hAnsi="Times New Roman" w:cs="Times New Roman"/>
                <w:color w:val="000000" w:themeColor="text1"/>
                <w:sz w:val="24"/>
                <w:szCs w:val="24"/>
                <w:lang w:val="en"/>
              </w:rPr>
            </w:pPr>
            <w:r w:rsidRPr="00EF7A40">
              <w:rPr>
                <w:rFonts w:ascii="Times New Roman" w:hAnsi="Times New Roman" w:cs="Times New Roman"/>
                <w:color w:val="000000" w:themeColor="text1"/>
                <w:sz w:val="24"/>
                <w:szCs w:val="24"/>
                <w:lang w:val="en"/>
              </w:rPr>
              <w:t xml:space="preserve">Patients have received the following prior cancer therapies:  </w:t>
            </w:r>
          </w:p>
          <w:p w14:paraId="1926C376" w14:textId="13DCA166" w:rsidR="00455B9B" w:rsidRPr="00EF7A40" w:rsidRDefault="00455B9B" w:rsidP="004C683F">
            <w:pPr>
              <w:pStyle w:val="aff3"/>
              <w:numPr>
                <w:ilvl w:val="0"/>
                <w:numId w:val="43"/>
              </w:numPr>
              <w:topLinePunct/>
              <w:adjustRightInd w:val="0"/>
              <w:snapToGrid w:val="0"/>
              <w:spacing w:after="120" w:line="276" w:lineRule="auto"/>
              <w:ind w:left="835" w:firstLineChars="0" w:hanging="475"/>
              <w:jc w:val="left"/>
              <w:rPr>
                <w:color w:val="000000" w:themeColor="text1"/>
                <w:lang w:val="en"/>
              </w:rPr>
            </w:pPr>
            <w:r w:rsidRPr="00EF7A40">
              <w:rPr>
                <w:color w:val="000000" w:themeColor="text1"/>
                <w:lang w:val="en"/>
              </w:rPr>
              <w:lastRenderedPageBreak/>
              <w:t>Monoclonal antibody therapy for MM within 21 days before the monocyte collection, or</w:t>
            </w:r>
          </w:p>
          <w:p w14:paraId="7F255357" w14:textId="12287291" w:rsidR="00455B9B" w:rsidRPr="00EF7A40" w:rsidRDefault="00455B9B" w:rsidP="004C683F">
            <w:pPr>
              <w:pStyle w:val="aff3"/>
              <w:numPr>
                <w:ilvl w:val="0"/>
                <w:numId w:val="43"/>
              </w:numPr>
              <w:topLinePunct/>
              <w:adjustRightInd w:val="0"/>
              <w:snapToGrid w:val="0"/>
              <w:spacing w:after="120" w:line="276" w:lineRule="auto"/>
              <w:ind w:left="835" w:firstLineChars="0" w:hanging="475"/>
              <w:jc w:val="left"/>
              <w:rPr>
                <w:color w:val="000000" w:themeColor="text1"/>
                <w:lang w:val="en"/>
              </w:rPr>
            </w:pPr>
            <w:r w:rsidRPr="00EF7A40">
              <w:rPr>
                <w:color w:val="000000" w:themeColor="text1"/>
                <w:lang w:val="en"/>
              </w:rPr>
              <w:t xml:space="preserve">Cytotoxic chemotherapy or proteasome inhibitors within 14 days before the monocyte collection, or </w:t>
            </w:r>
          </w:p>
          <w:p w14:paraId="55FB29C3" w14:textId="37683C25" w:rsidR="00455B9B" w:rsidRPr="00EF7A40" w:rsidRDefault="00455B9B" w:rsidP="004C683F">
            <w:pPr>
              <w:pStyle w:val="aff3"/>
              <w:numPr>
                <w:ilvl w:val="0"/>
                <w:numId w:val="43"/>
              </w:numPr>
              <w:topLinePunct/>
              <w:adjustRightInd w:val="0"/>
              <w:snapToGrid w:val="0"/>
              <w:spacing w:after="120" w:line="276" w:lineRule="auto"/>
              <w:ind w:left="835" w:firstLineChars="0" w:hanging="475"/>
              <w:jc w:val="left"/>
              <w:rPr>
                <w:color w:val="000000" w:themeColor="text1"/>
                <w:lang w:val="en"/>
              </w:rPr>
            </w:pPr>
            <w:r w:rsidRPr="00EF7A40">
              <w:rPr>
                <w:color w:val="000000" w:themeColor="text1"/>
                <w:lang w:val="en"/>
              </w:rPr>
              <w:t xml:space="preserve">Immunomodulatory agents within </w:t>
            </w:r>
            <w:r w:rsidR="00EA599D">
              <w:rPr>
                <w:color w:val="000000" w:themeColor="text1"/>
                <w:lang w:val="en"/>
              </w:rPr>
              <w:t>seven</w:t>
            </w:r>
            <w:r w:rsidRPr="00EF7A40">
              <w:rPr>
                <w:color w:val="000000" w:themeColor="text1"/>
                <w:lang w:val="en"/>
              </w:rPr>
              <w:t xml:space="preserve"> days before the monocyte collection, or</w:t>
            </w:r>
          </w:p>
          <w:p w14:paraId="1F7E131B" w14:textId="60D9B783" w:rsidR="00455B9B" w:rsidRPr="00EF7A40" w:rsidRDefault="00455B9B" w:rsidP="004C683F">
            <w:pPr>
              <w:pStyle w:val="aff3"/>
              <w:numPr>
                <w:ilvl w:val="0"/>
                <w:numId w:val="43"/>
              </w:numPr>
              <w:topLinePunct/>
              <w:adjustRightInd w:val="0"/>
              <w:snapToGrid w:val="0"/>
              <w:spacing w:after="120" w:line="276" w:lineRule="auto"/>
              <w:ind w:left="835" w:firstLineChars="0" w:hanging="475"/>
              <w:jc w:val="left"/>
              <w:rPr>
                <w:color w:val="000000" w:themeColor="text1"/>
              </w:rPr>
            </w:pPr>
            <w:r w:rsidRPr="00EF7A40">
              <w:rPr>
                <w:color w:val="000000" w:themeColor="text1"/>
                <w:lang w:val="en"/>
              </w:rPr>
              <w:t xml:space="preserve">Other cancer therapy </w:t>
            </w:r>
            <w:r w:rsidR="00EA599D">
              <w:rPr>
                <w:rFonts w:hint="eastAsia"/>
                <w:color w:val="000000" w:themeColor="text1"/>
                <w:lang w:val="en"/>
              </w:rPr>
              <w:t>besides</w:t>
            </w:r>
            <w:r w:rsidRPr="00EF7A40">
              <w:rPr>
                <w:color w:val="000000" w:themeColor="text1"/>
                <w:lang w:val="en"/>
              </w:rPr>
              <w:t xml:space="preserve"> those listed above within 30 days before the monocyte collection. </w:t>
            </w:r>
          </w:p>
          <w:p w14:paraId="42AFB08D" w14:textId="39C976F1" w:rsidR="00455B9B" w:rsidRPr="00EF7A40" w:rsidRDefault="00455B9B" w:rsidP="004C683F">
            <w:pPr>
              <w:pStyle w:val="aff"/>
              <w:widowControl w:val="0"/>
              <w:numPr>
                <w:ilvl w:val="0"/>
                <w:numId w:val="46"/>
              </w:numPr>
              <w:spacing w:after="120" w:line="276" w:lineRule="auto"/>
              <w:ind w:left="418" w:hanging="418"/>
              <w:contextualSpacing w:val="0"/>
              <w:rPr>
                <w:rFonts w:ascii="Times New Roman" w:hAnsi="Times New Roman" w:cs="Times New Roman"/>
                <w:color w:val="000000" w:themeColor="text1"/>
                <w:sz w:val="24"/>
                <w:szCs w:val="24"/>
                <w:lang w:val="en"/>
              </w:rPr>
            </w:pPr>
            <w:r w:rsidRPr="00EF7A40">
              <w:rPr>
                <w:rFonts w:ascii="Times New Roman" w:hAnsi="Times New Roman" w:cs="Times New Roman"/>
                <w:color w:val="000000" w:themeColor="text1"/>
                <w:sz w:val="24"/>
                <w:szCs w:val="24"/>
                <w:lang w:val="en"/>
              </w:rPr>
              <w:t>Patients ha</w:t>
            </w:r>
            <w:r w:rsidR="00EA599D">
              <w:rPr>
                <w:rFonts w:ascii="Times New Roman" w:hAnsi="Times New Roman" w:cs="Times New Roman"/>
                <w:color w:val="000000" w:themeColor="text1"/>
                <w:sz w:val="24"/>
                <w:szCs w:val="24"/>
                <w:lang w:val="en"/>
              </w:rPr>
              <w:t>d</w:t>
            </w:r>
            <w:r w:rsidRPr="00EF7A40">
              <w:rPr>
                <w:rFonts w:ascii="Times New Roman" w:hAnsi="Times New Roman" w:cs="Times New Roman"/>
                <w:color w:val="000000" w:themeColor="text1"/>
                <w:sz w:val="24"/>
                <w:szCs w:val="24"/>
                <w:lang w:val="en"/>
              </w:rPr>
              <w:t xml:space="preserve"> received a therapeutic dose of corticosteroids (defined as prednisone or equivalent </w:t>
            </w:r>
            <w:r w:rsidR="00F458B7">
              <w:rPr>
                <w:rFonts w:ascii="Times New Roman" w:hAnsi="Times New Roman" w:cs="Times New Roman"/>
                <w:color w:val="000000" w:themeColor="text1"/>
                <w:sz w:val="24"/>
                <w:szCs w:val="24"/>
                <w:lang w:val="en"/>
              </w:rPr>
              <w:t>&gt;</w:t>
            </w:r>
            <w:r w:rsidRPr="00EF7A40">
              <w:rPr>
                <w:rFonts w:ascii="Times New Roman" w:hAnsi="Times New Roman" w:cs="Times New Roman"/>
                <w:color w:val="000000" w:themeColor="text1"/>
                <w:sz w:val="24"/>
                <w:szCs w:val="24"/>
                <w:lang w:val="en"/>
              </w:rPr>
              <w:t xml:space="preserve">20 mg/day) within </w:t>
            </w:r>
            <w:r w:rsidR="00EA599D">
              <w:rPr>
                <w:rFonts w:ascii="Times New Roman" w:hAnsi="Times New Roman" w:cs="Times New Roman"/>
                <w:color w:val="000000" w:themeColor="text1"/>
                <w:sz w:val="24"/>
                <w:szCs w:val="24"/>
                <w:lang w:val="en"/>
              </w:rPr>
              <w:t>seven</w:t>
            </w:r>
            <w:r w:rsidRPr="00EF7A40">
              <w:rPr>
                <w:rFonts w:ascii="Times New Roman" w:hAnsi="Times New Roman" w:cs="Times New Roman"/>
                <w:color w:val="000000" w:themeColor="text1"/>
                <w:sz w:val="24"/>
                <w:szCs w:val="24"/>
                <w:lang w:val="en"/>
              </w:rPr>
              <w:t xml:space="preserve"> days before </w:t>
            </w:r>
            <w:r w:rsidR="009508FE">
              <w:rPr>
                <w:rFonts w:ascii="Times New Roman" w:hAnsi="Times New Roman" w:cs="Times New Roman"/>
                <w:color w:val="000000" w:themeColor="text1"/>
                <w:sz w:val="24"/>
                <w:szCs w:val="24"/>
                <w:lang w:val="en"/>
              </w:rPr>
              <w:t>s</w:t>
            </w:r>
            <w:r w:rsidR="009508FE" w:rsidRPr="00EF7A40">
              <w:rPr>
                <w:rFonts w:ascii="Times New Roman" w:hAnsi="Times New Roman" w:cs="Times New Roman"/>
                <w:color w:val="000000" w:themeColor="text1"/>
                <w:sz w:val="24"/>
                <w:szCs w:val="24"/>
                <w:lang w:val="en"/>
              </w:rPr>
              <w:t>creening</w:t>
            </w:r>
            <w:r w:rsidRPr="00EF7A40">
              <w:rPr>
                <w:rFonts w:ascii="Times New Roman" w:hAnsi="Times New Roman" w:cs="Times New Roman"/>
                <w:color w:val="000000" w:themeColor="text1"/>
                <w:sz w:val="24"/>
                <w:szCs w:val="24"/>
                <w:lang w:val="en"/>
              </w:rPr>
              <w:t xml:space="preserve">, </w:t>
            </w:r>
            <w:r w:rsidR="00EA599D">
              <w:rPr>
                <w:rFonts w:ascii="Times New Roman" w:hAnsi="Times New Roman" w:cs="Times New Roman"/>
                <w:color w:val="000000" w:themeColor="text1"/>
                <w:sz w:val="24"/>
                <w:szCs w:val="24"/>
                <w:lang w:val="en"/>
              </w:rPr>
              <w:t>except for</w:t>
            </w:r>
            <w:r w:rsidRPr="00EF7A40">
              <w:rPr>
                <w:rFonts w:ascii="Times New Roman" w:hAnsi="Times New Roman" w:cs="Times New Roman"/>
                <w:color w:val="000000" w:themeColor="text1"/>
                <w:sz w:val="24"/>
                <w:szCs w:val="24"/>
                <w:lang w:val="en"/>
              </w:rPr>
              <w:t xml:space="preserve"> physiological replacement, topical, and inhaled steroids. </w:t>
            </w:r>
          </w:p>
          <w:p w14:paraId="6914DE79" w14:textId="00E4DF96" w:rsidR="00455B9B" w:rsidRPr="00EF7A40" w:rsidRDefault="00455B9B" w:rsidP="004C683F">
            <w:pPr>
              <w:pStyle w:val="aff"/>
              <w:widowControl w:val="0"/>
              <w:numPr>
                <w:ilvl w:val="0"/>
                <w:numId w:val="46"/>
              </w:numPr>
              <w:spacing w:after="120" w:line="276" w:lineRule="auto"/>
              <w:ind w:left="418" w:hanging="418"/>
              <w:contextualSpacing w:val="0"/>
              <w:rPr>
                <w:rFonts w:ascii="Times New Roman" w:hAnsi="Times New Roman" w:cs="Times New Roman"/>
                <w:color w:val="000000" w:themeColor="text1"/>
                <w:sz w:val="24"/>
                <w:szCs w:val="24"/>
                <w:lang w:val="en"/>
              </w:rPr>
            </w:pPr>
            <w:r w:rsidRPr="00EF7A40">
              <w:rPr>
                <w:rFonts w:ascii="Times New Roman" w:hAnsi="Times New Roman" w:cs="Times New Roman"/>
                <w:color w:val="000000" w:themeColor="text1"/>
                <w:sz w:val="24"/>
                <w:szCs w:val="24"/>
                <w:lang w:val="en"/>
              </w:rPr>
              <w:t>Patients with hypertension cannot be controlled by medication.</w:t>
            </w:r>
          </w:p>
          <w:p w14:paraId="60A7AC36" w14:textId="73522D97" w:rsidR="00455B9B" w:rsidRPr="00EF7A40" w:rsidRDefault="00455B9B" w:rsidP="004C683F">
            <w:pPr>
              <w:pStyle w:val="aff"/>
              <w:widowControl w:val="0"/>
              <w:numPr>
                <w:ilvl w:val="0"/>
                <w:numId w:val="46"/>
              </w:numPr>
              <w:spacing w:after="120" w:line="276" w:lineRule="auto"/>
              <w:ind w:left="418" w:hanging="418"/>
              <w:contextualSpacing w:val="0"/>
              <w:rPr>
                <w:rFonts w:ascii="Times New Roman" w:hAnsi="Times New Roman" w:cs="Times New Roman"/>
                <w:color w:val="000000" w:themeColor="text1"/>
                <w:sz w:val="24"/>
                <w:szCs w:val="24"/>
                <w:lang w:val="en"/>
              </w:rPr>
            </w:pPr>
            <w:r w:rsidRPr="00EF7A40">
              <w:rPr>
                <w:rFonts w:ascii="Times New Roman" w:hAnsi="Times New Roman" w:cs="Times New Roman"/>
                <w:color w:val="000000" w:themeColor="text1"/>
                <w:sz w:val="24"/>
                <w:szCs w:val="24"/>
                <w:lang w:val="en"/>
              </w:rPr>
              <w:t xml:space="preserve">Severe heart disease: including but not limited to unstable angina, myocardial infarction (within </w:t>
            </w:r>
            <w:r w:rsidR="00EA599D">
              <w:rPr>
                <w:rFonts w:ascii="Times New Roman" w:hAnsi="Times New Roman" w:cs="Times New Roman"/>
                <w:color w:val="000000" w:themeColor="text1"/>
                <w:sz w:val="24"/>
                <w:szCs w:val="24"/>
                <w:lang w:val="en"/>
              </w:rPr>
              <w:t>six</w:t>
            </w:r>
            <w:r w:rsidRPr="00EF7A40">
              <w:rPr>
                <w:rFonts w:ascii="Times New Roman" w:hAnsi="Times New Roman" w:cs="Times New Roman"/>
                <w:color w:val="000000" w:themeColor="text1"/>
                <w:sz w:val="24"/>
                <w:szCs w:val="24"/>
                <w:lang w:val="en"/>
              </w:rPr>
              <w:t xml:space="preserve"> months before Screening), congestive heart failure (New York Heart Association [NYHA] functional classification </w:t>
            </w:r>
            <w:r w:rsidR="00F458B7">
              <w:rPr>
                <w:rFonts w:ascii="Times New Roman" w:hAnsi="Times New Roman" w:cs="Times New Roman"/>
                <w:color w:val="000000" w:themeColor="text1"/>
                <w:sz w:val="24"/>
                <w:szCs w:val="24"/>
                <w:lang w:val="en"/>
              </w:rPr>
              <w:t>≥</w:t>
            </w:r>
            <w:r w:rsidRPr="00EF7A40">
              <w:rPr>
                <w:rFonts w:ascii="Times New Roman" w:hAnsi="Times New Roman" w:cs="Times New Roman"/>
                <w:color w:val="000000" w:themeColor="text1"/>
                <w:sz w:val="24"/>
                <w:szCs w:val="24"/>
                <w:lang w:val="en"/>
              </w:rPr>
              <w:t xml:space="preserve">class III), serious cardiac arrhythmia. </w:t>
            </w:r>
          </w:p>
          <w:p w14:paraId="1B866ECF" w14:textId="32ABF7BC" w:rsidR="00455B9B" w:rsidRPr="00EF7A40" w:rsidRDefault="00455B9B" w:rsidP="004C683F">
            <w:pPr>
              <w:pStyle w:val="aff"/>
              <w:widowControl w:val="0"/>
              <w:numPr>
                <w:ilvl w:val="0"/>
                <w:numId w:val="46"/>
              </w:numPr>
              <w:spacing w:after="120" w:line="276" w:lineRule="auto"/>
              <w:ind w:left="418" w:hanging="418"/>
              <w:contextualSpacing w:val="0"/>
              <w:rPr>
                <w:rFonts w:ascii="Times New Roman" w:hAnsi="Times New Roman" w:cs="Times New Roman"/>
                <w:color w:val="000000" w:themeColor="text1"/>
                <w:sz w:val="24"/>
                <w:szCs w:val="24"/>
                <w:lang w:val="en"/>
              </w:rPr>
            </w:pPr>
            <w:r w:rsidRPr="00EF7A40">
              <w:rPr>
                <w:rFonts w:ascii="Times New Roman" w:hAnsi="Times New Roman" w:cs="Times New Roman"/>
                <w:color w:val="000000" w:themeColor="text1"/>
                <w:sz w:val="24"/>
                <w:szCs w:val="24"/>
                <w:lang w:val="en"/>
              </w:rPr>
              <w:t xml:space="preserve">Any unstable systemic disease as judged by the investigator: including but not limited to severe liver, renal, or metabolic disease requiring medication. </w:t>
            </w:r>
          </w:p>
          <w:p w14:paraId="0F55B0DA" w14:textId="5E4D22B4" w:rsidR="00455B9B" w:rsidRPr="00EF7A40" w:rsidRDefault="00455B9B" w:rsidP="004C683F">
            <w:pPr>
              <w:pStyle w:val="aff"/>
              <w:widowControl w:val="0"/>
              <w:numPr>
                <w:ilvl w:val="0"/>
                <w:numId w:val="46"/>
              </w:numPr>
              <w:spacing w:after="120" w:line="276" w:lineRule="auto"/>
              <w:ind w:left="418" w:hanging="418"/>
              <w:contextualSpacing w:val="0"/>
              <w:rPr>
                <w:rFonts w:ascii="Times New Roman" w:hAnsi="Times New Roman" w:cs="Times New Roman"/>
                <w:color w:val="000000" w:themeColor="text1"/>
                <w:sz w:val="24"/>
                <w:szCs w:val="24"/>
                <w:lang w:val="en"/>
              </w:rPr>
            </w:pPr>
            <w:r w:rsidRPr="00EF7A40">
              <w:rPr>
                <w:rFonts w:ascii="Times New Roman" w:hAnsi="Times New Roman" w:cs="Times New Roman"/>
                <w:color w:val="000000" w:themeColor="text1"/>
                <w:sz w:val="24"/>
                <w:szCs w:val="24"/>
                <w:lang w:val="en"/>
              </w:rPr>
              <w:t xml:space="preserve">Malignant tumors other than MM within </w:t>
            </w:r>
            <w:r w:rsidR="00EA599D">
              <w:rPr>
                <w:rFonts w:ascii="Times New Roman" w:hAnsi="Times New Roman" w:cs="Times New Roman"/>
                <w:color w:val="000000" w:themeColor="text1"/>
                <w:sz w:val="24"/>
                <w:szCs w:val="24"/>
                <w:lang w:val="en"/>
              </w:rPr>
              <w:t>five</w:t>
            </w:r>
            <w:r w:rsidRPr="00EF7A40">
              <w:rPr>
                <w:rFonts w:ascii="Times New Roman" w:hAnsi="Times New Roman" w:cs="Times New Roman"/>
                <w:color w:val="000000" w:themeColor="text1"/>
                <w:sz w:val="24"/>
                <w:szCs w:val="24"/>
                <w:lang w:val="en"/>
              </w:rPr>
              <w:t xml:space="preserve"> years before </w:t>
            </w:r>
            <w:r w:rsidR="00EA599D">
              <w:rPr>
                <w:rFonts w:ascii="Times New Roman" w:hAnsi="Times New Roman" w:cs="Times New Roman"/>
                <w:color w:val="000000" w:themeColor="text1"/>
                <w:sz w:val="24"/>
                <w:szCs w:val="24"/>
                <w:lang w:val="en"/>
              </w:rPr>
              <w:t xml:space="preserve">the </w:t>
            </w:r>
            <w:r w:rsidR="009508FE">
              <w:rPr>
                <w:rFonts w:ascii="Times New Roman" w:hAnsi="Times New Roman" w:cs="Times New Roman"/>
                <w:color w:val="000000" w:themeColor="text1"/>
                <w:sz w:val="24"/>
                <w:szCs w:val="24"/>
                <w:lang w:val="en"/>
              </w:rPr>
              <w:t>s</w:t>
            </w:r>
            <w:r w:rsidR="009508FE" w:rsidRPr="00EF7A40">
              <w:rPr>
                <w:rFonts w:ascii="Times New Roman" w:hAnsi="Times New Roman" w:cs="Times New Roman"/>
                <w:color w:val="000000" w:themeColor="text1"/>
                <w:sz w:val="24"/>
                <w:szCs w:val="24"/>
                <w:lang w:val="en"/>
              </w:rPr>
              <w:t>creening</w:t>
            </w:r>
            <w:r w:rsidRPr="00EF7A40">
              <w:rPr>
                <w:rFonts w:ascii="Times New Roman" w:hAnsi="Times New Roman" w:cs="Times New Roman"/>
                <w:color w:val="000000" w:themeColor="text1"/>
                <w:sz w:val="24"/>
                <w:szCs w:val="24"/>
                <w:lang w:val="en"/>
              </w:rPr>
              <w:t xml:space="preserve">, excluding adequately treated carcinoma in situ of </w:t>
            </w:r>
            <w:r w:rsidR="00EA599D">
              <w:rPr>
                <w:rFonts w:ascii="Times New Roman" w:hAnsi="Times New Roman" w:cs="Times New Roman"/>
                <w:color w:val="000000" w:themeColor="text1"/>
                <w:sz w:val="24"/>
                <w:szCs w:val="24"/>
                <w:lang w:val="en"/>
              </w:rPr>
              <w:t xml:space="preserve">the </w:t>
            </w:r>
            <w:r w:rsidRPr="00EF7A40">
              <w:rPr>
                <w:rFonts w:ascii="Times New Roman" w:hAnsi="Times New Roman" w:cs="Times New Roman"/>
                <w:color w:val="000000" w:themeColor="text1"/>
                <w:sz w:val="24"/>
                <w:szCs w:val="24"/>
                <w:lang w:val="en"/>
              </w:rPr>
              <w:t xml:space="preserve">cervix, basal cell or squamous cell skin cancer, localized prostate cancer following radical prostatectomy, </w:t>
            </w:r>
            <w:r w:rsidR="00EA599D">
              <w:rPr>
                <w:rFonts w:ascii="Times New Roman" w:hAnsi="Times New Roman" w:cs="Times New Roman"/>
                <w:color w:val="000000" w:themeColor="text1"/>
                <w:sz w:val="24"/>
                <w:szCs w:val="24"/>
                <w:lang w:val="en"/>
              </w:rPr>
              <w:t xml:space="preserve">and </w:t>
            </w:r>
            <w:r w:rsidRPr="00EF7A40">
              <w:rPr>
                <w:rFonts w:ascii="Times New Roman" w:hAnsi="Times New Roman" w:cs="Times New Roman"/>
                <w:color w:val="000000" w:themeColor="text1"/>
                <w:sz w:val="24"/>
                <w:szCs w:val="24"/>
                <w:lang w:val="en"/>
              </w:rPr>
              <w:t xml:space="preserve">ductal carcinoma in situ after mastectomy. </w:t>
            </w:r>
          </w:p>
          <w:p w14:paraId="656E50C4" w14:textId="466E2CBD" w:rsidR="00455B9B" w:rsidRPr="00EF7A40" w:rsidRDefault="00455B9B" w:rsidP="004C683F">
            <w:pPr>
              <w:pStyle w:val="aff"/>
              <w:widowControl w:val="0"/>
              <w:numPr>
                <w:ilvl w:val="0"/>
                <w:numId w:val="46"/>
              </w:numPr>
              <w:spacing w:after="120" w:line="276" w:lineRule="auto"/>
              <w:ind w:left="418" w:hanging="418"/>
              <w:contextualSpacing w:val="0"/>
              <w:rPr>
                <w:rFonts w:ascii="Times New Roman" w:hAnsi="Times New Roman" w:cs="Times New Roman"/>
                <w:color w:val="000000" w:themeColor="text1"/>
                <w:sz w:val="24"/>
                <w:szCs w:val="24"/>
                <w:lang w:val="en"/>
              </w:rPr>
            </w:pPr>
            <w:r w:rsidRPr="00EF7A40">
              <w:rPr>
                <w:rFonts w:ascii="Times New Roman" w:hAnsi="Times New Roman" w:cs="Times New Roman"/>
                <w:color w:val="000000" w:themeColor="text1"/>
                <w:sz w:val="24"/>
                <w:szCs w:val="24"/>
                <w:lang w:val="en"/>
              </w:rPr>
              <w:t xml:space="preserve">Patients with a history of solid organ transplantation.  </w:t>
            </w:r>
          </w:p>
          <w:p w14:paraId="541D6A89" w14:textId="0D6E336A" w:rsidR="00455B9B" w:rsidRPr="00EF7A40" w:rsidRDefault="00455B9B" w:rsidP="004C683F">
            <w:pPr>
              <w:pStyle w:val="aff"/>
              <w:widowControl w:val="0"/>
              <w:numPr>
                <w:ilvl w:val="0"/>
                <w:numId w:val="46"/>
              </w:numPr>
              <w:spacing w:after="120" w:line="276" w:lineRule="auto"/>
              <w:ind w:left="418" w:hanging="418"/>
              <w:contextualSpacing w:val="0"/>
              <w:rPr>
                <w:rFonts w:ascii="Times New Roman" w:hAnsi="Times New Roman" w:cs="Times New Roman"/>
                <w:color w:val="000000" w:themeColor="text1"/>
                <w:sz w:val="24"/>
                <w:szCs w:val="24"/>
                <w:lang w:val="en"/>
              </w:rPr>
            </w:pPr>
            <w:r w:rsidRPr="00EF7A40">
              <w:rPr>
                <w:rFonts w:ascii="Times New Roman" w:hAnsi="Times New Roman" w:cs="Times New Roman"/>
                <w:color w:val="000000" w:themeColor="text1"/>
                <w:sz w:val="24"/>
                <w:szCs w:val="24"/>
                <w:lang w:val="en"/>
              </w:rPr>
              <w:t xml:space="preserve">Have undergone major surgeries within </w:t>
            </w:r>
            <w:r w:rsidR="00EA599D">
              <w:rPr>
                <w:rFonts w:ascii="Times New Roman" w:hAnsi="Times New Roman" w:cs="Times New Roman"/>
                <w:color w:val="000000" w:themeColor="text1"/>
                <w:sz w:val="24"/>
                <w:szCs w:val="24"/>
                <w:lang w:val="en"/>
              </w:rPr>
              <w:t>two</w:t>
            </w:r>
            <w:r w:rsidRPr="00EF7A40">
              <w:rPr>
                <w:rFonts w:ascii="Times New Roman" w:hAnsi="Times New Roman" w:cs="Times New Roman"/>
                <w:color w:val="000000" w:themeColor="text1"/>
                <w:sz w:val="24"/>
                <w:szCs w:val="24"/>
                <w:lang w:val="en"/>
              </w:rPr>
              <w:t xml:space="preserve"> weeks before the monocyte collection or planned surgeries within </w:t>
            </w:r>
            <w:r w:rsidR="00EA599D">
              <w:rPr>
                <w:rFonts w:ascii="Times New Roman" w:hAnsi="Times New Roman" w:cs="Times New Roman"/>
                <w:color w:val="000000" w:themeColor="text1"/>
                <w:sz w:val="24"/>
                <w:szCs w:val="24"/>
                <w:lang w:val="en"/>
              </w:rPr>
              <w:t>two</w:t>
            </w:r>
            <w:r w:rsidRPr="00EF7A40">
              <w:rPr>
                <w:rFonts w:ascii="Times New Roman" w:hAnsi="Times New Roman" w:cs="Times New Roman"/>
                <w:color w:val="000000" w:themeColor="text1"/>
                <w:sz w:val="24"/>
                <w:szCs w:val="24"/>
                <w:lang w:val="en"/>
              </w:rPr>
              <w:t xml:space="preserve"> weeks after the study treatment (patients planning for local anesthesia may participate in this study). </w:t>
            </w:r>
          </w:p>
          <w:p w14:paraId="078CE2DD" w14:textId="299A41CB" w:rsidR="00455B9B" w:rsidRPr="00EF7A40" w:rsidRDefault="00455B9B" w:rsidP="004C683F">
            <w:pPr>
              <w:pStyle w:val="aff"/>
              <w:widowControl w:val="0"/>
              <w:numPr>
                <w:ilvl w:val="0"/>
                <w:numId w:val="46"/>
              </w:numPr>
              <w:spacing w:after="120" w:line="276" w:lineRule="auto"/>
              <w:ind w:left="418" w:hanging="418"/>
              <w:contextualSpacing w:val="0"/>
              <w:rPr>
                <w:rFonts w:ascii="Times New Roman" w:hAnsi="Times New Roman" w:cs="Times New Roman"/>
                <w:color w:val="000000" w:themeColor="text1"/>
                <w:sz w:val="24"/>
                <w:szCs w:val="24"/>
                <w:lang w:val="en"/>
              </w:rPr>
            </w:pPr>
            <w:r w:rsidRPr="00EF7A40">
              <w:rPr>
                <w:rFonts w:ascii="Times New Roman" w:hAnsi="Times New Roman" w:cs="Times New Roman"/>
                <w:color w:val="000000" w:themeColor="text1"/>
                <w:sz w:val="24"/>
                <w:szCs w:val="24"/>
                <w:lang w:val="en"/>
              </w:rPr>
              <w:t xml:space="preserve">Have received other interventional clinical trial medications </w:t>
            </w:r>
            <w:r w:rsidRPr="00EF7A40">
              <w:rPr>
                <w:rFonts w:ascii="Times New Roman" w:hAnsi="Times New Roman" w:cs="Times New Roman"/>
                <w:color w:val="000000" w:themeColor="text1"/>
                <w:sz w:val="24"/>
                <w:szCs w:val="24"/>
                <w:lang w:val="en"/>
              </w:rPr>
              <w:lastRenderedPageBreak/>
              <w:t xml:space="preserve">within </w:t>
            </w:r>
            <w:r w:rsidR="00EA599D">
              <w:rPr>
                <w:rFonts w:ascii="Times New Roman" w:hAnsi="Times New Roman" w:cs="Times New Roman"/>
                <w:color w:val="000000" w:themeColor="text1"/>
                <w:sz w:val="24"/>
                <w:szCs w:val="24"/>
                <w:lang w:val="en"/>
              </w:rPr>
              <w:t>one</w:t>
            </w:r>
            <w:r w:rsidRPr="00EF7A40">
              <w:rPr>
                <w:rFonts w:ascii="Times New Roman" w:hAnsi="Times New Roman" w:cs="Times New Roman"/>
                <w:color w:val="000000" w:themeColor="text1"/>
                <w:sz w:val="24"/>
                <w:szCs w:val="24"/>
                <w:lang w:val="en"/>
              </w:rPr>
              <w:t xml:space="preserve"> month before signing the informed consent form.  </w:t>
            </w:r>
          </w:p>
          <w:p w14:paraId="42E7EAA3" w14:textId="7089CDCB" w:rsidR="00455B9B" w:rsidRPr="00EF7A40" w:rsidRDefault="00455B9B" w:rsidP="004C683F">
            <w:pPr>
              <w:pStyle w:val="aff"/>
              <w:widowControl w:val="0"/>
              <w:numPr>
                <w:ilvl w:val="0"/>
                <w:numId w:val="46"/>
              </w:numPr>
              <w:spacing w:after="120" w:line="276" w:lineRule="auto"/>
              <w:ind w:left="418" w:hanging="418"/>
              <w:contextualSpacing w:val="0"/>
              <w:rPr>
                <w:rFonts w:ascii="Times New Roman" w:hAnsi="Times New Roman" w:cs="Times New Roman"/>
                <w:color w:val="000000" w:themeColor="text1"/>
                <w:sz w:val="24"/>
                <w:szCs w:val="24"/>
                <w:lang w:val="en"/>
              </w:rPr>
            </w:pPr>
            <w:r w:rsidRPr="00EF7A40">
              <w:rPr>
                <w:rFonts w:ascii="Times New Roman" w:hAnsi="Times New Roman" w:cs="Times New Roman"/>
                <w:color w:val="000000" w:themeColor="text1"/>
                <w:sz w:val="24"/>
                <w:szCs w:val="24"/>
                <w:lang w:val="en"/>
              </w:rPr>
              <w:t xml:space="preserve">Have any uncontrolled and active infection within </w:t>
            </w:r>
            <w:r w:rsidR="00EA599D">
              <w:rPr>
                <w:rFonts w:ascii="Times New Roman" w:hAnsi="Times New Roman" w:cs="Times New Roman"/>
                <w:color w:val="000000" w:themeColor="text1"/>
                <w:sz w:val="24"/>
                <w:szCs w:val="24"/>
                <w:lang w:val="en"/>
              </w:rPr>
              <w:t>seven</w:t>
            </w:r>
            <w:r w:rsidRPr="00EF7A40">
              <w:rPr>
                <w:rFonts w:ascii="Times New Roman" w:hAnsi="Times New Roman" w:cs="Times New Roman"/>
                <w:color w:val="000000" w:themeColor="text1"/>
                <w:sz w:val="24"/>
                <w:szCs w:val="24"/>
                <w:lang w:val="en"/>
              </w:rPr>
              <w:t xml:space="preserve"> days before the monocyte collection. </w:t>
            </w:r>
          </w:p>
          <w:p w14:paraId="56214B73" w14:textId="6965F3B0" w:rsidR="00455B9B" w:rsidRPr="00EF7A40" w:rsidRDefault="00455B9B" w:rsidP="004C683F">
            <w:pPr>
              <w:pStyle w:val="aff"/>
              <w:widowControl w:val="0"/>
              <w:numPr>
                <w:ilvl w:val="0"/>
                <w:numId w:val="46"/>
              </w:numPr>
              <w:spacing w:after="120" w:line="276" w:lineRule="auto"/>
              <w:ind w:left="418" w:hanging="418"/>
              <w:contextualSpacing w:val="0"/>
              <w:rPr>
                <w:rFonts w:ascii="Times New Roman" w:hAnsi="Times New Roman" w:cs="Times New Roman"/>
                <w:color w:val="000000" w:themeColor="text1"/>
                <w:sz w:val="24"/>
                <w:szCs w:val="24"/>
                <w:lang w:val="en"/>
              </w:rPr>
            </w:pPr>
            <w:r w:rsidRPr="00EF7A40">
              <w:rPr>
                <w:rFonts w:ascii="Times New Roman" w:hAnsi="Times New Roman" w:cs="Times New Roman"/>
                <w:color w:val="000000" w:themeColor="text1"/>
                <w:sz w:val="24"/>
                <w:szCs w:val="24"/>
                <w:lang w:val="en"/>
              </w:rPr>
              <w:t>Have positive hepatitis B surface antigen (HBsAg), or positive hepatitis B core antibody (</w:t>
            </w:r>
            <w:proofErr w:type="spellStart"/>
            <w:r w:rsidRPr="00EF7A40">
              <w:rPr>
                <w:rFonts w:ascii="Times New Roman" w:hAnsi="Times New Roman" w:cs="Times New Roman"/>
                <w:color w:val="000000" w:themeColor="text1"/>
                <w:sz w:val="24"/>
                <w:szCs w:val="24"/>
                <w:lang w:val="en"/>
              </w:rPr>
              <w:t>HBcAb</w:t>
            </w:r>
            <w:proofErr w:type="spellEnd"/>
            <w:r w:rsidRPr="00EF7A40">
              <w:rPr>
                <w:rFonts w:ascii="Times New Roman" w:hAnsi="Times New Roman" w:cs="Times New Roman"/>
                <w:color w:val="000000" w:themeColor="text1"/>
                <w:sz w:val="24"/>
                <w:szCs w:val="24"/>
                <w:lang w:val="en"/>
              </w:rPr>
              <w:t xml:space="preserve">) and detectable hepatitis B virus (HBV) DNA in the peripheral blood; positive hepatitis C virus (HCV) antibody and positive HCV RNA; positive human immunodeficiency virus (HIV) antibody; positive in cytomegalovirus DNA test; positive in syphilis test. </w:t>
            </w:r>
          </w:p>
          <w:p w14:paraId="56586B9E" w14:textId="211BD862" w:rsidR="00455B9B" w:rsidRPr="00EF7A40" w:rsidRDefault="00455B9B" w:rsidP="004C683F">
            <w:pPr>
              <w:pStyle w:val="aff"/>
              <w:widowControl w:val="0"/>
              <w:numPr>
                <w:ilvl w:val="0"/>
                <w:numId w:val="46"/>
              </w:numPr>
              <w:spacing w:after="120" w:line="276" w:lineRule="auto"/>
              <w:ind w:left="418" w:hanging="418"/>
              <w:contextualSpacing w:val="0"/>
              <w:rPr>
                <w:rFonts w:ascii="Times New Roman" w:hAnsi="Times New Roman" w:cs="Times New Roman"/>
                <w:color w:val="000000" w:themeColor="text1"/>
                <w:sz w:val="24"/>
                <w:szCs w:val="24"/>
                <w:lang w:val="en"/>
              </w:rPr>
            </w:pPr>
            <w:r w:rsidRPr="00EF7A40">
              <w:rPr>
                <w:rFonts w:ascii="Times New Roman" w:hAnsi="Times New Roman" w:cs="Times New Roman"/>
                <w:color w:val="000000" w:themeColor="text1"/>
                <w:sz w:val="24"/>
                <w:szCs w:val="24"/>
                <w:lang w:val="en"/>
              </w:rPr>
              <w:t xml:space="preserve">Women who are pregnant or breastfeeding. </w:t>
            </w:r>
          </w:p>
          <w:p w14:paraId="19257B5F" w14:textId="4448F946" w:rsidR="00455B9B" w:rsidRPr="00EF7A40" w:rsidRDefault="00455B9B" w:rsidP="004C683F">
            <w:pPr>
              <w:pStyle w:val="aff"/>
              <w:widowControl w:val="0"/>
              <w:numPr>
                <w:ilvl w:val="0"/>
                <w:numId w:val="46"/>
              </w:numPr>
              <w:spacing w:after="120" w:line="276" w:lineRule="auto"/>
              <w:ind w:left="418" w:hanging="418"/>
              <w:contextualSpacing w:val="0"/>
              <w:rPr>
                <w:rFonts w:ascii="Times New Roman" w:hAnsi="Times New Roman" w:cs="Times New Roman"/>
                <w:color w:val="000000" w:themeColor="text1"/>
                <w:sz w:val="24"/>
                <w:szCs w:val="24"/>
                <w:lang w:val="en"/>
              </w:rPr>
            </w:pPr>
            <w:r w:rsidRPr="00EF7A40">
              <w:rPr>
                <w:rFonts w:ascii="Times New Roman" w:hAnsi="Times New Roman" w:cs="Times New Roman"/>
                <w:color w:val="000000" w:themeColor="text1"/>
                <w:sz w:val="24"/>
                <w:szCs w:val="24"/>
                <w:lang w:val="en"/>
              </w:rPr>
              <w:t>Any mental illness, consciousness disorders, or central nervous system disease.</w:t>
            </w:r>
          </w:p>
          <w:p w14:paraId="53CB193C" w14:textId="2D8B0584" w:rsidR="00C043AF" w:rsidRPr="00EF7A40" w:rsidRDefault="00455B9B" w:rsidP="004C683F">
            <w:pPr>
              <w:pStyle w:val="aff"/>
              <w:widowControl w:val="0"/>
              <w:numPr>
                <w:ilvl w:val="0"/>
                <w:numId w:val="46"/>
              </w:numPr>
              <w:spacing w:after="120" w:line="276" w:lineRule="auto"/>
              <w:ind w:left="418" w:hanging="418"/>
              <w:contextualSpacing w:val="0"/>
              <w:rPr>
                <w:rFonts w:ascii="Times New Roman" w:hAnsi="Times New Roman" w:cs="Times New Roman"/>
                <w:sz w:val="24"/>
                <w:szCs w:val="24"/>
              </w:rPr>
            </w:pPr>
            <w:r w:rsidRPr="00EF7A40">
              <w:rPr>
                <w:rFonts w:ascii="Times New Roman" w:hAnsi="Times New Roman" w:cs="Times New Roman"/>
                <w:color w:val="000000" w:themeColor="text1"/>
                <w:sz w:val="24"/>
                <w:szCs w:val="24"/>
                <w:lang w:val="en"/>
              </w:rPr>
              <w:t xml:space="preserve">Other conditions inappropriate for enrollment in the judgment of the investigator. </w:t>
            </w:r>
          </w:p>
        </w:tc>
      </w:tr>
      <w:tr w:rsidR="00C043AF" w:rsidRPr="008E34DC" w14:paraId="1316629F" w14:textId="77777777" w:rsidTr="0058514D">
        <w:tc>
          <w:tcPr>
            <w:tcW w:w="2753" w:type="dxa"/>
          </w:tcPr>
          <w:p w14:paraId="14AD4696" w14:textId="228688A6" w:rsidR="00C043AF" w:rsidRPr="008E34DC" w:rsidRDefault="004D5DA5" w:rsidP="00C043AF">
            <w:pPr>
              <w:rPr>
                <w:b/>
              </w:rPr>
            </w:pPr>
            <w:r w:rsidRPr="00166C45">
              <w:rPr>
                <w:b/>
                <w:bCs/>
              </w:rPr>
              <w:lastRenderedPageBreak/>
              <w:t>Study Design</w:t>
            </w:r>
          </w:p>
        </w:tc>
        <w:tc>
          <w:tcPr>
            <w:tcW w:w="6597" w:type="dxa"/>
          </w:tcPr>
          <w:p w14:paraId="51B7694E" w14:textId="22CF16E3" w:rsidR="004D5DA5" w:rsidRPr="004322E6" w:rsidRDefault="004D5DA5" w:rsidP="004C683F">
            <w:r w:rsidRPr="008E34DC">
              <w:t>The study has been optimized and completed according to the principles and requirements of</w:t>
            </w:r>
            <w:r w:rsidRPr="008E34DC">
              <w:rPr>
                <w:i/>
                <w:iCs/>
              </w:rPr>
              <w:t xml:space="preserve"> </w:t>
            </w:r>
            <w:r w:rsidRPr="004322E6">
              <w:t>Good Clinical Practice</w:t>
            </w:r>
            <w:r w:rsidR="00C3075E">
              <w:t xml:space="preserve"> (</w:t>
            </w:r>
            <w:r w:rsidR="00C3075E" w:rsidRPr="004322E6">
              <w:t>GCP</w:t>
            </w:r>
            <w:r w:rsidR="00C3075E">
              <w:t>)</w:t>
            </w:r>
            <w:r w:rsidRPr="004322E6">
              <w:t xml:space="preserve"> of China</w:t>
            </w:r>
            <w:r w:rsidRPr="008E34DC">
              <w:t xml:space="preserve">, </w:t>
            </w:r>
            <w:r w:rsidRPr="004322E6">
              <w:t xml:space="preserve">Guidelines for the </w:t>
            </w:r>
            <w:r w:rsidRPr="008E34DC">
              <w:t>Clinical Trial</w:t>
            </w:r>
            <w:r w:rsidRPr="004322E6">
              <w:t xml:space="preserve"> and Evaluation of Cell Therapy Products (for Trial Implementation)</w:t>
            </w:r>
            <w:r w:rsidRPr="008E34DC">
              <w:t xml:space="preserve">, </w:t>
            </w:r>
            <w:r w:rsidRPr="004322E6">
              <w:t>Considerations for the Design of Clinical Trials of Chimeric Antigen Receptor T Lymphocytes for the Treatment of Malignancies of the Lymphohematopoietic System</w:t>
            </w:r>
            <w:r w:rsidRPr="008E34DC">
              <w:t xml:space="preserve"> issued by CDE Biologics Clinical Department</w:t>
            </w:r>
            <w:r w:rsidRPr="008E34DC">
              <w:rPr>
                <w:b/>
                <w:bCs/>
              </w:rPr>
              <w:t xml:space="preserve">, </w:t>
            </w:r>
            <w:r w:rsidRPr="008E34DC">
              <w:t xml:space="preserve">and </w:t>
            </w:r>
            <w:r w:rsidRPr="004322E6">
              <w:t xml:space="preserve">Guidelines for the Conditional Approval of Pharmaceuticals for </w:t>
            </w:r>
            <w:r w:rsidRPr="008E34DC">
              <w:t>Marketing</w:t>
            </w:r>
            <w:r w:rsidRPr="004322E6">
              <w:t xml:space="preserve"> (for Trial Implementation)</w:t>
            </w:r>
            <w:r w:rsidRPr="008E34DC">
              <w:t>.</w:t>
            </w:r>
          </w:p>
          <w:p w14:paraId="0679909D" w14:textId="643BE3AC" w:rsidR="004D5DA5" w:rsidRPr="004322E6" w:rsidRDefault="004D5DA5" w:rsidP="004322E6">
            <w:pPr>
              <w:rPr>
                <w:b/>
                <w:bCs/>
              </w:rPr>
            </w:pPr>
            <w:r w:rsidRPr="004322E6">
              <w:rPr>
                <w:b/>
                <w:bCs/>
              </w:rPr>
              <w:t>Study Procedures</w:t>
            </w:r>
            <w:r w:rsidR="00712B3C">
              <w:rPr>
                <w:b/>
                <w:bCs/>
              </w:rPr>
              <w:t>:</w:t>
            </w:r>
          </w:p>
          <w:p w14:paraId="5679A0B0" w14:textId="5C8B1D94" w:rsidR="00C043AF" w:rsidRPr="008E34DC" w:rsidRDefault="004D5DA5" w:rsidP="004C683F">
            <w:r w:rsidRPr="008E34DC">
              <w:t xml:space="preserve">Study procedures include screening and enrollment, </w:t>
            </w:r>
            <w:bookmarkStart w:id="4" w:name="_Hlk111912995"/>
            <w:r w:rsidR="00166C45" w:rsidRPr="00166C45">
              <w:t>peripheral blood mononuclear cell</w:t>
            </w:r>
            <w:bookmarkEnd w:id="4"/>
            <w:r w:rsidR="00166C45" w:rsidRPr="00166C45">
              <w:t xml:space="preserve"> (</w:t>
            </w:r>
            <w:r w:rsidRPr="00166C45">
              <w:t>PBMC</w:t>
            </w:r>
            <w:r w:rsidR="00166C45" w:rsidRPr="00166C45">
              <w:t>)</w:t>
            </w:r>
            <w:r w:rsidRPr="008E34DC">
              <w:t xml:space="preserve"> collection, bridging therapy </w:t>
            </w:r>
            <w:r w:rsidRPr="008E34DC">
              <w:rPr>
                <w:color w:val="000000" w:themeColor="text1"/>
              </w:rPr>
              <w:t>(</w:t>
            </w:r>
            <w:r w:rsidR="00F31A05">
              <w:t>Selinexor</w:t>
            </w:r>
            <w:r w:rsidRPr="008E34DC">
              <w:t>-based regimens</w:t>
            </w:r>
            <w:r w:rsidRPr="008E34DC">
              <w:rPr>
                <w:color w:val="000000" w:themeColor="text1"/>
              </w:rPr>
              <w:t>)</w:t>
            </w:r>
            <w:r w:rsidRPr="008E34DC">
              <w:t xml:space="preserve">, baseline assessments, lymphodepletion conditioning, rest assessment, CT103A cell infusion, administration of </w:t>
            </w:r>
            <w:r w:rsidR="00F31A05">
              <w:t>Selinexor</w:t>
            </w:r>
            <w:r w:rsidRPr="008E34DC">
              <w:t>, and the main follow-up period.</w:t>
            </w:r>
          </w:p>
        </w:tc>
      </w:tr>
      <w:tr w:rsidR="004D5DA5" w:rsidRPr="008E34DC" w14:paraId="5E600D32" w14:textId="77777777" w:rsidTr="00F31A05">
        <w:tc>
          <w:tcPr>
            <w:tcW w:w="2753" w:type="dxa"/>
          </w:tcPr>
          <w:p w14:paraId="5CD229B4" w14:textId="23BEE91C" w:rsidR="004D5DA5" w:rsidRPr="008E34DC" w:rsidDel="008D0AA4" w:rsidRDefault="004D5DA5" w:rsidP="004D5DA5">
            <w:pPr>
              <w:rPr>
                <w:b/>
              </w:rPr>
            </w:pPr>
            <w:r w:rsidRPr="008E34DC">
              <w:rPr>
                <w:b/>
              </w:rPr>
              <w:t>Statistical Methods</w:t>
            </w:r>
          </w:p>
        </w:tc>
        <w:tc>
          <w:tcPr>
            <w:tcW w:w="6597" w:type="dxa"/>
            <w:vAlign w:val="center"/>
          </w:tcPr>
          <w:p w14:paraId="48FD305E" w14:textId="77777777" w:rsidR="004D5DA5" w:rsidRPr="008E34DC" w:rsidRDefault="004D5DA5" w:rsidP="00712B3C">
            <w:pPr>
              <w:tabs>
                <w:tab w:val="left" w:pos="1800"/>
                <w:tab w:val="left" w:pos="3600"/>
              </w:tabs>
              <w:suppressAutoHyphens/>
            </w:pPr>
            <w:r w:rsidRPr="008E34DC">
              <w:t xml:space="preserve">General Principles: </w:t>
            </w:r>
          </w:p>
          <w:p w14:paraId="34357365" w14:textId="73845CB7" w:rsidR="004D5DA5" w:rsidRPr="008E34DC" w:rsidRDefault="004D5DA5" w:rsidP="00712B3C">
            <w:pPr>
              <w:snapToGrid w:val="0"/>
            </w:pPr>
            <w:r w:rsidRPr="008E34DC">
              <w:lastRenderedPageBreak/>
              <w:t xml:space="preserve">PK parameters will be calculated based on </w:t>
            </w:r>
            <w:proofErr w:type="spellStart"/>
            <w:r w:rsidRPr="008E34DC">
              <w:t>WinNonlin</w:t>
            </w:r>
            <w:proofErr w:type="spellEnd"/>
            <w:r w:rsidRPr="008E34DC">
              <w:t xml:space="preserve"> version 6.1 or above</w:t>
            </w:r>
            <w:r w:rsidR="00EA599D">
              <w:t>. A</w:t>
            </w:r>
            <w:r w:rsidRPr="008E34DC">
              <w:t>ll remaining statistical analyses will be performed based on SAS</w:t>
            </w:r>
            <w:r w:rsidRPr="008E34DC">
              <w:rPr>
                <w:vertAlign w:val="superscript"/>
              </w:rPr>
              <w:t>®</w:t>
            </w:r>
            <w:r w:rsidRPr="008E34DC">
              <w:t xml:space="preserve"> version 9.2 or above. </w:t>
            </w:r>
          </w:p>
          <w:p w14:paraId="0198BD17" w14:textId="04582A1F" w:rsidR="004D5DA5" w:rsidRPr="008E34DC" w:rsidRDefault="004D5DA5" w:rsidP="00712B3C">
            <w:pPr>
              <w:snapToGrid w:val="0"/>
            </w:pPr>
            <w:r w:rsidRPr="008E34DC">
              <w:t xml:space="preserve">Unless otherwise specified, summary tables will be produced for the scheduled time points. Listings will be </w:t>
            </w:r>
            <w:r w:rsidR="00EA599D">
              <w:t>made</w:t>
            </w:r>
            <w:r w:rsidRPr="008E34DC">
              <w:t xml:space="preserve"> by patient number, time points, and other variables for unscheduled time points. </w:t>
            </w:r>
          </w:p>
          <w:p w14:paraId="5B9AD533" w14:textId="34E231C3" w:rsidR="004D5DA5" w:rsidRPr="008E34DC" w:rsidRDefault="004D5DA5" w:rsidP="00712B3C">
            <w:pPr>
              <w:snapToGrid w:val="0"/>
            </w:pPr>
            <w:r w:rsidRPr="008E34DC">
              <w:t xml:space="preserve">Continuous variables, such as age, will be statistically described using the value of observations, mean, median, quartile, standard deviation, minimum, and maximum; categorical variables will be statistically described by the number of cases and the percentage in each category. </w:t>
            </w:r>
            <w:r w:rsidR="009508FE">
              <w:t>For t</w:t>
            </w:r>
            <w:r w:rsidRPr="008E34DC">
              <w:t xml:space="preserve">he PK parameters, such as </w:t>
            </w:r>
            <w:r w:rsidR="00EA599D">
              <w:t xml:space="preserve">the </w:t>
            </w:r>
            <w:r w:rsidR="00715890" w:rsidRPr="00715890">
              <w:t xml:space="preserve">area under the curve </w:t>
            </w:r>
            <w:r w:rsidR="00715890">
              <w:t>(</w:t>
            </w:r>
            <w:r w:rsidRPr="008E34DC">
              <w:t>AUC</w:t>
            </w:r>
            <w:r w:rsidR="00715890">
              <w:t>)</w:t>
            </w:r>
            <w:r w:rsidRPr="008E34DC">
              <w:t xml:space="preserve"> and </w:t>
            </w:r>
            <w:r w:rsidR="00715890" w:rsidRPr="00715890">
              <w:t xml:space="preserve">maximum plasma concentration </w:t>
            </w:r>
            <w:r w:rsidR="00715890">
              <w:t>(</w:t>
            </w:r>
            <w:proofErr w:type="spellStart"/>
            <w:r w:rsidRPr="008E34DC">
              <w:t>C</w:t>
            </w:r>
            <w:r w:rsidRPr="008E34DC">
              <w:rPr>
                <w:vertAlign w:val="subscript"/>
              </w:rPr>
              <w:t>max</w:t>
            </w:r>
            <w:proofErr w:type="spellEnd"/>
            <w:r w:rsidR="00715890">
              <w:t>)</w:t>
            </w:r>
            <w:r w:rsidRPr="008E34DC">
              <w:t>, geometric mean and geometric coefficient of variation will be calculated. Time-event data will be estimated by the Kaplan-Meier method for the median time and 95% C</w:t>
            </w:r>
            <w:r w:rsidR="00713120">
              <w:t>I</w:t>
            </w:r>
            <w:r w:rsidRPr="008E34DC">
              <w:t xml:space="preserve">s for the population. The decimal places of the minimum and maximum values are consistent with the record on the eCRF; the number of decimal places for the mean and median values is 1 more than the original data; the number of decimal places for the standard deviation is 2 more than the original data, and the percentage is retained to 2 decimal places. The number of decimal places reserved for all statistics is generally not more than 4. Except for the patient distribution, statistical summary tables and charts will be based on the corresponding analysis set, </w:t>
            </w:r>
            <w:r w:rsidR="00EA599D">
              <w:t xml:space="preserve">and </w:t>
            </w:r>
            <w:r w:rsidRPr="008E34DC">
              <w:t>the relevant data of all patients will be listed.</w:t>
            </w:r>
          </w:p>
          <w:p w14:paraId="0635F0B5" w14:textId="26AAFF5F" w:rsidR="004D5DA5" w:rsidRPr="008E34DC" w:rsidRDefault="004D5DA5" w:rsidP="00712B3C">
            <w:pPr>
              <w:tabs>
                <w:tab w:val="left" w:pos="630"/>
              </w:tabs>
              <w:suppressAutoHyphens/>
            </w:pPr>
            <w:r w:rsidRPr="008E34DC">
              <w:rPr>
                <w:lang w:eastAsia="zh-CN"/>
              </w:rPr>
              <w:t xml:space="preserve">Statistical analysis methods are detailed in the </w:t>
            </w:r>
            <w:r w:rsidR="009E2C4D" w:rsidRPr="009E2C4D">
              <w:rPr>
                <w:lang w:eastAsia="zh-CN"/>
              </w:rPr>
              <w:t>statistical analysis plan</w:t>
            </w:r>
            <w:r w:rsidR="009E2C4D" w:rsidRPr="009E2C4D" w:rsidDel="00A55C19">
              <w:rPr>
                <w:lang w:eastAsia="zh-CN"/>
              </w:rPr>
              <w:t xml:space="preserve"> </w:t>
            </w:r>
            <w:r w:rsidR="009E2C4D">
              <w:rPr>
                <w:lang w:eastAsia="zh-CN"/>
              </w:rPr>
              <w:t>(</w:t>
            </w:r>
            <w:r w:rsidRPr="008E34DC">
              <w:rPr>
                <w:lang w:eastAsia="zh-CN"/>
              </w:rPr>
              <w:t>SAP</w:t>
            </w:r>
            <w:r w:rsidR="009E2C4D">
              <w:rPr>
                <w:lang w:eastAsia="zh-CN"/>
              </w:rPr>
              <w:t>)</w:t>
            </w:r>
            <w:r w:rsidRPr="008E34DC">
              <w:rPr>
                <w:lang w:eastAsia="zh-CN"/>
              </w:rPr>
              <w:t>.</w:t>
            </w:r>
          </w:p>
        </w:tc>
      </w:tr>
      <w:tr w:rsidR="00C043AF" w:rsidRPr="008E34DC" w14:paraId="37ECF7A4" w14:textId="77777777" w:rsidTr="0058514D">
        <w:tc>
          <w:tcPr>
            <w:tcW w:w="2753" w:type="dxa"/>
          </w:tcPr>
          <w:p w14:paraId="09421D8E" w14:textId="56072159" w:rsidR="00C043AF" w:rsidRPr="008E34DC" w:rsidRDefault="004D5DA5" w:rsidP="00C043AF">
            <w:pPr>
              <w:rPr>
                <w:b/>
              </w:rPr>
            </w:pPr>
            <w:r w:rsidRPr="008E34DC">
              <w:rPr>
                <w:rFonts w:eastAsia="等线"/>
                <w:b/>
                <w:bCs/>
                <w:color w:val="000000"/>
              </w:rPr>
              <w:lastRenderedPageBreak/>
              <w:t>CAR-T Producer</w:t>
            </w:r>
          </w:p>
        </w:tc>
        <w:tc>
          <w:tcPr>
            <w:tcW w:w="6597" w:type="dxa"/>
          </w:tcPr>
          <w:p w14:paraId="48747D05" w14:textId="1BF1B3A0" w:rsidR="00C043AF" w:rsidRPr="008E34DC" w:rsidRDefault="004D5DA5" w:rsidP="00712B3C">
            <w:pPr>
              <w:autoSpaceDE w:val="0"/>
              <w:autoSpaceDN w:val="0"/>
              <w:adjustRightInd w:val="0"/>
            </w:pPr>
            <w:r w:rsidRPr="008E34DC">
              <w:t>Nanjing IASO Biotherapeutics Ltd.</w:t>
            </w:r>
          </w:p>
        </w:tc>
      </w:tr>
    </w:tbl>
    <w:p w14:paraId="1DDBB695" w14:textId="77777777" w:rsidR="00AE7054" w:rsidRPr="00C820E8" w:rsidRDefault="00AE7054" w:rsidP="008C1E7F">
      <w:pPr>
        <w:pStyle w:val="BodyText-10pt"/>
      </w:pPr>
    </w:p>
    <w:p w14:paraId="514480C2" w14:textId="4C947881" w:rsidR="006438A2" w:rsidRPr="00C820E8" w:rsidRDefault="006438A2" w:rsidP="008C1E7F">
      <w:pPr>
        <w:pStyle w:val="BodyText-10pt"/>
        <w:rPr>
          <w:lang w:eastAsia="x-none"/>
        </w:rPr>
      </w:pPr>
      <w:r w:rsidRPr="00C820E8">
        <w:br w:type="page"/>
      </w:r>
    </w:p>
    <w:p w14:paraId="627641B7" w14:textId="551918CA" w:rsidR="008F7241" w:rsidRPr="00C820E8" w:rsidRDefault="00270C9D" w:rsidP="002A49B2">
      <w:pPr>
        <w:pStyle w:val="1"/>
        <w:numPr>
          <w:ilvl w:val="0"/>
          <w:numId w:val="0"/>
        </w:numPr>
      </w:pPr>
      <w:bookmarkStart w:id="5" w:name="_Toc112064812"/>
      <w:r w:rsidRPr="00C820E8">
        <w:lastRenderedPageBreak/>
        <w:t>TABLE OF CONTENTS</w:t>
      </w:r>
      <w:bookmarkEnd w:id="5"/>
    </w:p>
    <w:p w14:paraId="02680C3E" w14:textId="2BD7D4D8" w:rsidR="00830685" w:rsidRDefault="00E6257A">
      <w:pPr>
        <w:pStyle w:val="TOC1"/>
        <w:rPr>
          <w:rFonts w:asciiTheme="minorHAnsi" w:eastAsiaTheme="minorEastAsia" w:hAnsiTheme="minorHAnsi" w:cstheme="minorBidi"/>
          <w:b w:val="0"/>
          <w:bCs w:val="0"/>
          <w:sz w:val="22"/>
          <w:szCs w:val="22"/>
          <w:lang w:eastAsia="zh-CN" w:bidi="ar-SA"/>
        </w:rPr>
      </w:pPr>
      <w:r>
        <w:rPr>
          <w:rFonts w:ascii="Arial" w:hAnsi="Arial"/>
          <w:b w:val="0"/>
          <w:color w:val="2B579A"/>
          <w:shd w:val="clear" w:color="auto" w:fill="E6E6E6"/>
        </w:rPr>
        <w:fldChar w:fldCharType="begin"/>
      </w:r>
      <w:r>
        <w:rPr>
          <w:rFonts w:ascii="Arial" w:hAnsi="Arial"/>
          <w:bCs w:val="0"/>
        </w:rPr>
        <w:instrText xml:space="preserve"> TOC \o "2-4"</w:instrText>
      </w:r>
      <w:r w:rsidR="00905663">
        <w:rPr>
          <w:rFonts w:ascii="Arial" w:hAnsi="Arial"/>
          <w:bCs w:val="0"/>
        </w:rPr>
        <w:instrText xml:space="preserve"> \h \*MERGEFORMAT </w:instrText>
      </w:r>
      <w:r>
        <w:rPr>
          <w:rFonts w:ascii="Arial" w:hAnsi="Arial"/>
          <w:bCs w:val="0"/>
        </w:rPr>
        <w:instrText xml:space="preserve">\z \t "Heading 1,1,Appendices,9" </w:instrText>
      </w:r>
      <w:r>
        <w:rPr>
          <w:rFonts w:ascii="Arial" w:hAnsi="Arial"/>
          <w:b w:val="0"/>
          <w:color w:val="2B579A"/>
          <w:shd w:val="clear" w:color="auto" w:fill="E6E6E6"/>
        </w:rPr>
        <w:fldChar w:fldCharType="separate"/>
      </w:r>
      <w:hyperlink w:anchor="_Toc112064811" w:history="1">
        <w:r w:rsidR="00830685" w:rsidRPr="00B97A88">
          <w:rPr>
            <w:rStyle w:val="af8"/>
          </w:rPr>
          <w:t>PROTOCOL SYNOPSIS</w:t>
        </w:r>
        <w:r w:rsidR="00830685">
          <w:rPr>
            <w:webHidden/>
          </w:rPr>
          <w:tab/>
        </w:r>
        <w:r w:rsidR="00830685">
          <w:rPr>
            <w:webHidden/>
          </w:rPr>
          <w:fldChar w:fldCharType="begin"/>
        </w:r>
        <w:r w:rsidR="00830685">
          <w:rPr>
            <w:webHidden/>
          </w:rPr>
          <w:instrText xml:space="preserve"> PAGEREF _Toc112064811 \h </w:instrText>
        </w:r>
        <w:r w:rsidR="00830685">
          <w:rPr>
            <w:webHidden/>
          </w:rPr>
        </w:r>
        <w:r w:rsidR="00830685">
          <w:rPr>
            <w:webHidden/>
          </w:rPr>
          <w:fldChar w:fldCharType="separate"/>
        </w:r>
        <w:r w:rsidR="00830685">
          <w:rPr>
            <w:webHidden/>
          </w:rPr>
          <w:t>2</w:t>
        </w:r>
        <w:r w:rsidR="00830685">
          <w:rPr>
            <w:webHidden/>
          </w:rPr>
          <w:fldChar w:fldCharType="end"/>
        </w:r>
      </w:hyperlink>
    </w:p>
    <w:p w14:paraId="5CE433D7" w14:textId="2EEB6200" w:rsidR="00830685" w:rsidRDefault="00C430DF">
      <w:pPr>
        <w:pStyle w:val="TOC1"/>
        <w:rPr>
          <w:rFonts w:asciiTheme="minorHAnsi" w:eastAsiaTheme="minorEastAsia" w:hAnsiTheme="minorHAnsi" w:cstheme="minorBidi"/>
          <w:b w:val="0"/>
          <w:bCs w:val="0"/>
          <w:sz w:val="22"/>
          <w:szCs w:val="22"/>
          <w:lang w:eastAsia="zh-CN" w:bidi="ar-SA"/>
        </w:rPr>
      </w:pPr>
      <w:hyperlink w:anchor="_Toc112064813" w:history="1">
        <w:r w:rsidR="00830685" w:rsidRPr="00B97A88">
          <w:rPr>
            <w:rStyle w:val="af8"/>
          </w:rPr>
          <w:t>LIST OF ABBREVIATIONS</w:t>
        </w:r>
        <w:r w:rsidR="00830685">
          <w:rPr>
            <w:webHidden/>
          </w:rPr>
          <w:tab/>
        </w:r>
        <w:r w:rsidR="00830685">
          <w:rPr>
            <w:webHidden/>
          </w:rPr>
          <w:fldChar w:fldCharType="begin"/>
        </w:r>
        <w:r w:rsidR="00830685">
          <w:rPr>
            <w:webHidden/>
          </w:rPr>
          <w:instrText xml:space="preserve"> PAGEREF _Toc112064813 \h </w:instrText>
        </w:r>
        <w:r w:rsidR="00830685">
          <w:rPr>
            <w:webHidden/>
          </w:rPr>
        </w:r>
        <w:r w:rsidR="00830685">
          <w:rPr>
            <w:webHidden/>
          </w:rPr>
          <w:fldChar w:fldCharType="separate"/>
        </w:r>
        <w:r w:rsidR="00830685">
          <w:rPr>
            <w:webHidden/>
          </w:rPr>
          <w:t>12</w:t>
        </w:r>
        <w:r w:rsidR="00830685">
          <w:rPr>
            <w:webHidden/>
          </w:rPr>
          <w:fldChar w:fldCharType="end"/>
        </w:r>
      </w:hyperlink>
    </w:p>
    <w:p w14:paraId="39A5998B" w14:textId="0E73C673" w:rsidR="00830685" w:rsidRDefault="00C430DF">
      <w:pPr>
        <w:pStyle w:val="TOC1"/>
        <w:rPr>
          <w:rFonts w:asciiTheme="minorHAnsi" w:eastAsiaTheme="minorEastAsia" w:hAnsiTheme="minorHAnsi" w:cstheme="minorBidi"/>
          <w:b w:val="0"/>
          <w:bCs w:val="0"/>
          <w:sz w:val="22"/>
          <w:szCs w:val="22"/>
          <w:lang w:eastAsia="zh-CN" w:bidi="ar-SA"/>
        </w:rPr>
      </w:pPr>
      <w:hyperlink w:anchor="_Toc112064814" w:history="1">
        <w:r w:rsidR="00830685" w:rsidRPr="00B97A88">
          <w:rPr>
            <w:rStyle w:val="af8"/>
          </w:rPr>
          <w:t>1</w:t>
        </w:r>
        <w:r w:rsidR="00830685">
          <w:rPr>
            <w:rFonts w:asciiTheme="minorHAnsi" w:eastAsiaTheme="minorEastAsia" w:hAnsiTheme="minorHAnsi" w:cstheme="minorBidi"/>
            <w:b w:val="0"/>
            <w:bCs w:val="0"/>
            <w:sz w:val="22"/>
            <w:szCs w:val="22"/>
            <w:lang w:eastAsia="zh-CN" w:bidi="ar-SA"/>
          </w:rPr>
          <w:tab/>
        </w:r>
        <w:r w:rsidR="00830685" w:rsidRPr="00B97A88">
          <w:rPr>
            <w:rStyle w:val="af8"/>
          </w:rPr>
          <w:t>INTRODUCTION</w:t>
        </w:r>
        <w:r w:rsidR="00830685">
          <w:rPr>
            <w:webHidden/>
          </w:rPr>
          <w:tab/>
        </w:r>
        <w:r w:rsidR="00830685">
          <w:rPr>
            <w:webHidden/>
          </w:rPr>
          <w:fldChar w:fldCharType="begin"/>
        </w:r>
        <w:r w:rsidR="00830685">
          <w:rPr>
            <w:webHidden/>
          </w:rPr>
          <w:instrText xml:space="preserve"> PAGEREF _Toc112064814 \h </w:instrText>
        </w:r>
        <w:r w:rsidR="00830685">
          <w:rPr>
            <w:webHidden/>
          </w:rPr>
        </w:r>
        <w:r w:rsidR="00830685">
          <w:rPr>
            <w:webHidden/>
          </w:rPr>
          <w:fldChar w:fldCharType="separate"/>
        </w:r>
        <w:r w:rsidR="00830685">
          <w:rPr>
            <w:webHidden/>
          </w:rPr>
          <w:t>14</w:t>
        </w:r>
        <w:r w:rsidR="00830685">
          <w:rPr>
            <w:webHidden/>
          </w:rPr>
          <w:fldChar w:fldCharType="end"/>
        </w:r>
      </w:hyperlink>
    </w:p>
    <w:p w14:paraId="21004C8E" w14:textId="1B27AA9C" w:rsidR="00830685" w:rsidRDefault="00C430DF">
      <w:pPr>
        <w:pStyle w:val="TOC2"/>
        <w:rPr>
          <w:rFonts w:asciiTheme="minorHAnsi" w:eastAsiaTheme="minorEastAsia" w:hAnsiTheme="minorHAnsi" w:cstheme="minorBidi"/>
          <w:bCs w:val="0"/>
          <w:sz w:val="22"/>
          <w:szCs w:val="22"/>
          <w:lang w:eastAsia="zh-CN" w:bidi="ar-SA"/>
        </w:rPr>
      </w:pPr>
      <w:hyperlink w:anchor="_Toc112064815" w:history="1">
        <w:r w:rsidR="00830685" w:rsidRPr="00B97A88">
          <w:rPr>
            <w:rStyle w:val="af8"/>
          </w:rPr>
          <w:t>1.1</w:t>
        </w:r>
        <w:r w:rsidR="00830685">
          <w:rPr>
            <w:rFonts w:asciiTheme="minorHAnsi" w:eastAsiaTheme="minorEastAsia" w:hAnsiTheme="minorHAnsi" w:cstheme="minorBidi"/>
            <w:bCs w:val="0"/>
            <w:sz w:val="22"/>
            <w:szCs w:val="22"/>
            <w:lang w:eastAsia="zh-CN" w:bidi="ar-SA"/>
          </w:rPr>
          <w:tab/>
        </w:r>
        <w:r w:rsidR="00830685" w:rsidRPr="00B97A88">
          <w:rPr>
            <w:rStyle w:val="af8"/>
          </w:rPr>
          <w:t>Background on Disease</w:t>
        </w:r>
        <w:r w:rsidR="00830685">
          <w:rPr>
            <w:webHidden/>
          </w:rPr>
          <w:tab/>
        </w:r>
        <w:r w:rsidR="00830685">
          <w:rPr>
            <w:webHidden/>
          </w:rPr>
          <w:fldChar w:fldCharType="begin"/>
        </w:r>
        <w:r w:rsidR="00830685">
          <w:rPr>
            <w:webHidden/>
          </w:rPr>
          <w:instrText xml:space="preserve"> PAGEREF _Toc112064815 \h </w:instrText>
        </w:r>
        <w:r w:rsidR="00830685">
          <w:rPr>
            <w:webHidden/>
          </w:rPr>
        </w:r>
        <w:r w:rsidR="00830685">
          <w:rPr>
            <w:webHidden/>
          </w:rPr>
          <w:fldChar w:fldCharType="separate"/>
        </w:r>
        <w:r w:rsidR="00830685">
          <w:rPr>
            <w:webHidden/>
          </w:rPr>
          <w:t>14</w:t>
        </w:r>
        <w:r w:rsidR="00830685">
          <w:rPr>
            <w:webHidden/>
          </w:rPr>
          <w:fldChar w:fldCharType="end"/>
        </w:r>
      </w:hyperlink>
    </w:p>
    <w:p w14:paraId="23859C02" w14:textId="32577397" w:rsidR="00830685" w:rsidRDefault="00C430DF">
      <w:pPr>
        <w:pStyle w:val="TOC2"/>
        <w:rPr>
          <w:rFonts w:asciiTheme="minorHAnsi" w:eastAsiaTheme="minorEastAsia" w:hAnsiTheme="minorHAnsi" w:cstheme="minorBidi"/>
          <w:bCs w:val="0"/>
          <w:sz w:val="22"/>
          <w:szCs w:val="22"/>
          <w:lang w:eastAsia="zh-CN" w:bidi="ar-SA"/>
        </w:rPr>
      </w:pPr>
      <w:hyperlink w:anchor="_Toc112064816" w:history="1">
        <w:r w:rsidR="00830685" w:rsidRPr="00B97A88">
          <w:rPr>
            <w:rStyle w:val="af8"/>
          </w:rPr>
          <w:t>1.2</w:t>
        </w:r>
        <w:r w:rsidR="00830685">
          <w:rPr>
            <w:rFonts w:asciiTheme="minorHAnsi" w:eastAsiaTheme="minorEastAsia" w:hAnsiTheme="minorHAnsi" w:cstheme="minorBidi"/>
            <w:bCs w:val="0"/>
            <w:sz w:val="22"/>
            <w:szCs w:val="22"/>
            <w:lang w:eastAsia="zh-CN" w:bidi="ar-SA"/>
          </w:rPr>
          <w:tab/>
        </w:r>
        <w:r w:rsidR="00830685" w:rsidRPr="00B97A88">
          <w:rPr>
            <w:rStyle w:val="af8"/>
          </w:rPr>
          <w:t>Anti-BCMA CAR-T for Extramedullary Multiple Myeloma</w:t>
        </w:r>
        <w:r w:rsidR="00830685">
          <w:rPr>
            <w:webHidden/>
          </w:rPr>
          <w:tab/>
        </w:r>
        <w:r w:rsidR="00830685">
          <w:rPr>
            <w:webHidden/>
          </w:rPr>
          <w:fldChar w:fldCharType="begin"/>
        </w:r>
        <w:r w:rsidR="00830685">
          <w:rPr>
            <w:webHidden/>
          </w:rPr>
          <w:instrText xml:space="preserve"> PAGEREF _Toc112064816 \h </w:instrText>
        </w:r>
        <w:r w:rsidR="00830685">
          <w:rPr>
            <w:webHidden/>
          </w:rPr>
        </w:r>
        <w:r w:rsidR="00830685">
          <w:rPr>
            <w:webHidden/>
          </w:rPr>
          <w:fldChar w:fldCharType="separate"/>
        </w:r>
        <w:r w:rsidR="00830685">
          <w:rPr>
            <w:webHidden/>
          </w:rPr>
          <w:t>15</w:t>
        </w:r>
        <w:r w:rsidR="00830685">
          <w:rPr>
            <w:webHidden/>
          </w:rPr>
          <w:fldChar w:fldCharType="end"/>
        </w:r>
      </w:hyperlink>
    </w:p>
    <w:p w14:paraId="57BEC9F3" w14:textId="31970BAB" w:rsidR="00830685" w:rsidRDefault="00C430DF">
      <w:pPr>
        <w:pStyle w:val="TOC2"/>
        <w:rPr>
          <w:rFonts w:asciiTheme="minorHAnsi" w:eastAsiaTheme="minorEastAsia" w:hAnsiTheme="minorHAnsi" w:cstheme="minorBidi"/>
          <w:bCs w:val="0"/>
          <w:sz w:val="22"/>
          <w:szCs w:val="22"/>
          <w:lang w:eastAsia="zh-CN" w:bidi="ar-SA"/>
        </w:rPr>
      </w:pPr>
      <w:hyperlink w:anchor="_Toc112064817" w:history="1">
        <w:r w:rsidR="00830685" w:rsidRPr="00B97A88">
          <w:rPr>
            <w:rStyle w:val="af8"/>
          </w:rPr>
          <w:t>1.3</w:t>
        </w:r>
        <w:r w:rsidR="00830685">
          <w:rPr>
            <w:rFonts w:asciiTheme="minorHAnsi" w:eastAsiaTheme="minorEastAsia" w:hAnsiTheme="minorHAnsi" w:cstheme="minorBidi"/>
            <w:bCs w:val="0"/>
            <w:sz w:val="22"/>
            <w:szCs w:val="22"/>
            <w:lang w:eastAsia="zh-CN" w:bidi="ar-SA"/>
          </w:rPr>
          <w:tab/>
        </w:r>
        <w:r w:rsidR="00830685" w:rsidRPr="00B97A88">
          <w:rPr>
            <w:rStyle w:val="af8"/>
          </w:rPr>
          <w:t>CT103A</w:t>
        </w:r>
        <w:r w:rsidR="00830685">
          <w:rPr>
            <w:webHidden/>
          </w:rPr>
          <w:tab/>
        </w:r>
        <w:r w:rsidR="00830685">
          <w:rPr>
            <w:webHidden/>
          </w:rPr>
          <w:fldChar w:fldCharType="begin"/>
        </w:r>
        <w:r w:rsidR="00830685">
          <w:rPr>
            <w:webHidden/>
          </w:rPr>
          <w:instrText xml:space="preserve"> PAGEREF _Toc112064817 \h </w:instrText>
        </w:r>
        <w:r w:rsidR="00830685">
          <w:rPr>
            <w:webHidden/>
          </w:rPr>
        </w:r>
        <w:r w:rsidR="00830685">
          <w:rPr>
            <w:webHidden/>
          </w:rPr>
          <w:fldChar w:fldCharType="separate"/>
        </w:r>
        <w:r w:rsidR="00830685">
          <w:rPr>
            <w:webHidden/>
          </w:rPr>
          <w:t>15</w:t>
        </w:r>
        <w:r w:rsidR="00830685">
          <w:rPr>
            <w:webHidden/>
          </w:rPr>
          <w:fldChar w:fldCharType="end"/>
        </w:r>
      </w:hyperlink>
    </w:p>
    <w:p w14:paraId="4D564538" w14:textId="281FEC87" w:rsidR="00830685" w:rsidRDefault="00C430DF">
      <w:pPr>
        <w:pStyle w:val="TOC3"/>
        <w:rPr>
          <w:rFonts w:asciiTheme="minorHAnsi" w:eastAsiaTheme="minorEastAsia" w:hAnsiTheme="minorHAnsi" w:cstheme="minorBidi"/>
          <w:sz w:val="22"/>
          <w:szCs w:val="22"/>
          <w:lang w:eastAsia="zh-CN" w:bidi="ar-SA"/>
        </w:rPr>
      </w:pPr>
      <w:hyperlink w:anchor="_Toc112064818" w:history="1">
        <w:r w:rsidR="00830685" w:rsidRPr="00B97A88">
          <w:rPr>
            <w:rStyle w:val="af8"/>
            <w:lang w:val="en"/>
          </w:rPr>
          <w:t>1.3.1</w:t>
        </w:r>
        <w:r w:rsidR="00830685">
          <w:rPr>
            <w:rFonts w:asciiTheme="minorHAnsi" w:eastAsiaTheme="minorEastAsia" w:hAnsiTheme="minorHAnsi" w:cstheme="minorBidi"/>
            <w:sz w:val="22"/>
            <w:szCs w:val="22"/>
            <w:lang w:eastAsia="zh-CN" w:bidi="ar-SA"/>
          </w:rPr>
          <w:tab/>
        </w:r>
        <w:r w:rsidR="00830685" w:rsidRPr="00B97A88">
          <w:rPr>
            <w:rStyle w:val="af8"/>
            <w:lang w:val="en"/>
          </w:rPr>
          <w:t>Clinical Evidence</w:t>
        </w:r>
        <w:r w:rsidR="00830685">
          <w:rPr>
            <w:webHidden/>
          </w:rPr>
          <w:tab/>
        </w:r>
        <w:r w:rsidR="00830685">
          <w:rPr>
            <w:webHidden/>
          </w:rPr>
          <w:fldChar w:fldCharType="begin"/>
        </w:r>
        <w:r w:rsidR="00830685">
          <w:rPr>
            <w:webHidden/>
          </w:rPr>
          <w:instrText xml:space="preserve"> PAGEREF _Toc112064818 \h </w:instrText>
        </w:r>
        <w:r w:rsidR="00830685">
          <w:rPr>
            <w:webHidden/>
          </w:rPr>
        </w:r>
        <w:r w:rsidR="00830685">
          <w:rPr>
            <w:webHidden/>
          </w:rPr>
          <w:fldChar w:fldCharType="separate"/>
        </w:r>
        <w:r w:rsidR="00830685">
          <w:rPr>
            <w:webHidden/>
          </w:rPr>
          <w:t>16</w:t>
        </w:r>
        <w:r w:rsidR="00830685">
          <w:rPr>
            <w:webHidden/>
          </w:rPr>
          <w:fldChar w:fldCharType="end"/>
        </w:r>
      </w:hyperlink>
    </w:p>
    <w:p w14:paraId="01AA5C4D" w14:textId="039805FA" w:rsidR="00830685" w:rsidRDefault="00C430DF">
      <w:pPr>
        <w:pStyle w:val="TOC3"/>
        <w:rPr>
          <w:rFonts w:asciiTheme="minorHAnsi" w:eastAsiaTheme="minorEastAsia" w:hAnsiTheme="minorHAnsi" w:cstheme="minorBidi"/>
          <w:sz w:val="22"/>
          <w:szCs w:val="22"/>
          <w:lang w:eastAsia="zh-CN" w:bidi="ar-SA"/>
        </w:rPr>
      </w:pPr>
      <w:hyperlink w:anchor="_Toc112064819" w:history="1">
        <w:r w:rsidR="00830685" w:rsidRPr="00B97A88">
          <w:rPr>
            <w:rStyle w:val="af8"/>
            <w:lang w:val="en"/>
          </w:rPr>
          <w:t>1.3.2</w:t>
        </w:r>
        <w:r w:rsidR="00830685">
          <w:rPr>
            <w:rFonts w:asciiTheme="minorHAnsi" w:eastAsiaTheme="minorEastAsia" w:hAnsiTheme="minorHAnsi" w:cstheme="minorBidi"/>
            <w:sz w:val="22"/>
            <w:szCs w:val="22"/>
            <w:lang w:eastAsia="zh-CN" w:bidi="ar-SA"/>
          </w:rPr>
          <w:tab/>
        </w:r>
        <w:r w:rsidR="00830685" w:rsidRPr="00B97A88">
          <w:rPr>
            <w:rStyle w:val="af8"/>
            <w:lang w:val="en"/>
          </w:rPr>
          <w:t>Adverse Events</w:t>
        </w:r>
        <w:r w:rsidR="00830685">
          <w:rPr>
            <w:webHidden/>
          </w:rPr>
          <w:tab/>
        </w:r>
        <w:r w:rsidR="00830685">
          <w:rPr>
            <w:webHidden/>
          </w:rPr>
          <w:fldChar w:fldCharType="begin"/>
        </w:r>
        <w:r w:rsidR="00830685">
          <w:rPr>
            <w:webHidden/>
          </w:rPr>
          <w:instrText xml:space="preserve"> PAGEREF _Toc112064819 \h </w:instrText>
        </w:r>
        <w:r w:rsidR="00830685">
          <w:rPr>
            <w:webHidden/>
          </w:rPr>
        </w:r>
        <w:r w:rsidR="00830685">
          <w:rPr>
            <w:webHidden/>
          </w:rPr>
          <w:fldChar w:fldCharType="separate"/>
        </w:r>
        <w:r w:rsidR="00830685">
          <w:rPr>
            <w:webHidden/>
          </w:rPr>
          <w:t>16</w:t>
        </w:r>
        <w:r w:rsidR="00830685">
          <w:rPr>
            <w:webHidden/>
          </w:rPr>
          <w:fldChar w:fldCharType="end"/>
        </w:r>
      </w:hyperlink>
    </w:p>
    <w:p w14:paraId="7FA3991C" w14:textId="750768D1" w:rsidR="00830685" w:rsidRDefault="00C430DF">
      <w:pPr>
        <w:pStyle w:val="TOC3"/>
        <w:rPr>
          <w:rFonts w:asciiTheme="minorHAnsi" w:eastAsiaTheme="minorEastAsia" w:hAnsiTheme="minorHAnsi" w:cstheme="minorBidi"/>
          <w:sz w:val="22"/>
          <w:szCs w:val="22"/>
          <w:lang w:eastAsia="zh-CN" w:bidi="ar-SA"/>
        </w:rPr>
      </w:pPr>
      <w:hyperlink w:anchor="_Toc112064820" w:history="1">
        <w:r w:rsidR="00830685" w:rsidRPr="00B97A88">
          <w:rPr>
            <w:rStyle w:val="af8"/>
          </w:rPr>
          <w:t>1.3.3</w:t>
        </w:r>
        <w:r w:rsidR="00830685">
          <w:rPr>
            <w:rFonts w:asciiTheme="minorHAnsi" w:eastAsiaTheme="minorEastAsia" w:hAnsiTheme="minorHAnsi" w:cstheme="minorBidi"/>
            <w:sz w:val="22"/>
            <w:szCs w:val="22"/>
            <w:lang w:eastAsia="zh-CN" w:bidi="ar-SA"/>
          </w:rPr>
          <w:tab/>
        </w:r>
        <w:r w:rsidR="00830685" w:rsidRPr="00B97A88">
          <w:rPr>
            <w:rStyle w:val="af8"/>
          </w:rPr>
          <w:t>Pharmacokinetics and Pharmacodynamics in Human</w:t>
        </w:r>
        <w:r w:rsidR="00830685">
          <w:rPr>
            <w:webHidden/>
          </w:rPr>
          <w:tab/>
        </w:r>
        <w:r w:rsidR="00830685">
          <w:rPr>
            <w:webHidden/>
          </w:rPr>
          <w:fldChar w:fldCharType="begin"/>
        </w:r>
        <w:r w:rsidR="00830685">
          <w:rPr>
            <w:webHidden/>
          </w:rPr>
          <w:instrText xml:space="preserve"> PAGEREF _Toc112064820 \h </w:instrText>
        </w:r>
        <w:r w:rsidR="00830685">
          <w:rPr>
            <w:webHidden/>
          </w:rPr>
        </w:r>
        <w:r w:rsidR="00830685">
          <w:rPr>
            <w:webHidden/>
          </w:rPr>
          <w:fldChar w:fldCharType="separate"/>
        </w:r>
        <w:r w:rsidR="00830685">
          <w:rPr>
            <w:webHidden/>
          </w:rPr>
          <w:t>17</w:t>
        </w:r>
        <w:r w:rsidR="00830685">
          <w:rPr>
            <w:webHidden/>
          </w:rPr>
          <w:fldChar w:fldCharType="end"/>
        </w:r>
      </w:hyperlink>
    </w:p>
    <w:p w14:paraId="4235CEA5" w14:textId="2F8C4AA8" w:rsidR="00830685" w:rsidRDefault="00C430DF">
      <w:pPr>
        <w:pStyle w:val="TOC2"/>
        <w:rPr>
          <w:rFonts w:asciiTheme="minorHAnsi" w:eastAsiaTheme="minorEastAsia" w:hAnsiTheme="minorHAnsi" w:cstheme="minorBidi"/>
          <w:bCs w:val="0"/>
          <w:sz w:val="22"/>
          <w:szCs w:val="22"/>
          <w:lang w:eastAsia="zh-CN" w:bidi="ar-SA"/>
        </w:rPr>
      </w:pPr>
      <w:hyperlink w:anchor="_Toc112064821" w:history="1">
        <w:r w:rsidR="00830685" w:rsidRPr="00B97A88">
          <w:rPr>
            <w:rStyle w:val="af8"/>
          </w:rPr>
          <w:t>1.4</w:t>
        </w:r>
        <w:r w:rsidR="00830685">
          <w:rPr>
            <w:rFonts w:asciiTheme="minorHAnsi" w:eastAsiaTheme="minorEastAsia" w:hAnsiTheme="minorHAnsi" w:cstheme="minorBidi"/>
            <w:bCs w:val="0"/>
            <w:sz w:val="22"/>
            <w:szCs w:val="22"/>
            <w:lang w:eastAsia="zh-CN" w:bidi="ar-SA"/>
          </w:rPr>
          <w:tab/>
        </w:r>
        <w:r w:rsidR="00F31A05">
          <w:rPr>
            <w:rStyle w:val="af8"/>
          </w:rPr>
          <w:t>Selinexor</w:t>
        </w:r>
        <w:r w:rsidR="00830685">
          <w:rPr>
            <w:webHidden/>
          </w:rPr>
          <w:tab/>
        </w:r>
        <w:r w:rsidR="00830685">
          <w:rPr>
            <w:webHidden/>
          </w:rPr>
          <w:fldChar w:fldCharType="begin"/>
        </w:r>
        <w:r w:rsidR="00830685">
          <w:rPr>
            <w:webHidden/>
          </w:rPr>
          <w:instrText xml:space="preserve"> PAGEREF _Toc112064821 \h </w:instrText>
        </w:r>
        <w:r w:rsidR="00830685">
          <w:rPr>
            <w:webHidden/>
          </w:rPr>
        </w:r>
        <w:r w:rsidR="00830685">
          <w:rPr>
            <w:webHidden/>
          </w:rPr>
          <w:fldChar w:fldCharType="separate"/>
        </w:r>
        <w:r w:rsidR="00830685">
          <w:rPr>
            <w:webHidden/>
          </w:rPr>
          <w:t>17</w:t>
        </w:r>
        <w:r w:rsidR="00830685">
          <w:rPr>
            <w:webHidden/>
          </w:rPr>
          <w:fldChar w:fldCharType="end"/>
        </w:r>
      </w:hyperlink>
    </w:p>
    <w:p w14:paraId="25455E8B" w14:textId="63561F03" w:rsidR="00830685" w:rsidRDefault="00C430DF">
      <w:pPr>
        <w:pStyle w:val="TOC3"/>
        <w:rPr>
          <w:rFonts w:asciiTheme="minorHAnsi" w:eastAsiaTheme="minorEastAsia" w:hAnsiTheme="minorHAnsi" w:cstheme="minorBidi"/>
          <w:sz w:val="22"/>
          <w:szCs w:val="22"/>
          <w:lang w:eastAsia="zh-CN" w:bidi="ar-SA"/>
        </w:rPr>
      </w:pPr>
      <w:hyperlink w:anchor="_Toc112064822" w:history="1">
        <w:r w:rsidR="00830685" w:rsidRPr="00B97A88">
          <w:rPr>
            <w:rStyle w:val="af8"/>
          </w:rPr>
          <w:t>1.4.1</w:t>
        </w:r>
        <w:r w:rsidR="00830685">
          <w:rPr>
            <w:rFonts w:asciiTheme="minorHAnsi" w:eastAsiaTheme="minorEastAsia" w:hAnsiTheme="minorHAnsi" w:cstheme="minorBidi"/>
            <w:sz w:val="22"/>
            <w:szCs w:val="22"/>
            <w:lang w:eastAsia="zh-CN" w:bidi="ar-SA"/>
          </w:rPr>
          <w:tab/>
        </w:r>
        <w:r w:rsidR="00830685" w:rsidRPr="00B97A88">
          <w:rPr>
            <w:rStyle w:val="af8"/>
            <w:rFonts w:eastAsia="微软雅黑"/>
            <w:lang w:val="en"/>
          </w:rPr>
          <w:t xml:space="preserve">Overview of Clinical Data of </w:t>
        </w:r>
        <w:r w:rsidR="00F31A05">
          <w:rPr>
            <w:rStyle w:val="af8"/>
            <w:rFonts w:eastAsia="微软雅黑"/>
            <w:lang w:val="en"/>
          </w:rPr>
          <w:t>Selinexor</w:t>
        </w:r>
        <w:r w:rsidR="00830685">
          <w:rPr>
            <w:webHidden/>
          </w:rPr>
          <w:tab/>
        </w:r>
        <w:r w:rsidR="00830685">
          <w:rPr>
            <w:webHidden/>
          </w:rPr>
          <w:fldChar w:fldCharType="begin"/>
        </w:r>
        <w:r w:rsidR="00830685">
          <w:rPr>
            <w:webHidden/>
          </w:rPr>
          <w:instrText xml:space="preserve"> PAGEREF _Toc112064822 \h </w:instrText>
        </w:r>
        <w:r w:rsidR="00830685">
          <w:rPr>
            <w:webHidden/>
          </w:rPr>
        </w:r>
        <w:r w:rsidR="00830685">
          <w:rPr>
            <w:webHidden/>
          </w:rPr>
          <w:fldChar w:fldCharType="separate"/>
        </w:r>
        <w:r w:rsidR="00830685">
          <w:rPr>
            <w:webHidden/>
          </w:rPr>
          <w:t>17</w:t>
        </w:r>
        <w:r w:rsidR="00830685">
          <w:rPr>
            <w:webHidden/>
          </w:rPr>
          <w:fldChar w:fldCharType="end"/>
        </w:r>
      </w:hyperlink>
    </w:p>
    <w:p w14:paraId="7148C2B9" w14:textId="367BB04D" w:rsidR="00830685" w:rsidRDefault="00C430DF">
      <w:pPr>
        <w:pStyle w:val="TOC3"/>
        <w:rPr>
          <w:rFonts w:asciiTheme="minorHAnsi" w:eastAsiaTheme="minorEastAsia" w:hAnsiTheme="minorHAnsi" w:cstheme="minorBidi"/>
          <w:sz w:val="22"/>
          <w:szCs w:val="22"/>
          <w:lang w:eastAsia="zh-CN" w:bidi="ar-SA"/>
        </w:rPr>
      </w:pPr>
      <w:hyperlink w:anchor="_Toc112064823" w:history="1">
        <w:r w:rsidR="00830685" w:rsidRPr="00B97A88">
          <w:rPr>
            <w:rStyle w:val="af8"/>
            <w:rFonts w:eastAsia="微软雅黑"/>
            <w:lang w:val="en"/>
          </w:rPr>
          <w:t>1.4.2</w:t>
        </w:r>
        <w:r w:rsidR="00830685">
          <w:rPr>
            <w:rFonts w:asciiTheme="minorHAnsi" w:eastAsiaTheme="minorEastAsia" w:hAnsiTheme="minorHAnsi" w:cstheme="minorBidi"/>
            <w:sz w:val="22"/>
            <w:szCs w:val="22"/>
            <w:lang w:eastAsia="zh-CN" w:bidi="ar-SA"/>
          </w:rPr>
          <w:tab/>
        </w:r>
        <w:r w:rsidR="00F31A05">
          <w:rPr>
            <w:rStyle w:val="af8"/>
            <w:rFonts w:eastAsia="微软雅黑"/>
            <w:lang w:val="en"/>
          </w:rPr>
          <w:t>Selinexor</w:t>
        </w:r>
        <w:r w:rsidR="00830685" w:rsidRPr="00B97A88">
          <w:rPr>
            <w:rStyle w:val="af8"/>
            <w:rFonts w:eastAsia="微软雅黑"/>
            <w:lang w:val="en"/>
          </w:rPr>
          <w:t xml:space="preserve"> and T Cells Interactions</w:t>
        </w:r>
        <w:r w:rsidR="00830685">
          <w:rPr>
            <w:webHidden/>
          </w:rPr>
          <w:tab/>
        </w:r>
        <w:r w:rsidR="00830685">
          <w:rPr>
            <w:webHidden/>
          </w:rPr>
          <w:fldChar w:fldCharType="begin"/>
        </w:r>
        <w:r w:rsidR="00830685">
          <w:rPr>
            <w:webHidden/>
          </w:rPr>
          <w:instrText xml:space="preserve"> PAGEREF _Toc112064823 \h </w:instrText>
        </w:r>
        <w:r w:rsidR="00830685">
          <w:rPr>
            <w:webHidden/>
          </w:rPr>
        </w:r>
        <w:r w:rsidR="00830685">
          <w:rPr>
            <w:webHidden/>
          </w:rPr>
          <w:fldChar w:fldCharType="separate"/>
        </w:r>
        <w:r w:rsidR="00830685">
          <w:rPr>
            <w:webHidden/>
          </w:rPr>
          <w:t>18</w:t>
        </w:r>
        <w:r w:rsidR="00830685">
          <w:rPr>
            <w:webHidden/>
          </w:rPr>
          <w:fldChar w:fldCharType="end"/>
        </w:r>
      </w:hyperlink>
    </w:p>
    <w:p w14:paraId="0F63374F" w14:textId="58FED7E1" w:rsidR="00830685" w:rsidRDefault="00C430DF">
      <w:pPr>
        <w:pStyle w:val="TOC3"/>
        <w:rPr>
          <w:rFonts w:asciiTheme="minorHAnsi" w:eastAsiaTheme="minorEastAsia" w:hAnsiTheme="minorHAnsi" w:cstheme="minorBidi"/>
          <w:sz w:val="22"/>
          <w:szCs w:val="22"/>
          <w:lang w:eastAsia="zh-CN" w:bidi="ar-SA"/>
        </w:rPr>
      </w:pPr>
      <w:hyperlink w:anchor="_Toc112064824" w:history="1">
        <w:r w:rsidR="00830685" w:rsidRPr="00B97A88">
          <w:rPr>
            <w:rStyle w:val="af8"/>
            <w:rFonts w:eastAsia="微软雅黑"/>
            <w:lang w:val="en"/>
          </w:rPr>
          <w:t>1.4.3</w:t>
        </w:r>
        <w:r w:rsidR="00830685">
          <w:rPr>
            <w:rFonts w:asciiTheme="minorHAnsi" w:eastAsiaTheme="minorEastAsia" w:hAnsiTheme="minorHAnsi" w:cstheme="minorBidi"/>
            <w:sz w:val="22"/>
            <w:szCs w:val="22"/>
            <w:lang w:eastAsia="zh-CN" w:bidi="ar-SA"/>
          </w:rPr>
          <w:tab/>
        </w:r>
        <w:r w:rsidR="00830685" w:rsidRPr="00B97A88">
          <w:rPr>
            <w:rStyle w:val="af8"/>
            <w:rFonts w:eastAsia="微软雅黑"/>
            <w:lang w:val="en"/>
          </w:rPr>
          <w:t xml:space="preserve">Common Adverse Events of </w:t>
        </w:r>
        <w:r w:rsidR="00F31A05">
          <w:rPr>
            <w:rStyle w:val="af8"/>
            <w:rFonts w:eastAsia="微软雅黑"/>
            <w:lang w:val="en"/>
          </w:rPr>
          <w:t>Selinexor</w:t>
        </w:r>
        <w:r w:rsidR="00830685">
          <w:rPr>
            <w:webHidden/>
          </w:rPr>
          <w:tab/>
        </w:r>
        <w:r w:rsidR="00830685">
          <w:rPr>
            <w:webHidden/>
          </w:rPr>
          <w:fldChar w:fldCharType="begin"/>
        </w:r>
        <w:r w:rsidR="00830685">
          <w:rPr>
            <w:webHidden/>
          </w:rPr>
          <w:instrText xml:space="preserve"> PAGEREF _Toc112064824 \h </w:instrText>
        </w:r>
        <w:r w:rsidR="00830685">
          <w:rPr>
            <w:webHidden/>
          </w:rPr>
        </w:r>
        <w:r w:rsidR="00830685">
          <w:rPr>
            <w:webHidden/>
          </w:rPr>
          <w:fldChar w:fldCharType="separate"/>
        </w:r>
        <w:r w:rsidR="00830685">
          <w:rPr>
            <w:webHidden/>
          </w:rPr>
          <w:t>18</w:t>
        </w:r>
        <w:r w:rsidR="00830685">
          <w:rPr>
            <w:webHidden/>
          </w:rPr>
          <w:fldChar w:fldCharType="end"/>
        </w:r>
      </w:hyperlink>
    </w:p>
    <w:p w14:paraId="6C4D8E2A" w14:textId="23112707" w:rsidR="00830685" w:rsidRDefault="00C430DF">
      <w:pPr>
        <w:pStyle w:val="TOC2"/>
        <w:rPr>
          <w:rFonts w:asciiTheme="minorHAnsi" w:eastAsiaTheme="minorEastAsia" w:hAnsiTheme="minorHAnsi" w:cstheme="minorBidi"/>
          <w:bCs w:val="0"/>
          <w:sz w:val="22"/>
          <w:szCs w:val="22"/>
          <w:lang w:eastAsia="zh-CN" w:bidi="ar-SA"/>
        </w:rPr>
      </w:pPr>
      <w:hyperlink w:anchor="_Toc112064825" w:history="1">
        <w:r w:rsidR="00830685" w:rsidRPr="00B97A88">
          <w:rPr>
            <w:rStyle w:val="af8"/>
            <w:lang w:val="en"/>
          </w:rPr>
          <w:t>1.5</w:t>
        </w:r>
        <w:r w:rsidR="00830685">
          <w:rPr>
            <w:rFonts w:asciiTheme="minorHAnsi" w:eastAsiaTheme="minorEastAsia" w:hAnsiTheme="minorHAnsi" w:cstheme="minorBidi"/>
            <w:bCs w:val="0"/>
            <w:sz w:val="22"/>
            <w:szCs w:val="22"/>
            <w:lang w:eastAsia="zh-CN" w:bidi="ar-SA"/>
          </w:rPr>
          <w:tab/>
        </w:r>
        <w:r w:rsidR="00830685" w:rsidRPr="00B97A88">
          <w:rPr>
            <w:rStyle w:val="af8"/>
            <w:lang w:val="en"/>
          </w:rPr>
          <w:t xml:space="preserve">CT103A in Combination With </w:t>
        </w:r>
        <w:r w:rsidR="00F31A05">
          <w:rPr>
            <w:rStyle w:val="af8"/>
            <w:lang w:val="en"/>
          </w:rPr>
          <w:t>Selinexor</w:t>
        </w:r>
        <w:r w:rsidR="00830685">
          <w:rPr>
            <w:webHidden/>
          </w:rPr>
          <w:tab/>
        </w:r>
        <w:r w:rsidR="00830685">
          <w:rPr>
            <w:webHidden/>
          </w:rPr>
          <w:fldChar w:fldCharType="begin"/>
        </w:r>
        <w:r w:rsidR="00830685">
          <w:rPr>
            <w:webHidden/>
          </w:rPr>
          <w:instrText xml:space="preserve"> PAGEREF _Toc112064825 \h </w:instrText>
        </w:r>
        <w:r w:rsidR="00830685">
          <w:rPr>
            <w:webHidden/>
          </w:rPr>
        </w:r>
        <w:r w:rsidR="00830685">
          <w:rPr>
            <w:webHidden/>
          </w:rPr>
          <w:fldChar w:fldCharType="separate"/>
        </w:r>
        <w:r w:rsidR="00830685">
          <w:rPr>
            <w:webHidden/>
          </w:rPr>
          <w:t>18</w:t>
        </w:r>
        <w:r w:rsidR="00830685">
          <w:rPr>
            <w:webHidden/>
          </w:rPr>
          <w:fldChar w:fldCharType="end"/>
        </w:r>
      </w:hyperlink>
    </w:p>
    <w:p w14:paraId="7653D17F" w14:textId="76073ABE" w:rsidR="00830685" w:rsidRDefault="00C430DF">
      <w:pPr>
        <w:pStyle w:val="TOC1"/>
        <w:rPr>
          <w:rFonts w:asciiTheme="minorHAnsi" w:eastAsiaTheme="minorEastAsia" w:hAnsiTheme="minorHAnsi" w:cstheme="minorBidi"/>
          <w:b w:val="0"/>
          <w:bCs w:val="0"/>
          <w:sz w:val="22"/>
          <w:szCs w:val="22"/>
          <w:lang w:eastAsia="zh-CN" w:bidi="ar-SA"/>
        </w:rPr>
      </w:pPr>
      <w:hyperlink w:anchor="_Toc112064826" w:history="1">
        <w:r w:rsidR="00830685" w:rsidRPr="00B97A88">
          <w:rPr>
            <w:rStyle w:val="af8"/>
          </w:rPr>
          <w:t>2</w:t>
        </w:r>
        <w:r w:rsidR="00830685">
          <w:rPr>
            <w:rFonts w:asciiTheme="minorHAnsi" w:eastAsiaTheme="minorEastAsia" w:hAnsiTheme="minorHAnsi" w:cstheme="minorBidi"/>
            <w:b w:val="0"/>
            <w:bCs w:val="0"/>
            <w:sz w:val="22"/>
            <w:szCs w:val="22"/>
            <w:lang w:eastAsia="zh-CN" w:bidi="ar-SA"/>
          </w:rPr>
          <w:tab/>
        </w:r>
        <w:r w:rsidR="00830685" w:rsidRPr="00B97A88">
          <w:rPr>
            <w:rStyle w:val="af8"/>
          </w:rPr>
          <w:t>STUDY OBJECTIVES AND ENDPOINTS</w:t>
        </w:r>
        <w:r w:rsidR="00830685">
          <w:rPr>
            <w:webHidden/>
          </w:rPr>
          <w:tab/>
        </w:r>
        <w:r w:rsidR="00830685">
          <w:rPr>
            <w:webHidden/>
          </w:rPr>
          <w:fldChar w:fldCharType="begin"/>
        </w:r>
        <w:r w:rsidR="00830685">
          <w:rPr>
            <w:webHidden/>
          </w:rPr>
          <w:instrText xml:space="preserve"> PAGEREF _Toc112064826 \h </w:instrText>
        </w:r>
        <w:r w:rsidR="00830685">
          <w:rPr>
            <w:webHidden/>
          </w:rPr>
        </w:r>
        <w:r w:rsidR="00830685">
          <w:rPr>
            <w:webHidden/>
          </w:rPr>
          <w:fldChar w:fldCharType="separate"/>
        </w:r>
        <w:r w:rsidR="00830685">
          <w:rPr>
            <w:webHidden/>
          </w:rPr>
          <w:t>20</w:t>
        </w:r>
        <w:r w:rsidR="00830685">
          <w:rPr>
            <w:webHidden/>
          </w:rPr>
          <w:fldChar w:fldCharType="end"/>
        </w:r>
      </w:hyperlink>
    </w:p>
    <w:p w14:paraId="0898F93D" w14:textId="12998B62" w:rsidR="00830685" w:rsidRDefault="00C430DF">
      <w:pPr>
        <w:pStyle w:val="TOC2"/>
        <w:rPr>
          <w:rFonts w:asciiTheme="minorHAnsi" w:eastAsiaTheme="minorEastAsia" w:hAnsiTheme="minorHAnsi" w:cstheme="minorBidi"/>
          <w:bCs w:val="0"/>
          <w:sz w:val="22"/>
          <w:szCs w:val="22"/>
          <w:lang w:eastAsia="zh-CN" w:bidi="ar-SA"/>
        </w:rPr>
      </w:pPr>
      <w:hyperlink w:anchor="_Toc112064827" w:history="1">
        <w:r w:rsidR="00830685" w:rsidRPr="00B97A88">
          <w:rPr>
            <w:rStyle w:val="af8"/>
          </w:rPr>
          <w:t>2.1</w:t>
        </w:r>
        <w:r w:rsidR="00830685">
          <w:rPr>
            <w:rFonts w:asciiTheme="minorHAnsi" w:eastAsiaTheme="minorEastAsia" w:hAnsiTheme="minorHAnsi" w:cstheme="minorBidi"/>
            <w:bCs w:val="0"/>
            <w:sz w:val="22"/>
            <w:szCs w:val="22"/>
            <w:lang w:eastAsia="zh-CN" w:bidi="ar-SA"/>
          </w:rPr>
          <w:tab/>
        </w:r>
        <w:r w:rsidR="00830685" w:rsidRPr="00B97A88">
          <w:rPr>
            <w:rStyle w:val="af8"/>
          </w:rPr>
          <w:t>Study Objectives</w:t>
        </w:r>
        <w:r w:rsidR="00830685">
          <w:rPr>
            <w:webHidden/>
          </w:rPr>
          <w:tab/>
        </w:r>
        <w:r w:rsidR="00830685">
          <w:rPr>
            <w:webHidden/>
          </w:rPr>
          <w:fldChar w:fldCharType="begin"/>
        </w:r>
        <w:r w:rsidR="00830685">
          <w:rPr>
            <w:webHidden/>
          </w:rPr>
          <w:instrText xml:space="preserve"> PAGEREF _Toc112064827 \h </w:instrText>
        </w:r>
        <w:r w:rsidR="00830685">
          <w:rPr>
            <w:webHidden/>
          </w:rPr>
        </w:r>
        <w:r w:rsidR="00830685">
          <w:rPr>
            <w:webHidden/>
          </w:rPr>
          <w:fldChar w:fldCharType="separate"/>
        </w:r>
        <w:r w:rsidR="00830685">
          <w:rPr>
            <w:webHidden/>
          </w:rPr>
          <w:t>20</w:t>
        </w:r>
        <w:r w:rsidR="00830685">
          <w:rPr>
            <w:webHidden/>
          </w:rPr>
          <w:fldChar w:fldCharType="end"/>
        </w:r>
      </w:hyperlink>
    </w:p>
    <w:p w14:paraId="6F9E55A0" w14:textId="0BD7C069" w:rsidR="00830685" w:rsidRDefault="00C430DF">
      <w:pPr>
        <w:pStyle w:val="TOC3"/>
        <w:rPr>
          <w:rFonts w:asciiTheme="minorHAnsi" w:eastAsiaTheme="minorEastAsia" w:hAnsiTheme="minorHAnsi" w:cstheme="minorBidi"/>
          <w:sz w:val="22"/>
          <w:szCs w:val="22"/>
          <w:lang w:eastAsia="zh-CN" w:bidi="ar-SA"/>
        </w:rPr>
      </w:pPr>
      <w:hyperlink w:anchor="_Toc112064828" w:history="1">
        <w:r w:rsidR="00830685" w:rsidRPr="00B97A88">
          <w:rPr>
            <w:rStyle w:val="af8"/>
          </w:rPr>
          <w:t>2.1.1</w:t>
        </w:r>
        <w:r w:rsidR="00830685">
          <w:rPr>
            <w:rFonts w:asciiTheme="minorHAnsi" w:eastAsiaTheme="minorEastAsia" w:hAnsiTheme="minorHAnsi" w:cstheme="minorBidi"/>
            <w:sz w:val="22"/>
            <w:szCs w:val="22"/>
            <w:lang w:eastAsia="zh-CN" w:bidi="ar-SA"/>
          </w:rPr>
          <w:tab/>
        </w:r>
        <w:r w:rsidR="00830685" w:rsidRPr="00B97A88">
          <w:rPr>
            <w:rStyle w:val="af8"/>
          </w:rPr>
          <w:t>Primary Objective</w:t>
        </w:r>
        <w:r w:rsidR="00830685">
          <w:rPr>
            <w:webHidden/>
          </w:rPr>
          <w:tab/>
        </w:r>
        <w:r w:rsidR="00830685">
          <w:rPr>
            <w:webHidden/>
          </w:rPr>
          <w:fldChar w:fldCharType="begin"/>
        </w:r>
        <w:r w:rsidR="00830685">
          <w:rPr>
            <w:webHidden/>
          </w:rPr>
          <w:instrText xml:space="preserve"> PAGEREF _Toc112064828 \h </w:instrText>
        </w:r>
        <w:r w:rsidR="00830685">
          <w:rPr>
            <w:webHidden/>
          </w:rPr>
        </w:r>
        <w:r w:rsidR="00830685">
          <w:rPr>
            <w:webHidden/>
          </w:rPr>
          <w:fldChar w:fldCharType="separate"/>
        </w:r>
        <w:r w:rsidR="00830685">
          <w:rPr>
            <w:webHidden/>
          </w:rPr>
          <w:t>20</w:t>
        </w:r>
        <w:r w:rsidR="00830685">
          <w:rPr>
            <w:webHidden/>
          </w:rPr>
          <w:fldChar w:fldCharType="end"/>
        </w:r>
      </w:hyperlink>
    </w:p>
    <w:p w14:paraId="2847CB5F" w14:textId="4A72489A" w:rsidR="00830685" w:rsidRDefault="00C430DF">
      <w:pPr>
        <w:pStyle w:val="TOC3"/>
        <w:rPr>
          <w:rFonts w:asciiTheme="minorHAnsi" w:eastAsiaTheme="minorEastAsia" w:hAnsiTheme="minorHAnsi" w:cstheme="minorBidi"/>
          <w:sz w:val="22"/>
          <w:szCs w:val="22"/>
          <w:lang w:eastAsia="zh-CN" w:bidi="ar-SA"/>
        </w:rPr>
      </w:pPr>
      <w:hyperlink w:anchor="_Toc112064829" w:history="1">
        <w:r w:rsidR="00830685" w:rsidRPr="00B97A88">
          <w:rPr>
            <w:rStyle w:val="af8"/>
          </w:rPr>
          <w:t>2.1.2</w:t>
        </w:r>
        <w:r w:rsidR="00830685">
          <w:rPr>
            <w:rFonts w:asciiTheme="minorHAnsi" w:eastAsiaTheme="minorEastAsia" w:hAnsiTheme="minorHAnsi" w:cstheme="minorBidi"/>
            <w:sz w:val="22"/>
            <w:szCs w:val="22"/>
            <w:lang w:eastAsia="zh-CN" w:bidi="ar-SA"/>
          </w:rPr>
          <w:tab/>
        </w:r>
        <w:r w:rsidR="00830685" w:rsidRPr="00B97A88">
          <w:rPr>
            <w:rStyle w:val="af8"/>
          </w:rPr>
          <w:t>Secondary Objectives</w:t>
        </w:r>
        <w:r w:rsidR="00830685">
          <w:rPr>
            <w:webHidden/>
          </w:rPr>
          <w:tab/>
        </w:r>
        <w:r w:rsidR="00830685">
          <w:rPr>
            <w:webHidden/>
          </w:rPr>
          <w:fldChar w:fldCharType="begin"/>
        </w:r>
        <w:r w:rsidR="00830685">
          <w:rPr>
            <w:webHidden/>
          </w:rPr>
          <w:instrText xml:space="preserve"> PAGEREF _Toc112064829 \h </w:instrText>
        </w:r>
        <w:r w:rsidR="00830685">
          <w:rPr>
            <w:webHidden/>
          </w:rPr>
        </w:r>
        <w:r w:rsidR="00830685">
          <w:rPr>
            <w:webHidden/>
          </w:rPr>
          <w:fldChar w:fldCharType="separate"/>
        </w:r>
        <w:r w:rsidR="00830685">
          <w:rPr>
            <w:webHidden/>
          </w:rPr>
          <w:t>20</w:t>
        </w:r>
        <w:r w:rsidR="00830685">
          <w:rPr>
            <w:webHidden/>
          </w:rPr>
          <w:fldChar w:fldCharType="end"/>
        </w:r>
      </w:hyperlink>
    </w:p>
    <w:p w14:paraId="6551B2E2" w14:textId="18355843" w:rsidR="00830685" w:rsidRDefault="00C430DF">
      <w:pPr>
        <w:pStyle w:val="TOC3"/>
        <w:rPr>
          <w:rFonts w:asciiTheme="minorHAnsi" w:eastAsiaTheme="minorEastAsia" w:hAnsiTheme="minorHAnsi" w:cstheme="minorBidi"/>
          <w:sz w:val="22"/>
          <w:szCs w:val="22"/>
          <w:lang w:eastAsia="zh-CN" w:bidi="ar-SA"/>
        </w:rPr>
      </w:pPr>
      <w:hyperlink w:anchor="_Toc112064830" w:history="1">
        <w:r w:rsidR="00830685" w:rsidRPr="00B97A88">
          <w:rPr>
            <w:rStyle w:val="af8"/>
          </w:rPr>
          <w:t>2.1.3</w:t>
        </w:r>
        <w:r w:rsidR="00830685">
          <w:rPr>
            <w:rFonts w:asciiTheme="minorHAnsi" w:eastAsiaTheme="minorEastAsia" w:hAnsiTheme="minorHAnsi" w:cstheme="minorBidi"/>
            <w:sz w:val="22"/>
            <w:szCs w:val="22"/>
            <w:lang w:eastAsia="zh-CN" w:bidi="ar-SA"/>
          </w:rPr>
          <w:tab/>
        </w:r>
        <w:r w:rsidR="00830685" w:rsidRPr="00B97A88">
          <w:rPr>
            <w:rStyle w:val="af8"/>
          </w:rPr>
          <w:t>Exploratory Objective</w:t>
        </w:r>
        <w:r w:rsidR="00830685">
          <w:rPr>
            <w:webHidden/>
          </w:rPr>
          <w:tab/>
        </w:r>
        <w:r w:rsidR="00830685">
          <w:rPr>
            <w:webHidden/>
          </w:rPr>
          <w:fldChar w:fldCharType="begin"/>
        </w:r>
        <w:r w:rsidR="00830685">
          <w:rPr>
            <w:webHidden/>
          </w:rPr>
          <w:instrText xml:space="preserve"> PAGEREF _Toc112064830 \h </w:instrText>
        </w:r>
        <w:r w:rsidR="00830685">
          <w:rPr>
            <w:webHidden/>
          </w:rPr>
        </w:r>
        <w:r w:rsidR="00830685">
          <w:rPr>
            <w:webHidden/>
          </w:rPr>
          <w:fldChar w:fldCharType="separate"/>
        </w:r>
        <w:r w:rsidR="00830685">
          <w:rPr>
            <w:webHidden/>
          </w:rPr>
          <w:t>20</w:t>
        </w:r>
        <w:r w:rsidR="00830685">
          <w:rPr>
            <w:webHidden/>
          </w:rPr>
          <w:fldChar w:fldCharType="end"/>
        </w:r>
      </w:hyperlink>
    </w:p>
    <w:p w14:paraId="0A486ADC" w14:textId="3C9254B1" w:rsidR="00830685" w:rsidRDefault="00C430DF">
      <w:pPr>
        <w:pStyle w:val="TOC2"/>
        <w:rPr>
          <w:rFonts w:asciiTheme="minorHAnsi" w:eastAsiaTheme="minorEastAsia" w:hAnsiTheme="minorHAnsi" w:cstheme="minorBidi"/>
          <w:bCs w:val="0"/>
          <w:sz w:val="22"/>
          <w:szCs w:val="22"/>
          <w:lang w:eastAsia="zh-CN" w:bidi="ar-SA"/>
        </w:rPr>
      </w:pPr>
      <w:hyperlink w:anchor="_Toc112064831" w:history="1">
        <w:r w:rsidR="00830685" w:rsidRPr="00B97A88">
          <w:rPr>
            <w:rStyle w:val="af8"/>
          </w:rPr>
          <w:t>2.2</w:t>
        </w:r>
        <w:r w:rsidR="00830685">
          <w:rPr>
            <w:rFonts w:asciiTheme="minorHAnsi" w:eastAsiaTheme="minorEastAsia" w:hAnsiTheme="minorHAnsi" w:cstheme="minorBidi"/>
            <w:bCs w:val="0"/>
            <w:sz w:val="22"/>
            <w:szCs w:val="22"/>
            <w:lang w:eastAsia="zh-CN" w:bidi="ar-SA"/>
          </w:rPr>
          <w:tab/>
        </w:r>
        <w:r w:rsidR="00830685" w:rsidRPr="00B97A88">
          <w:rPr>
            <w:rStyle w:val="af8"/>
          </w:rPr>
          <w:t>Study Endpoints</w:t>
        </w:r>
        <w:r w:rsidR="00830685">
          <w:rPr>
            <w:webHidden/>
          </w:rPr>
          <w:tab/>
        </w:r>
        <w:r w:rsidR="00830685">
          <w:rPr>
            <w:webHidden/>
          </w:rPr>
          <w:fldChar w:fldCharType="begin"/>
        </w:r>
        <w:r w:rsidR="00830685">
          <w:rPr>
            <w:webHidden/>
          </w:rPr>
          <w:instrText xml:space="preserve"> PAGEREF _Toc112064831 \h </w:instrText>
        </w:r>
        <w:r w:rsidR="00830685">
          <w:rPr>
            <w:webHidden/>
          </w:rPr>
        </w:r>
        <w:r w:rsidR="00830685">
          <w:rPr>
            <w:webHidden/>
          </w:rPr>
          <w:fldChar w:fldCharType="separate"/>
        </w:r>
        <w:r w:rsidR="00830685">
          <w:rPr>
            <w:webHidden/>
          </w:rPr>
          <w:t>20</w:t>
        </w:r>
        <w:r w:rsidR="00830685">
          <w:rPr>
            <w:webHidden/>
          </w:rPr>
          <w:fldChar w:fldCharType="end"/>
        </w:r>
      </w:hyperlink>
    </w:p>
    <w:p w14:paraId="17383CD6" w14:textId="24B98CFA" w:rsidR="00830685" w:rsidRDefault="00C430DF">
      <w:pPr>
        <w:pStyle w:val="TOC3"/>
        <w:rPr>
          <w:rFonts w:asciiTheme="minorHAnsi" w:eastAsiaTheme="minorEastAsia" w:hAnsiTheme="minorHAnsi" w:cstheme="minorBidi"/>
          <w:sz w:val="22"/>
          <w:szCs w:val="22"/>
          <w:lang w:eastAsia="zh-CN" w:bidi="ar-SA"/>
        </w:rPr>
      </w:pPr>
      <w:hyperlink w:anchor="_Toc112064832" w:history="1">
        <w:r w:rsidR="00830685" w:rsidRPr="00B97A88">
          <w:rPr>
            <w:rStyle w:val="af8"/>
          </w:rPr>
          <w:t>2.2.1</w:t>
        </w:r>
        <w:r w:rsidR="00830685">
          <w:rPr>
            <w:rFonts w:asciiTheme="minorHAnsi" w:eastAsiaTheme="minorEastAsia" w:hAnsiTheme="minorHAnsi" w:cstheme="minorBidi"/>
            <w:sz w:val="22"/>
            <w:szCs w:val="22"/>
            <w:lang w:eastAsia="zh-CN" w:bidi="ar-SA"/>
          </w:rPr>
          <w:tab/>
        </w:r>
        <w:r w:rsidR="00830685" w:rsidRPr="00B97A88">
          <w:rPr>
            <w:rStyle w:val="af8"/>
          </w:rPr>
          <w:t>Primary Endpoint</w:t>
        </w:r>
        <w:r w:rsidR="00830685">
          <w:rPr>
            <w:webHidden/>
          </w:rPr>
          <w:tab/>
        </w:r>
        <w:r w:rsidR="00830685">
          <w:rPr>
            <w:webHidden/>
          </w:rPr>
          <w:fldChar w:fldCharType="begin"/>
        </w:r>
        <w:r w:rsidR="00830685">
          <w:rPr>
            <w:webHidden/>
          </w:rPr>
          <w:instrText xml:space="preserve"> PAGEREF _Toc112064832 \h </w:instrText>
        </w:r>
        <w:r w:rsidR="00830685">
          <w:rPr>
            <w:webHidden/>
          </w:rPr>
        </w:r>
        <w:r w:rsidR="00830685">
          <w:rPr>
            <w:webHidden/>
          </w:rPr>
          <w:fldChar w:fldCharType="separate"/>
        </w:r>
        <w:r w:rsidR="00830685">
          <w:rPr>
            <w:webHidden/>
          </w:rPr>
          <w:t>20</w:t>
        </w:r>
        <w:r w:rsidR="00830685">
          <w:rPr>
            <w:webHidden/>
          </w:rPr>
          <w:fldChar w:fldCharType="end"/>
        </w:r>
      </w:hyperlink>
    </w:p>
    <w:p w14:paraId="63829915" w14:textId="2529131C" w:rsidR="00830685" w:rsidRDefault="00C430DF">
      <w:pPr>
        <w:pStyle w:val="TOC3"/>
        <w:rPr>
          <w:rFonts w:asciiTheme="minorHAnsi" w:eastAsiaTheme="minorEastAsia" w:hAnsiTheme="minorHAnsi" w:cstheme="minorBidi"/>
          <w:sz w:val="22"/>
          <w:szCs w:val="22"/>
          <w:lang w:eastAsia="zh-CN" w:bidi="ar-SA"/>
        </w:rPr>
      </w:pPr>
      <w:hyperlink w:anchor="_Toc112064833" w:history="1">
        <w:r w:rsidR="00830685" w:rsidRPr="00B97A88">
          <w:rPr>
            <w:rStyle w:val="af8"/>
          </w:rPr>
          <w:t>2.2.2</w:t>
        </w:r>
        <w:r w:rsidR="00830685">
          <w:rPr>
            <w:rFonts w:asciiTheme="minorHAnsi" w:eastAsiaTheme="minorEastAsia" w:hAnsiTheme="minorHAnsi" w:cstheme="minorBidi"/>
            <w:sz w:val="22"/>
            <w:szCs w:val="22"/>
            <w:lang w:eastAsia="zh-CN" w:bidi="ar-SA"/>
          </w:rPr>
          <w:tab/>
        </w:r>
        <w:r w:rsidR="00830685" w:rsidRPr="00B97A88">
          <w:rPr>
            <w:rStyle w:val="af8"/>
          </w:rPr>
          <w:t>Secondary Endpoints</w:t>
        </w:r>
        <w:r w:rsidR="00830685">
          <w:rPr>
            <w:webHidden/>
          </w:rPr>
          <w:tab/>
        </w:r>
        <w:r w:rsidR="00830685">
          <w:rPr>
            <w:webHidden/>
          </w:rPr>
          <w:fldChar w:fldCharType="begin"/>
        </w:r>
        <w:r w:rsidR="00830685">
          <w:rPr>
            <w:webHidden/>
          </w:rPr>
          <w:instrText xml:space="preserve"> PAGEREF _Toc112064833 \h </w:instrText>
        </w:r>
        <w:r w:rsidR="00830685">
          <w:rPr>
            <w:webHidden/>
          </w:rPr>
        </w:r>
        <w:r w:rsidR="00830685">
          <w:rPr>
            <w:webHidden/>
          </w:rPr>
          <w:fldChar w:fldCharType="separate"/>
        </w:r>
        <w:r w:rsidR="00830685">
          <w:rPr>
            <w:webHidden/>
          </w:rPr>
          <w:t>20</w:t>
        </w:r>
        <w:r w:rsidR="00830685">
          <w:rPr>
            <w:webHidden/>
          </w:rPr>
          <w:fldChar w:fldCharType="end"/>
        </w:r>
      </w:hyperlink>
    </w:p>
    <w:p w14:paraId="2437B570" w14:textId="6CEFD886" w:rsidR="00830685" w:rsidRDefault="00C430DF">
      <w:pPr>
        <w:pStyle w:val="TOC3"/>
        <w:rPr>
          <w:rFonts w:asciiTheme="minorHAnsi" w:eastAsiaTheme="minorEastAsia" w:hAnsiTheme="minorHAnsi" w:cstheme="minorBidi"/>
          <w:sz w:val="22"/>
          <w:szCs w:val="22"/>
          <w:lang w:eastAsia="zh-CN" w:bidi="ar-SA"/>
        </w:rPr>
      </w:pPr>
      <w:hyperlink w:anchor="_Toc112064834" w:history="1">
        <w:r w:rsidR="00830685" w:rsidRPr="00B97A88">
          <w:rPr>
            <w:rStyle w:val="af8"/>
          </w:rPr>
          <w:t>2.2.3</w:t>
        </w:r>
        <w:r w:rsidR="00830685">
          <w:rPr>
            <w:rFonts w:asciiTheme="minorHAnsi" w:eastAsiaTheme="minorEastAsia" w:hAnsiTheme="minorHAnsi" w:cstheme="minorBidi"/>
            <w:sz w:val="22"/>
            <w:szCs w:val="22"/>
            <w:lang w:eastAsia="zh-CN" w:bidi="ar-SA"/>
          </w:rPr>
          <w:tab/>
        </w:r>
        <w:r w:rsidR="00830685" w:rsidRPr="00B97A88">
          <w:rPr>
            <w:rStyle w:val="af8"/>
          </w:rPr>
          <w:t>Exploratory Endpoint</w:t>
        </w:r>
        <w:r w:rsidR="00830685">
          <w:rPr>
            <w:webHidden/>
          </w:rPr>
          <w:tab/>
        </w:r>
        <w:r w:rsidR="00830685">
          <w:rPr>
            <w:webHidden/>
          </w:rPr>
          <w:fldChar w:fldCharType="begin"/>
        </w:r>
        <w:r w:rsidR="00830685">
          <w:rPr>
            <w:webHidden/>
          </w:rPr>
          <w:instrText xml:space="preserve"> PAGEREF _Toc112064834 \h </w:instrText>
        </w:r>
        <w:r w:rsidR="00830685">
          <w:rPr>
            <w:webHidden/>
          </w:rPr>
        </w:r>
        <w:r w:rsidR="00830685">
          <w:rPr>
            <w:webHidden/>
          </w:rPr>
          <w:fldChar w:fldCharType="separate"/>
        </w:r>
        <w:r w:rsidR="00830685">
          <w:rPr>
            <w:webHidden/>
          </w:rPr>
          <w:t>21</w:t>
        </w:r>
        <w:r w:rsidR="00830685">
          <w:rPr>
            <w:webHidden/>
          </w:rPr>
          <w:fldChar w:fldCharType="end"/>
        </w:r>
      </w:hyperlink>
    </w:p>
    <w:p w14:paraId="0838585E" w14:textId="250744C8" w:rsidR="00830685" w:rsidRDefault="00C430DF">
      <w:pPr>
        <w:pStyle w:val="TOC1"/>
        <w:rPr>
          <w:rFonts w:asciiTheme="minorHAnsi" w:eastAsiaTheme="minorEastAsia" w:hAnsiTheme="minorHAnsi" w:cstheme="minorBidi"/>
          <w:b w:val="0"/>
          <w:bCs w:val="0"/>
          <w:sz w:val="22"/>
          <w:szCs w:val="22"/>
          <w:lang w:eastAsia="zh-CN" w:bidi="ar-SA"/>
        </w:rPr>
      </w:pPr>
      <w:hyperlink w:anchor="_Toc112064835" w:history="1">
        <w:r w:rsidR="00830685" w:rsidRPr="00B97A88">
          <w:rPr>
            <w:rStyle w:val="af8"/>
          </w:rPr>
          <w:t>3</w:t>
        </w:r>
        <w:r w:rsidR="00830685">
          <w:rPr>
            <w:rFonts w:asciiTheme="minorHAnsi" w:eastAsiaTheme="minorEastAsia" w:hAnsiTheme="minorHAnsi" w:cstheme="minorBidi"/>
            <w:b w:val="0"/>
            <w:bCs w:val="0"/>
            <w:sz w:val="22"/>
            <w:szCs w:val="22"/>
            <w:lang w:eastAsia="zh-CN" w:bidi="ar-SA"/>
          </w:rPr>
          <w:tab/>
        </w:r>
        <w:r w:rsidR="00830685" w:rsidRPr="00B97A88">
          <w:rPr>
            <w:rStyle w:val="af8"/>
          </w:rPr>
          <w:t>INVESTIGATIONAL PLAN</w:t>
        </w:r>
        <w:r w:rsidR="00830685">
          <w:rPr>
            <w:webHidden/>
          </w:rPr>
          <w:tab/>
        </w:r>
        <w:r w:rsidR="00830685">
          <w:rPr>
            <w:webHidden/>
          </w:rPr>
          <w:fldChar w:fldCharType="begin"/>
        </w:r>
        <w:r w:rsidR="00830685">
          <w:rPr>
            <w:webHidden/>
          </w:rPr>
          <w:instrText xml:space="preserve"> PAGEREF _Toc112064835 \h </w:instrText>
        </w:r>
        <w:r w:rsidR="00830685">
          <w:rPr>
            <w:webHidden/>
          </w:rPr>
        </w:r>
        <w:r w:rsidR="00830685">
          <w:rPr>
            <w:webHidden/>
          </w:rPr>
          <w:fldChar w:fldCharType="separate"/>
        </w:r>
        <w:r w:rsidR="00830685">
          <w:rPr>
            <w:webHidden/>
          </w:rPr>
          <w:t>22</w:t>
        </w:r>
        <w:r w:rsidR="00830685">
          <w:rPr>
            <w:webHidden/>
          </w:rPr>
          <w:fldChar w:fldCharType="end"/>
        </w:r>
      </w:hyperlink>
    </w:p>
    <w:p w14:paraId="74A2B6FB" w14:textId="078874FE" w:rsidR="00830685" w:rsidRDefault="00C430DF">
      <w:pPr>
        <w:pStyle w:val="TOC1"/>
        <w:rPr>
          <w:rFonts w:asciiTheme="minorHAnsi" w:eastAsiaTheme="minorEastAsia" w:hAnsiTheme="minorHAnsi" w:cstheme="minorBidi"/>
          <w:b w:val="0"/>
          <w:bCs w:val="0"/>
          <w:sz w:val="22"/>
          <w:szCs w:val="22"/>
          <w:lang w:eastAsia="zh-CN" w:bidi="ar-SA"/>
        </w:rPr>
      </w:pPr>
      <w:hyperlink w:anchor="_Toc112064836" w:history="1">
        <w:r w:rsidR="00830685" w:rsidRPr="00B97A88">
          <w:rPr>
            <w:rStyle w:val="af8"/>
          </w:rPr>
          <w:t>4</w:t>
        </w:r>
        <w:r w:rsidR="00830685">
          <w:rPr>
            <w:rFonts w:asciiTheme="minorHAnsi" w:eastAsiaTheme="minorEastAsia" w:hAnsiTheme="minorHAnsi" w:cstheme="minorBidi"/>
            <w:b w:val="0"/>
            <w:bCs w:val="0"/>
            <w:sz w:val="22"/>
            <w:szCs w:val="22"/>
            <w:lang w:eastAsia="zh-CN" w:bidi="ar-SA"/>
          </w:rPr>
          <w:tab/>
        </w:r>
        <w:r w:rsidR="00830685" w:rsidRPr="00B97A88">
          <w:rPr>
            <w:rStyle w:val="af8"/>
          </w:rPr>
          <w:t>SELECTION OF STUDY POPULATION</w:t>
        </w:r>
        <w:r w:rsidR="00830685">
          <w:rPr>
            <w:webHidden/>
          </w:rPr>
          <w:tab/>
        </w:r>
        <w:r w:rsidR="00830685">
          <w:rPr>
            <w:webHidden/>
          </w:rPr>
          <w:fldChar w:fldCharType="begin"/>
        </w:r>
        <w:r w:rsidR="00830685">
          <w:rPr>
            <w:webHidden/>
          </w:rPr>
          <w:instrText xml:space="preserve"> PAGEREF _Toc112064836 \h </w:instrText>
        </w:r>
        <w:r w:rsidR="00830685">
          <w:rPr>
            <w:webHidden/>
          </w:rPr>
        </w:r>
        <w:r w:rsidR="00830685">
          <w:rPr>
            <w:webHidden/>
          </w:rPr>
          <w:fldChar w:fldCharType="separate"/>
        </w:r>
        <w:r w:rsidR="00830685">
          <w:rPr>
            <w:webHidden/>
          </w:rPr>
          <w:t>23</w:t>
        </w:r>
        <w:r w:rsidR="00830685">
          <w:rPr>
            <w:webHidden/>
          </w:rPr>
          <w:fldChar w:fldCharType="end"/>
        </w:r>
      </w:hyperlink>
    </w:p>
    <w:p w14:paraId="2152BB2A" w14:textId="21CEF00F" w:rsidR="00830685" w:rsidRDefault="00C430DF">
      <w:pPr>
        <w:pStyle w:val="TOC2"/>
        <w:rPr>
          <w:rFonts w:asciiTheme="minorHAnsi" w:eastAsiaTheme="minorEastAsia" w:hAnsiTheme="minorHAnsi" w:cstheme="minorBidi"/>
          <w:bCs w:val="0"/>
          <w:sz w:val="22"/>
          <w:szCs w:val="22"/>
          <w:lang w:eastAsia="zh-CN" w:bidi="ar-SA"/>
        </w:rPr>
      </w:pPr>
      <w:hyperlink w:anchor="_Toc112064837" w:history="1">
        <w:r w:rsidR="00830685" w:rsidRPr="00B97A88">
          <w:rPr>
            <w:rStyle w:val="af8"/>
          </w:rPr>
          <w:t>4.1</w:t>
        </w:r>
        <w:r w:rsidR="00830685">
          <w:rPr>
            <w:rFonts w:asciiTheme="minorHAnsi" w:eastAsiaTheme="minorEastAsia" w:hAnsiTheme="minorHAnsi" w:cstheme="minorBidi"/>
            <w:bCs w:val="0"/>
            <w:sz w:val="22"/>
            <w:szCs w:val="22"/>
            <w:lang w:eastAsia="zh-CN" w:bidi="ar-SA"/>
          </w:rPr>
          <w:tab/>
        </w:r>
        <w:r w:rsidR="00830685" w:rsidRPr="00B97A88">
          <w:rPr>
            <w:rStyle w:val="af8"/>
          </w:rPr>
          <w:t>Inclusion Criteria</w:t>
        </w:r>
        <w:r w:rsidR="00830685">
          <w:rPr>
            <w:webHidden/>
          </w:rPr>
          <w:tab/>
        </w:r>
        <w:r w:rsidR="00830685">
          <w:rPr>
            <w:webHidden/>
          </w:rPr>
          <w:fldChar w:fldCharType="begin"/>
        </w:r>
        <w:r w:rsidR="00830685">
          <w:rPr>
            <w:webHidden/>
          </w:rPr>
          <w:instrText xml:space="preserve"> PAGEREF _Toc112064837 \h </w:instrText>
        </w:r>
        <w:r w:rsidR="00830685">
          <w:rPr>
            <w:webHidden/>
          </w:rPr>
        </w:r>
        <w:r w:rsidR="00830685">
          <w:rPr>
            <w:webHidden/>
          </w:rPr>
          <w:fldChar w:fldCharType="separate"/>
        </w:r>
        <w:r w:rsidR="00830685">
          <w:rPr>
            <w:webHidden/>
          </w:rPr>
          <w:t>23</w:t>
        </w:r>
        <w:r w:rsidR="00830685">
          <w:rPr>
            <w:webHidden/>
          </w:rPr>
          <w:fldChar w:fldCharType="end"/>
        </w:r>
      </w:hyperlink>
    </w:p>
    <w:p w14:paraId="7DE2F705" w14:textId="0FA6CBB9" w:rsidR="00830685" w:rsidRDefault="00C430DF">
      <w:pPr>
        <w:pStyle w:val="TOC2"/>
        <w:rPr>
          <w:rFonts w:asciiTheme="minorHAnsi" w:eastAsiaTheme="minorEastAsia" w:hAnsiTheme="minorHAnsi" w:cstheme="minorBidi"/>
          <w:bCs w:val="0"/>
          <w:sz w:val="22"/>
          <w:szCs w:val="22"/>
          <w:lang w:eastAsia="zh-CN" w:bidi="ar-SA"/>
        </w:rPr>
      </w:pPr>
      <w:hyperlink w:anchor="_Toc112064838" w:history="1">
        <w:r w:rsidR="00830685" w:rsidRPr="00B97A88">
          <w:rPr>
            <w:rStyle w:val="af8"/>
          </w:rPr>
          <w:t>4.2</w:t>
        </w:r>
        <w:r w:rsidR="00830685">
          <w:rPr>
            <w:rFonts w:asciiTheme="minorHAnsi" w:eastAsiaTheme="minorEastAsia" w:hAnsiTheme="minorHAnsi" w:cstheme="minorBidi"/>
            <w:bCs w:val="0"/>
            <w:sz w:val="22"/>
            <w:szCs w:val="22"/>
            <w:lang w:eastAsia="zh-CN" w:bidi="ar-SA"/>
          </w:rPr>
          <w:tab/>
        </w:r>
        <w:r w:rsidR="00830685" w:rsidRPr="00B97A88">
          <w:rPr>
            <w:rStyle w:val="af8"/>
          </w:rPr>
          <w:t>Exclusion Criteria</w:t>
        </w:r>
        <w:r w:rsidR="00830685">
          <w:rPr>
            <w:webHidden/>
          </w:rPr>
          <w:tab/>
        </w:r>
        <w:r w:rsidR="00830685">
          <w:rPr>
            <w:webHidden/>
          </w:rPr>
          <w:fldChar w:fldCharType="begin"/>
        </w:r>
        <w:r w:rsidR="00830685">
          <w:rPr>
            <w:webHidden/>
          </w:rPr>
          <w:instrText xml:space="preserve"> PAGEREF _Toc112064838 \h </w:instrText>
        </w:r>
        <w:r w:rsidR="00830685">
          <w:rPr>
            <w:webHidden/>
          </w:rPr>
        </w:r>
        <w:r w:rsidR="00830685">
          <w:rPr>
            <w:webHidden/>
          </w:rPr>
          <w:fldChar w:fldCharType="separate"/>
        </w:r>
        <w:r w:rsidR="00830685">
          <w:rPr>
            <w:webHidden/>
          </w:rPr>
          <w:t>24</w:t>
        </w:r>
        <w:r w:rsidR="00830685">
          <w:rPr>
            <w:webHidden/>
          </w:rPr>
          <w:fldChar w:fldCharType="end"/>
        </w:r>
      </w:hyperlink>
    </w:p>
    <w:p w14:paraId="072B86F0" w14:textId="1E69C445" w:rsidR="00830685" w:rsidRDefault="00C430DF">
      <w:pPr>
        <w:pStyle w:val="TOC2"/>
        <w:rPr>
          <w:rFonts w:asciiTheme="minorHAnsi" w:eastAsiaTheme="minorEastAsia" w:hAnsiTheme="minorHAnsi" w:cstheme="minorBidi"/>
          <w:bCs w:val="0"/>
          <w:sz w:val="22"/>
          <w:szCs w:val="22"/>
          <w:lang w:eastAsia="zh-CN" w:bidi="ar-SA"/>
        </w:rPr>
      </w:pPr>
      <w:hyperlink w:anchor="_Toc112064839" w:history="1">
        <w:r w:rsidR="00830685" w:rsidRPr="00B97A88">
          <w:rPr>
            <w:rStyle w:val="af8"/>
          </w:rPr>
          <w:t>4.3</w:t>
        </w:r>
        <w:r w:rsidR="00830685">
          <w:rPr>
            <w:rFonts w:asciiTheme="minorHAnsi" w:eastAsiaTheme="minorEastAsia" w:hAnsiTheme="minorHAnsi" w:cstheme="minorBidi"/>
            <w:bCs w:val="0"/>
            <w:sz w:val="22"/>
            <w:szCs w:val="22"/>
            <w:lang w:eastAsia="zh-CN" w:bidi="ar-SA"/>
          </w:rPr>
          <w:tab/>
        </w:r>
        <w:r w:rsidR="00830685" w:rsidRPr="00B97A88">
          <w:rPr>
            <w:rStyle w:val="af8"/>
          </w:rPr>
          <w:t>Study Termination and Withdrawal</w:t>
        </w:r>
        <w:r w:rsidR="00830685">
          <w:rPr>
            <w:webHidden/>
          </w:rPr>
          <w:tab/>
        </w:r>
        <w:r w:rsidR="00830685">
          <w:rPr>
            <w:webHidden/>
          </w:rPr>
          <w:fldChar w:fldCharType="begin"/>
        </w:r>
        <w:r w:rsidR="00830685">
          <w:rPr>
            <w:webHidden/>
          </w:rPr>
          <w:instrText xml:space="preserve"> PAGEREF _Toc112064839 \h </w:instrText>
        </w:r>
        <w:r w:rsidR="00830685">
          <w:rPr>
            <w:webHidden/>
          </w:rPr>
        </w:r>
        <w:r w:rsidR="00830685">
          <w:rPr>
            <w:webHidden/>
          </w:rPr>
          <w:fldChar w:fldCharType="separate"/>
        </w:r>
        <w:r w:rsidR="00830685">
          <w:rPr>
            <w:webHidden/>
          </w:rPr>
          <w:t>25</w:t>
        </w:r>
        <w:r w:rsidR="00830685">
          <w:rPr>
            <w:webHidden/>
          </w:rPr>
          <w:fldChar w:fldCharType="end"/>
        </w:r>
      </w:hyperlink>
    </w:p>
    <w:p w14:paraId="2BE44C14" w14:textId="62D62FBF" w:rsidR="00830685" w:rsidRDefault="00C430DF">
      <w:pPr>
        <w:pStyle w:val="TOC3"/>
        <w:rPr>
          <w:rFonts w:asciiTheme="minorHAnsi" w:eastAsiaTheme="minorEastAsia" w:hAnsiTheme="minorHAnsi" w:cstheme="minorBidi"/>
          <w:sz w:val="22"/>
          <w:szCs w:val="22"/>
          <w:lang w:eastAsia="zh-CN" w:bidi="ar-SA"/>
        </w:rPr>
      </w:pPr>
      <w:hyperlink w:anchor="_Toc112064840" w:history="1">
        <w:r w:rsidR="00830685" w:rsidRPr="00B97A88">
          <w:rPr>
            <w:rStyle w:val="af8"/>
          </w:rPr>
          <w:t>4.3.1</w:t>
        </w:r>
        <w:r w:rsidR="00830685">
          <w:rPr>
            <w:rFonts w:asciiTheme="minorHAnsi" w:eastAsiaTheme="minorEastAsia" w:hAnsiTheme="minorHAnsi" w:cstheme="minorBidi"/>
            <w:sz w:val="22"/>
            <w:szCs w:val="22"/>
            <w:lang w:eastAsia="zh-CN" w:bidi="ar-SA"/>
          </w:rPr>
          <w:tab/>
        </w:r>
        <w:r w:rsidR="00830685" w:rsidRPr="00B97A88">
          <w:rPr>
            <w:rStyle w:val="af8"/>
          </w:rPr>
          <w:t>Study Termination/Suspension</w:t>
        </w:r>
        <w:r w:rsidR="00830685">
          <w:rPr>
            <w:webHidden/>
          </w:rPr>
          <w:tab/>
        </w:r>
        <w:r w:rsidR="00830685">
          <w:rPr>
            <w:webHidden/>
          </w:rPr>
          <w:fldChar w:fldCharType="begin"/>
        </w:r>
        <w:r w:rsidR="00830685">
          <w:rPr>
            <w:webHidden/>
          </w:rPr>
          <w:instrText xml:space="preserve"> PAGEREF _Toc112064840 \h </w:instrText>
        </w:r>
        <w:r w:rsidR="00830685">
          <w:rPr>
            <w:webHidden/>
          </w:rPr>
        </w:r>
        <w:r w:rsidR="00830685">
          <w:rPr>
            <w:webHidden/>
          </w:rPr>
          <w:fldChar w:fldCharType="separate"/>
        </w:r>
        <w:r w:rsidR="00830685">
          <w:rPr>
            <w:webHidden/>
          </w:rPr>
          <w:t>25</w:t>
        </w:r>
        <w:r w:rsidR="00830685">
          <w:rPr>
            <w:webHidden/>
          </w:rPr>
          <w:fldChar w:fldCharType="end"/>
        </w:r>
      </w:hyperlink>
    </w:p>
    <w:p w14:paraId="70475927" w14:textId="6BAA258C" w:rsidR="00830685" w:rsidRDefault="00C430DF">
      <w:pPr>
        <w:pStyle w:val="TOC3"/>
        <w:rPr>
          <w:rFonts w:asciiTheme="minorHAnsi" w:eastAsiaTheme="minorEastAsia" w:hAnsiTheme="minorHAnsi" w:cstheme="minorBidi"/>
          <w:sz w:val="22"/>
          <w:szCs w:val="22"/>
          <w:lang w:eastAsia="zh-CN" w:bidi="ar-SA"/>
        </w:rPr>
      </w:pPr>
      <w:hyperlink w:anchor="_Toc112064841" w:history="1">
        <w:r w:rsidR="00830685" w:rsidRPr="00B97A88">
          <w:rPr>
            <w:rStyle w:val="af8"/>
          </w:rPr>
          <w:t>4.3.2</w:t>
        </w:r>
        <w:r w:rsidR="00830685">
          <w:rPr>
            <w:rFonts w:asciiTheme="minorHAnsi" w:eastAsiaTheme="minorEastAsia" w:hAnsiTheme="minorHAnsi" w:cstheme="minorBidi"/>
            <w:sz w:val="22"/>
            <w:szCs w:val="22"/>
            <w:lang w:eastAsia="zh-CN" w:bidi="ar-SA"/>
          </w:rPr>
          <w:tab/>
        </w:r>
        <w:r w:rsidR="00830685" w:rsidRPr="00B97A88">
          <w:rPr>
            <w:rStyle w:val="af8"/>
          </w:rPr>
          <w:t>Withdrawal Criteria</w:t>
        </w:r>
        <w:r w:rsidR="00830685">
          <w:rPr>
            <w:webHidden/>
          </w:rPr>
          <w:tab/>
        </w:r>
        <w:r w:rsidR="00830685">
          <w:rPr>
            <w:webHidden/>
          </w:rPr>
          <w:fldChar w:fldCharType="begin"/>
        </w:r>
        <w:r w:rsidR="00830685">
          <w:rPr>
            <w:webHidden/>
          </w:rPr>
          <w:instrText xml:space="preserve"> PAGEREF _Toc112064841 \h </w:instrText>
        </w:r>
        <w:r w:rsidR="00830685">
          <w:rPr>
            <w:webHidden/>
          </w:rPr>
        </w:r>
        <w:r w:rsidR="00830685">
          <w:rPr>
            <w:webHidden/>
          </w:rPr>
          <w:fldChar w:fldCharType="separate"/>
        </w:r>
        <w:r w:rsidR="00830685">
          <w:rPr>
            <w:webHidden/>
          </w:rPr>
          <w:t>25</w:t>
        </w:r>
        <w:r w:rsidR="00830685">
          <w:rPr>
            <w:webHidden/>
          </w:rPr>
          <w:fldChar w:fldCharType="end"/>
        </w:r>
      </w:hyperlink>
    </w:p>
    <w:p w14:paraId="7C342EB7" w14:textId="1B465F9B" w:rsidR="00830685" w:rsidRDefault="00C430DF">
      <w:pPr>
        <w:pStyle w:val="TOC1"/>
        <w:rPr>
          <w:rFonts w:asciiTheme="minorHAnsi" w:eastAsiaTheme="minorEastAsia" w:hAnsiTheme="minorHAnsi" w:cstheme="minorBidi"/>
          <w:b w:val="0"/>
          <w:bCs w:val="0"/>
          <w:sz w:val="22"/>
          <w:szCs w:val="22"/>
          <w:lang w:eastAsia="zh-CN" w:bidi="ar-SA"/>
        </w:rPr>
      </w:pPr>
      <w:hyperlink w:anchor="_Toc112064842" w:history="1">
        <w:r w:rsidR="00830685" w:rsidRPr="00B97A88">
          <w:rPr>
            <w:rStyle w:val="af8"/>
          </w:rPr>
          <w:t>5</w:t>
        </w:r>
        <w:r w:rsidR="00830685">
          <w:rPr>
            <w:rFonts w:asciiTheme="minorHAnsi" w:eastAsiaTheme="minorEastAsia" w:hAnsiTheme="minorHAnsi" w:cstheme="minorBidi"/>
            <w:b w:val="0"/>
            <w:bCs w:val="0"/>
            <w:sz w:val="22"/>
            <w:szCs w:val="22"/>
            <w:lang w:eastAsia="zh-CN" w:bidi="ar-SA"/>
          </w:rPr>
          <w:tab/>
        </w:r>
        <w:r w:rsidR="00830685" w:rsidRPr="00B97A88">
          <w:rPr>
            <w:rStyle w:val="af8"/>
          </w:rPr>
          <w:t>STUDY TREATMENTS</w:t>
        </w:r>
        <w:r w:rsidR="00830685">
          <w:rPr>
            <w:webHidden/>
          </w:rPr>
          <w:tab/>
        </w:r>
        <w:r w:rsidR="00830685">
          <w:rPr>
            <w:webHidden/>
          </w:rPr>
          <w:fldChar w:fldCharType="begin"/>
        </w:r>
        <w:r w:rsidR="00830685">
          <w:rPr>
            <w:webHidden/>
          </w:rPr>
          <w:instrText xml:space="preserve"> PAGEREF _Toc112064842 \h </w:instrText>
        </w:r>
        <w:r w:rsidR="00830685">
          <w:rPr>
            <w:webHidden/>
          </w:rPr>
        </w:r>
        <w:r w:rsidR="00830685">
          <w:rPr>
            <w:webHidden/>
          </w:rPr>
          <w:fldChar w:fldCharType="separate"/>
        </w:r>
        <w:r w:rsidR="00830685">
          <w:rPr>
            <w:webHidden/>
          </w:rPr>
          <w:t>27</w:t>
        </w:r>
        <w:r w:rsidR="00830685">
          <w:rPr>
            <w:webHidden/>
          </w:rPr>
          <w:fldChar w:fldCharType="end"/>
        </w:r>
      </w:hyperlink>
    </w:p>
    <w:p w14:paraId="78F124ED" w14:textId="2F6CE640" w:rsidR="00830685" w:rsidRDefault="00C430DF">
      <w:pPr>
        <w:pStyle w:val="TOC2"/>
        <w:rPr>
          <w:rFonts w:asciiTheme="minorHAnsi" w:eastAsiaTheme="minorEastAsia" w:hAnsiTheme="minorHAnsi" w:cstheme="minorBidi"/>
          <w:bCs w:val="0"/>
          <w:sz w:val="22"/>
          <w:szCs w:val="22"/>
          <w:lang w:eastAsia="zh-CN" w:bidi="ar-SA"/>
        </w:rPr>
      </w:pPr>
      <w:hyperlink w:anchor="_Toc112064843" w:history="1">
        <w:r w:rsidR="00830685" w:rsidRPr="00B97A88">
          <w:rPr>
            <w:rStyle w:val="af8"/>
            <w:rFonts w:eastAsia="Times New Roman"/>
          </w:rPr>
          <w:t>5.1</w:t>
        </w:r>
        <w:r w:rsidR="00830685">
          <w:rPr>
            <w:rFonts w:asciiTheme="minorHAnsi" w:eastAsiaTheme="minorEastAsia" w:hAnsiTheme="minorHAnsi" w:cstheme="minorBidi"/>
            <w:bCs w:val="0"/>
            <w:sz w:val="22"/>
            <w:szCs w:val="22"/>
            <w:lang w:eastAsia="zh-CN" w:bidi="ar-SA"/>
          </w:rPr>
          <w:tab/>
        </w:r>
        <w:r w:rsidR="00830685" w:rsidRPr="00B97A88">
          <w:rPr>
            <w:rStyle w:val="af8"/>
            <w:rFonts w:eastAsia="Times New Roman"/>
          </w:rPr>
          <w:t>Study Treatment Description</w:t>
        </w:r>
        <w:r w:rsidR="00830685">
          <w:rPr>
            <w:webHidden/>
          </w:rPr>
          <w:tab/>
        </w:r>
        <w:r w:rsidR="00830685">
          <w:rPr>
            <w:webHidden/>
          </w:rPr>
          <w:fldChar w:fldCharType="begin"/>
        </w:r>
        <w:r w:rsidR="00830685">
          <w:rPr>
            <w:webHidden/>
          </w:rPr>
          <w:instrText xml:space="preserve"> PAGEREF _Toc112064843 \h </w:instrText>
        </w:r>
        <w:r w:rsidR="00830685">
          <w:rPr>
            <w:webHidden/>
          </w:rPr>
        </w:r>
        <w:r w:rsidR="00830685">
          <w:rPr>
            <w:webHidden/>
          </w:rPr>
          <w:fldChar w:fldCharType="separate"/>
        </w:r>
        <w:r w:rsidR="00830685">
          <w:rPr>
            <w:webHidden/>
          </w:rPr>
          <w:t>27</w:t>
        </w:r>
        <w:r w:rsidR="00830685">
          <w:rPr>
            <w:webHidden/>
          </w:rPr>
          <w:fldChar w:fldCharType="end"/>
        </w:r>
      </w:hyperlink>
    </w:p>
    <w:p w14:paraId="5622A171" w14:textId="003CC482" w:rsidR="00830685" w:rsidRDefault="00C430DF">
      <w:pPr>
        <w:pStyle w:val="TOC3"/>
        <w:rPr>
          <w:rFonts w:asciiTheme="minorHAnsi" w:eastAsiaTheme="minorEastAsia" w:hAnsiTheme="minorHAnsi" w:cstheme="minorBidi"/>
          <w:sz w:val="22"/>
          <w:szCs w:val="22"/>
          <w:lang w:eastAsia="zh-CN" w:bidi="ar-SA"/>
        </w:rPr>
      </w:pPr>
      <w:hyperlink w:anchor="_Toc112064844" w:history="1">
        <w:r w:rsidR="00830685" w:rsidRPr="00B97A88">
          <w:rPr>
            <w:rStyle w:val="af8"/>
          </w:rPr>
          <w:t>5.1.1</w:t>
        </w:r>
        <w:r w:rsidR="00830685">
          <w:rPr>
            <w:rFonts w:asciiTheme="minorHAnsi" w:eastAsiaTheme="minorEastAsia" w:hAnsiTheme="minorHAnsi" w:cstheme="minorBidi"/>
            <w:sz w:val="22"/>
            <w:szCs w:val="22"/>
            <w:lang w:eastAsia="zh-CN" w:bidi="ar-SA"/>
          </w:rPr>
          <w:tab/>
        </w:r>
        <w:r w:rsidR="00830685" w:rsidRPr="00B97A88">
          <w:rPr>
            <w:rStyle w:val="af8"/>
          </w:rPr>
          <w:t>Details of Study Treatment</w:t>
        </w:r>
        <w:r w:rsidR="00830685">
          <w:rPr>
            <w:webHidden/>
          </w:rPr>
          <w:tab/>
        </w:r>
        <w:r w:rsidR="00830685">
          <w:rPr>
            <w:webHidden/>
          </w:rPr>
          <w:fldChar w:fldCharType="begin"/>
        </w:r>
        <w:r w:rsidR="00830685">
          <w:rPr>
            <w:webHidden/>
          </w:rPr>
          <w:instrText xml:space="preserve"> PAGEREF _Toc112064844 \h </w:instrText>
        </w:r>
        <w:r w:rsidR="00830685">
          <w:rPr>
            <w:webHidden/>
          </w:rPr>
        </w:r>
        <w:r w:rsidR="00830685">
          <w:rPr>
            <w:webHidden/>
          </w:rPr>
          <w:fldChar w:fldCharType="separate"/>
        </w:r>
        <w:r w:rsidR="00830685">
          <w:rPr>
            <w:webHidden/>
          </w:rPr>
          <w:t>27</w:t>
        </w:r>
        <w:r w:rsidR="00830685">
          <w:rPr>
            <w:webHidden/>
          </w:rPr>
          <w:fldChar w:fldCharType="end"/>
        </w:r>
      </w:hyperlink>
    </w:p>
    <w:p w14:paraId="099843F2" w14:textId="62E23D45" w:rsidR="00830685" w:rsidRDefault="00C430DF">
      <w:pPr>
        <w:pStyle w:val="TOC4"/>
        <w:tabs>
          <w:tab w:val="left" w:pos="1656"/>
        </w:tabs>
        <w:rPr>
          <w:rFonts w:asciiTheme="minorHAnsi" w:eastAsiaTheme="minorEastAsia" w:hAnsiTheme="minorHAnsi" w:cstheme="minorBidi"/>
          <w:sz w:val="22"/>
          <w:szCs w:val="22"/>
          <w:lang w:eastAsia="zh-CN" w:bidi="ar-SA"/>
        </w:rPr>
      </w:pPr>
      <w:hyperlink w:anchor="_Toc112064845" w:history="1">
        <w:r w:rsidR="00830685" w:rsidRPr="00B97A88">
          <w:rPr>
            <w:rStyle w:val="af8"/>
          </w:rPr>
          <w:t>5.1.1.1</w:t>
        </w:r>
        <w:r w:rsidR="00830685">
          <w:rPr>
            <w:rFonts w:asciiTheme="minorHAnsi" w:eastAsiaTheme="minorEastAsia" w:hAnsiTheme="minorHAnsi" w:cstheme="minorBidi"/>
            <w:sz w:val="22"/>
            <w:szCs w:val="22"/>
            <w:lang w:eastAsia="zh-CN" w:bidi="ar-SA"/>
          </w:rPr>
          <w:tab/>
        </w:r>
        <w:r w:rsidR="00830685" w:rsidRPr="00B97A88">
          <w:rPr>
            <w:rStyle w:val="af8"/>
          </w:rPr>
          <w:t>CT103A</w:t>
        </w:r>
        <w:r w:rsidR="00830685">
          <w:rPr>
            <w:webHidden/>
          </w:rPr>
          <w:tab/>
        </w:r>
        <w:r w:rsidR="00830685">
          <w:rPr>
            <w:webHidden/>
          </w:rPr>
          <w:fldChar w:fldCharType="begin"/>
        </w:r>
        <w:r w:rsidR="00830685">
          <w:rPr>
            <w:webHidden/>
          </w:rPr>
          <w:instrText xml:space="preserve"> PAGEREF _Toc112064845 \h </w:instrText>
        </w:r>
        <w:r w:rsidR="00830685">
          <w:rPr>
            <w:webHidden/>
          </w:rPr>
        </w:r>
        <w:r w:rsidR="00830685">
          <w:rPr>
            <w:webHidden/>
          </w:rPr>
          <w:fldChar w:fldCharType="separate"/>
        </w:r>
        <w:r w:rsidR="00830685">
          <w:rPr>
            <w:webHidden/>
          </w:rPr>
          <w:t>27</w:t>
        </w:r>
        <w:r w:rsidR="00830685">
          <w:rPr>
            <w:webHidden/>
          </w:rPr>
          <w:fldChar w:fldCharType="end"/>
        </w:r>
      </w:hyperlink>
    </w:p>
    <w:p w14:paraId="317350DD" w14:textId="3BE73666" w:rsidR="00830685" w:rsidRDefault="00C430DF">
      <w:pPr>
        <w:pStyle w:val="TOC4"/>
        <w:tabs>
          <w:tab w:val="left" w:pos="1656"/>
        </w:tabs>
        <w:rPr>
          <w:rFonts w:asciiTheme="minorHAnsi" w:eastAsiaTheme="minorEastAsia" w:hAnsiTheme="minorHAnsi" w:cstheme="minorBidi"/>
          <w:sz w:val="22"/>
          <w:szCs w:val="22"/>
          <w:lang w:eastAsia="zh-CN" w:bidi="ar-SA"/>
        </w:rPr>
      </w:pPr>
      <w:hyperlink w:anchor="_Toc112064846" w:history="1">
        <w:r w:rsidR="00830685" w:rsidRPr="00B97A88">
          <w:rPr>
            <w:rStyle w:val="af8"/>
          </w:rPr>
          <w:t>5.1.1.2</w:t>
        </w:r>
        <w:r w:rsidR="00830685">
          <w:rPr>
            <w:rFonts w:asciiTheme="minorHAnsi" w:eastAsiaTheme="minorEastAsia" w:hAnsiTheme="minorHAnsi" w:cstheme="minorBidi"/>
            <w:sz w:val="22"/>
            <w:szCs w:val="22"/>
            <w:lang w:eastAsia="zh-CN" w:bidi="ar-SA"/>
          </w:rPr>
          <w:tab/>
        </w:r>
        <w:r w:rsidR="00F31A05">
          <w:rPr>
            <w:rStyle w:val="af8"/>
            <w:rFonts w:eastAsia="瀹嬩綋"/>
            <w:lang w:val="en"/>
          </w:rPr>
          <w:t>Selinexor</w:t>
        </w:r>
        <w:r w:rsidR="00830685">
          <w:rPr>
            <w:webHidden/>
          </w:rPr>
          <w:tab/>
        </w:r>
        <w:r w:rsidR="00830685">
          <w:rPr>
            <w:webHidden/>
          </w:rPr>
          <w:fldChar w:fldCharType="begin"/>
        </w:r>
        <w:r w:rsidR="00830685">
          <w:rPr>
            <w:webHidden/>
          </w:rPr>
          <w:instrText xml:space="preserve"> PAGEREF _Toc112064846 \h </w:instrText>
        </w:r>
        <w:r w:rsidR="00830685">
          <w:rPr>
            <w:webHidden/>
          </w:rPr>
        </w:r>
        <w:r w:rsidR="00830685">
          <w:rPr>
            <w:webHidden/>
          </w:rPr>
          <w:fldChar w:fldCharType="separate"/>
        </w:r>
        <w:r w:rsidR="00830685">
          <w:rPr>
            <w:webHidden/>
          </w:rPr>
          <w:t>27</w:t>
        </w:r>
        <w:r w:rsidR="00830685">
          <w:rPr>
            <w:webHidden/>
          </w:rPr>
          <w:fldChar w:fldCharType="end"/>
        </w:r>
      </w:hyperlink>
    </w:p>
    <w:p w14:paraId="2FF1FFBC" w14:textId="527290A9" w:rsidR="00830685" w:rsidRDefault="00C430DF">
      <w:pPr>
        <w:pStyle w:val="TOC3"/>
        <w:rPr>
          <w:rFonts w:asciiTheme="minorHAnsi" w:eastAsiaTheme="minorEastAsia" w:hAnsiTheme="minorHAnsi" w:cstheme="minorBidi"/>
          <w:sz w:val="22"/>
          <w:szCs w:val="22"/>
          <w:lang w:eastAsia="zh-CN" w:bidi="ar-SA"/>
        </w:rPr>
      </w:pPr>
      <w:hyperlink w:anchor="_Toc112064847" w:history="1">
        <w:r w:rsidR="00830685" w:rsidRPr="00B97A88">
          <w:rPr>
            <w:rStyle w:val="af8"/>
          </w:rPr>
          <w:t>5.1.2</w:t>
        </w:r>
        <w:r w:rsidR="00830685">
          <w:rPr>
            <w:rFonts w:asciiTheme="minorHAnsi" w:eastAsiaTheme="minorEastAsia" w:hAnsiTheme="minorHAnsi" w:cstheme="minorBidi"/>
            <w:sz w:val="22"/>
            <w:szCs w:val="22"/>
            <w:lang w:eastAsia="zh-CN" w:bidi="ar-SA"/>
          </w:rPr>
          <w:tab/>
        </w:r>
        <w:r w:rsidR="00830685" w:rsidRPr="00B97A88">
          <w:rPr>
            <w:rStyle w:val="af8"/>
          </w:rPr>
          <w:t>Bridging Therapy</w:t>
        </w:r>
        <w:r w:rsidR="00830685">
          <w:rPr>
            <w:webHidden/>
          </w:rPr>
          <w:tab/>
        </w:r>
        <w:r w:rsidR="00830685">
          <w:rPr>
            <w:webHidden/>
          </w:rPr>
          <w:fldChar w:fldCharType="begin"/>
        </w:r>
        <w:r w:rsidR="00830685">
          <w:rPr>
            <w:webHidden/>
          </w:rPr>
          <w:instrText xml:space="preserve"> PAGEREF _Toc112064847 \h </w:instrText>
        </w:r>
        <w:r w:rsidR="00830685">
          <w:rPr>
            <w:webHidden/>
          </w:rPr>
        </w:r>
        <w:r w:rsidR="00830685">
          <w:rPr>
            <w:webHidden/>
          </w:rPr>
          <w:fldChar w:fldCharType="separate"/>
        </w:r>
        <w:r w:rsidR="00830685">
          <w:rPr>
            <w:webHidden/>
          </w:rPr>
          <w:t>27</w:t>
        </w:r>
        <w:r w:rsidR="00830685">
          <w:rPr>
            <w:webHidden/>
          </w:rPr>
          <w:fldChar w:fldCharType="end"/>
        </w:r>
      </w:hyperlink>
    </w:p>
    <w:p w14:paraId="71EC93C7" w14:textId="0B89EA82" w:rsidR="00830685" w:rsidRDefault="00C430DF">
      <w:pPr>
        <w:pStyle w:val="TOC3"/>
        <w:rPr>
          <w:rFonts w:asciiTheme="minorHAnsi" w:eastAsiaTheme="minorEastAsia" w:hAnsiTheme="minorHAnsi" w:cstheme="minorBidi"/>
          <w:sz w:val="22"/>
          <w:szCs w:val="22"/>
          <w:lang w:eastAsia="zh-CN" w:bidi="ar-SA"/>
        </w:rPr>
      </w:pPr>
      <w:hyperlink w:anchor="_Toc112064848" w:history="1">
        <w:r w:rsidR="00830685" w:rsidRPr="00B97A88">
          <w:rPr>
            <w:rStyle w:val="af8"/>
          </w:rPr>
          <w:t>5.1.3</w:t>
        </w:r>
        <w:r w:rsidR="00830685">
          <w:rPr>
            <w:rFonts w:asciiTheme="minorHAnsi" w:eastAsiaTheme="minorEastAsia" w:hAnsiTheme="minorHAnsi" w:cstheme="minorBidi"/>
            <w:sz w:val="22"/>
            <w:szCs w:val="22"/>
            <w:lang w:eastAsia="zh-CN" w:bidi="ar-SA"/>
          </w:rPr>
          <w:tab/>
        </w:r>
        <w:r w:rsidR="00830685" w:rsidRPr="00B97A88">
          <w:rPr>
            <w:rStyle w:val="af8"/>
          </w:rPr>
          <w:t>Lymphodepletion</w:t>
        </w:r>
        <w:r w:rsidR="00830685">
          <w:rPr>
            <w:webHidden/>
          </w:rPr>
          <w:tab/>
        </w:r>
        <w:r w:rsidR="00830685">
          <w:rPr>
            <w:webHidden/>
          </w:rPr>
          <w:fldChar w:fldCharType="begin"/>
        </w:r>
        <w:r w:rsidR="00830685">
          <w:rPr>
            <w:webHidden/>
          </w:rPr>
          <w:instrText xml:space="preserve"> PAGEREF _Toc112064848 \h </w:instrText>
        </w:r>
        <w:r w:rsidR="00830685">
          <w:rPr>
            <w:webHidden/>
          </w:rPr>
        </w:r>
        <w:r w:rsidR="00830685">
          <w:rPr>
            <w:webHidden/>
          </w:rPr>
          <w:fldChar w:fldCharType="separate"/>
        </w:r>
        <w:r w:rsidR="00830685">
          <w:rPr>
            <w:webHidden/>
          </w:rPr>
          <w:t>27</w:t>
        </w:r>
        <w:r w:rsidR="00830685">
          <w:rPr>
            <w:webHidden/>
          </w:rPr>
          <w:fldChar w:fldCharType="end"/>
        </w:r>
      </w:hyperlink>
    </w:p>
    <w:p w14:paraId="1BEE3A3F" w14:textId="39F00D18" w:rsidR="00830685" w:rsidRDefault="00C430DF">
      <w:pPr>
        <w:pStyle w:val="TOC3"/>
        <w:rPr>
          <w:rFonts w:asciiTheme="minorHAnsi" w:eastAsiaTheme="minorEastAsia" w:hAnsiTheme="minorHAnsi" w:cstheme="minorBidi"/>
          <w:sz w:val="22"/>
          <w:szCs w:val="22"/>
          <w:lang w:eastAsia="zh-CN" w:bidi="ar-SA"/>
        </w:rPr>
      </w:pPr>
      <w:hyperlink w:anchor="_Toc112064849" w:history="1">
        <w:r w:rsidR="00830685" w:rsidRPr="00B97A88">
          <w:rPr>
            <w:rStyle w:val="af8"/>
          </w:rPr>
          <w:t>5.1.4</w:t>
        </w:r>
        <w:r w:rsidR="00830685">
          <w:rPr>
            <w:rFonts w:asciiTheme="minorHAnsi" w:eastAsiaTheme="minorEastAsia" w:hAnsiTheme="minorHAnsi" w:cstheme="minorBidi"/>
            <w:sz w:val="22"/>
            <w:szCs w:val="22"/>
            <w:lang w:eastAsia="zh-CN" w:bidi="ar-SA"/>
          </w:rPr>
          <w:tab/>
        </w:r>
        <w:r w:rsidR="00830685" w:rsidRPr="00B97A88">
          <w:rPr>
            <w:rStyle w:val="af8"/>
          </w:rPr>
          <w:t>Maintenance Therapy (</w:t>
        </w:r>
        <w:r w:rsidR="00F31A05">
          <w:rPr>
            <w:rStyle w:val="af8"/>
          </w:rPr>
          <w:t>Selinexor</w:t>
        </w:r>
        <w:r w:rsidR="00830685" w:rsidRPr="00B97A88">
          <w:rPr>
            <w:rStyle w:val="af8"/>
          </w:rPr>
          <w:t>)</w:t>
        </w:r>
        <w:r w:rsidR="00830685">
          <w:rPr>
            <w:webHidden/>
          </w:rPr>
          <w:tab/>
        </w:r>
        <w:r w:rsidR="00830685">
          <w:rPr>
            <w:webHidden/>
          </w:rPr>
          <w:fldChar w:fldCharType="begin"/>
        </w:r>
        <w:r w:rsidR="00830685">
          <w:rPr>
            <w:webHidden/>
          </w:rPr>
          <w:instrText xml:space="preserve"> PAGEREF _Toc112064849 \h </w:instrText>
        </w:r>
        <w:r w:rsidR="00830685">
          <w:rPr>
            <w:webHidden/>
          </w:rPr>
        </w:r>
        <w:r w:rsidR="00830685">
          <w:rPr>
            <w:webHidden/>
          </w:rPr>
          <w:fldChar w:fldCharType="separate"/>
        </w:r>
        <w:r w:rsidR="00830685">
          <w:rPr>
            <w:webHidden/>
          </w:rPr>
          <w:t>28</w:t>
        </w:r>
        <w:r w:rsidR="00830685">
          <w:rPr>
            <w:webHidden/>
          </w:rPr>
          <w:fldChar w:fldCharType="end"/>
        </w:r>
      </w:hyperlink>
    </w:p>
    <w:p w14:paraId="1D3D4D98" w14:textId="2461436A" w:rsidR="00830685" w:rsidRDefault="00C430DF">
      <w:pPr>
        <w:pStyle w:val="TOC2"/>
        <w:rPr>
          <w:rFonts w:asciiTheme="minorHAnsi" w:eastAsiaTheme="minorEastAsia" w:hAnsiTheme="minorHAnsi" w:cstheme="minorBidi"/>
          <w:bCs w:val="0"/>
          <w:sz w:val="22"/>
          <w:szCs w:val="22"/>
          <w:lang w:eastAsia="zh-CN" w:bidi="ar-SA"/>
        </w:rPr>
      </w:pPr>
      <w:hyperlink w:anchor="_Toc112064850" w:history="1">
        <w:r w:rsidR="00830685" w:rsidRPr="00B97A88">
          <w:rPr>
            <w:rStyle w:val="af8"/>
          </w:rPr>
          <w:t>5.2</w:t>
        </w:r>
        <w:r w:rsidR="00830685">
          <w:rPr>
            <w:rFonts w:asciiTheme="minorHAnsi" w:eastAsiaTheme="minorEastAsia" w:hAnsiTheme="minorHAnsi" w:cstheme="minorBidi"/>
            <w:bCs w:val="0"/>
            <w:sz w:val="22"/>
            <w:szCs w:val="22"/>
            <w:lang w:eastAsia="zh-CN" w:bidi="ar-SA"/>
          </w:rPr>
          <w:tab/>
        </w:r>
        <w:r w:rsidR="00830685" w:rsidRPr="00B97A88">
          <w:rPr>
            <w:rStyle w:val="af8"/>
            <w:rFonts w:eastAsia="宋体"/>
            <w:lang w:val="en"/>
          </w:rPr>
          <w:t>Administration of CT103A</w:t>
        </w:r>
        <w:r w:rsidR="00830685">
          <w:rPr>
            <w:webHidden/>
          </w:rPr>
          <w:tab/>
        </w:r>
        <w:r w:rsidR="00830685">
          <w:rPr>
            <w:webHidden/>
          </w:rPr>
          <w:fldChar w:fldCharType="begin"/>
        </w:r>
        <w:r w:rsidR="00830685">
          <w:rPr>
            <w:webHidden/>
          </w:rPr>
          <w:instrText xml:space="preserve"> PAGEREF _Toc112064850 \h </w:instrText>
        </w:r>
        <w:r w:rsidR="00830685">
          <w:rPr>
            <w:webHidden/>
          </w:rPr>
        </w:r>
        <w:r w:rsidR="00830685">
          <w:rPr>
            <w:webHidden/>
          </w:rPr>
          <w:fldChar w:fldCharType="separate"/>
        </w:r>
        <w:r w:rsidR="00830685">
          <w:rPr>
            <w:webHidden/>
          </w:rPr>
          <w:t>28</w:t>
        </w:r>
        <w:r w:rsidR="00830685">
          <w:rPr>
            <w:webHidden/>
          </w:rPr>
          <w:fldChar w:fldCharType="end"/>
        </w:r>
      </w:hyperlink>
    </w:p>
    <w:p w14:paraId="53D6775D" w14:textId="74281016" w:rsidR="00830685" w:rsidRDefault="00C430DF">
      <w:pPr>
        <w:pStyle w:val="TOC3"/>
        <w:rPr>
          <w:rFonts w:asciiTheme="minorHAnsi" w:eastAsiaTheme="minorEastAsia" w:hAnsiTheme="minorHAnsi" w:cstheme="minorBidi"/>
          <w:sz w:val="22"/>
          <w:szCs w:val="22"/>
          <w:lang w:eastAsia="zh-CN" w:bidi="ar-SA"/>
        </w:rPr>
      </w:pPr>
      <w:hyperlink w:anchor="_Toc112064851" w:history="1">
        <w:r w:rsidR="00830685" w:rsidRPr="00B97A88">
          <w:rPr>
            <w:rStyle w:val="af8"/>
          </w:rPr>
          <w:t>5.2.1</w:t>
        </w:r>
        <w:r w:rsidR="00830685">
          <w:rPr>
            <w:rFonts w:asciiTheme="minorHAnsi" w:eastAsiaTheme="minorEastAsia" w:hAnsiTheme="minorHAnsi" w:cstheme="minorBidi"/>
            <w:sz w:val="22"/>
            <w:szCs w:val="22"/>
            <w:lang w:eastAsia="zh-CN" w:bidi="ar-SA"/>
          </w:rPr>
          <w:tab/>
        </w:r>
        <w:r w:rsidR="00830685" w:rsidRPr="00B97A88">
          <w:rPr>
            <w:rStyle w:val="af8"/>
            <w:rFonts w:eastAsia="微软雅黑"/>
            <w:lang w:val="en"/>
          </w:rPr>
          <w:t xml:space="preserve">Method of </w:t>
        </w:r>
        <w:r w:rsidR="00830685" w:rsidRPr="00B97A88">
          <w:rPr>
            <w:rStyle w:val="af8"/>
            <w:lang w:val="en"/>
          </w:rPr>
          <w:t>Administration</w:t>
        </w:r>
        <w:r w:rsidR="00830685">
          <w:rPr>
            <w:webHidden/>
          </w:rPr>
          <w:tab/>
        </w:r>
        <w:r w:rsidR="00830685">
          <w:rPr>
            <w:webHidden/>
          </w:rPr>
          <w:fldChar w:fldCharType="begin"/>
        </w:r>
        <w:r w:rsidR="00830685">
          <w:rPr>
            <w:webHidden/>
          </w:rPr>
          <w:instrText xml:space="preserve"> PAGEREF _Toc112064851 \h </w:instrText>
        </w:r>
        <w:r w:rsidR="00830685">
          <w:rPr>
            <w:webHidden/>
          </w:rPr>
        </w:r>
        <w:r w:rsidR="00830685">
          <w:rPr>
            <w:webHidden/>
          </w:rPr>
          <w:fldChar w:fldCharType="separate"/>
        </w:r>
        <w:r w:rsidR="00830685">
          <w:rPr>
            <w:webHidden/>
          </w:rPr>
          <w:t>28</w:t>
        </w:r>
        <w:r w:rsidR="00830685">
          <w:rPr>
            <w:webHidden/>
          </w:rPr>
          <w:fldChar w:fldCharType="end"/>
        </w:r>
      </w:hyperlink>
    </w:p>
    <w:p w14:paraId="65AE1EFF" w14:textId="42C8AD9B" w:rsidR="00830685" w:rsidRDefault="00C430DF">
      <w:pPr>
        <w:pStyle w:val="TOC3"/>
        <w:rPr>
          <w:rFonts w:asciiTheme="minorHAnsi" w:eastAsiaTheme="minorEastAsia" w:hAnsiTheme="minorHAnsi" w:cstheme="minorBidi"/>
          <w:sz w:val="22"/>
          <w:szCs w:val="22"/>
          <w:lang w:eastAsia="zh-CN" w:bidi="ar-SA"/>
        </w:rPr>
      </w:pPr>
      <w:hyperlink w:anchor="_Toc112064852" w:history="1">
        <w:r w:rsidR="00830685" w:rsidRPr="00B97A88">
          <w:rPr>
            <w:rStyle w:val="af8"/>
            <w:lang w:val="en"/>
          </w:rPr>
          <w:t>5.2.2</w:t>
        </w:r>
        <w:r w:rsidR="00830685">
          <w:rPr>
            <w:rFonts w:asciiTheme="minorHAnsi" w:eastAsiaTheme="minorEastAsia" w:hAnsiTheme="minorHAnsi" w:cstheme="minorBidi"/>
            <w:sz w:val="22"/>
            <w:szCs w:val="22"/>
            <w:lang w:eastAsia="zh-CN" w:bidi="ar-SA"/>
          </w:rPr>
          <w:tab/>
        </w:r>
        <w:r w:rsidR="00830685" w:rsidRPr="00B97A88">
          <w:rPr>
            <w:rStyle w:val="af8"/>
            <w:lang w:val="en"/>
          </w:rPr>
          <w:t>Indications for Dose Adjustment and Withdrawal</w:t>
        </w:r>
        <w:r w:rsidR="00830685">
          <w:rPr>
            <w:webHidden/>
          </w:rPr>
          <w:tab/>
        </w:r>
        <w:r w:rsidR="00830685">
          <w:rPr>
            <w:webHidden/>
          </w:rPr>
          <w:fldChar w:fldCharType="begin"/>
        </w:r>
        <w:r w:rsidR="00830685">
          <w:rPr>
            <w:webHidden/>
          </w:rPr>
          <w:instrText xml:space="preserve"> PAGEREF _Toc112064852 \h </w:instrText>
        </w:r>
        <w:r w:rsidR="00830685">
          <w:rPr>
            <w:webHidden/>
          </w:rPr>
        </w:r>
        <w:r w:rsidR="00830685">
          <w:rPr>
            <w:webHidden/>
          </w:rPr>
          <w:fldChar w:fldCharType="separate"/>
        </w:r>
        <w:r w:rsidR="00830685">
          <w:rPr>
            <w:webHidden/>
          </w:rPr>
          <w:t>29</w:t>
        </w:r>
        <w:r w:rsidR="00830685">
          <w:rPr>
            <w:webHidden/>
          </w:rPr>
          <w:fldChar w:fldCharType="end"/>
        </w:r>
      </w:hyperlink>
    </w:p>
    <w:p w14:paraId="63E81246" w14:textId="27D840D3" w:rsidR="00830685" w:rsidRDefault="00C430DF">
      <w:pPr>
        <w:pStyle w:val="TOC4"/>
        <w:tabs>
          <w:tab w:val="left" w:pos="1656"/>
        </w:tabs>
        <w:rPr>
          <w:rFonts w:asciiTheme="minorHAnsi" w:eastAsiaTheme="minorEastAsia" w:hAnsiTheme="minorHAnsi" w:cstheme="minorBidi"/>
          <w:sz w:val="22"/>
          <w:szCs w:val="22"/>
          <w:lang w:eastAsia="zh-CN" w:bidi="ar-SA"/>
        </w:rPr>
      </w:pPr>
      <w:hyperlink w:anchor="_Toc112064853" w:history="1">
        <w:r w:rsidR="00830685" w:rsidRPr="00B97A88">
          <w:rPr>
            <w:rStyle w:val="af8"/>
          </w:rPr>
          <w:t>5.2.2.1</w:t>
        </w:r>
        <w:r w:rsidR="00830685">
          <w:rPr>
            <w:rFonts w:asciiTheme="minorHAnsi" w:eastAsiaTheme="minorEastAsia" w:hAnsiTheme="minorHAnsi" w:cstheme="minorBidi"/>
            <w:sz w:val="22"/>
            <w:szCs w:val="22"/>
            <w:lang w:eastAsia="zh-CN" w:bidi="ar-SA"/>
          </w:rPr>
          <w:tab/>
        </w:r>
        <w:r w:rsidR="00830685" w:rsidRPr="00B97A88">
          <w:rPr>
            <w:rStyle w:val="af8"/>
            <w:lang w:val="en"/>
          </w:rPr>
          <w:t>Dose Delays and Adjustments</w:t>
        </w:r>
        <w:r w:rsidR="00830685">
          <w:rPr>
            <w:webHidden/>
          </w:rPr>
          <w:tab/>
        </w:r>
        <w:r w:rsidR="00830685">
          <w:rPr>
            <w:webHidden/>
          </w:rPr>
          <w:fldChar w:fldCharType="begin"/>
        </w:r>
        <w:r w:rsidR="00830685">
          <w:rPr>
            <w:webHidden/>
          </w:rPr>
          <w:instrText xml:space="preserve"> PAGEREF _Toc112064853 \h </w:instrText>
        </w:r>
        <w:r w:rsidR="00830685">
          <w:rPr>
            <w:webHidden/>
          </w:rPr>
        </w:r>
        <w:r w:rsidR="00830685">
          <w:rPr>
            <w:webHidden/>
          </w:rPr>
          <w:fldChar w:fldCharType="separate"/>
        </w:r>
        <w:r w:rsidR="00830685">
          <w:rPr>
            <w:webHidden/>
          </w:rPr>
          <w:t>29</w:t>
        </w:r>
        <w:r w:rsidR="00830685">
          <w:rPr>
            <w:webHidden/>
          </w:rPr>
          <w:fldChar w:fldCharType="end"/>
        </w:r>
      </w:hyperlink>
    </w:p>
    <w:p w14:paraId="5911E803" w14:textId="3725BFCD" w:rsidR="00830685" w:rsidRDefault="00C430DF">
      <w:pPr>
        <w:pStyle w:val="TOC4"/>
        <w:tabs>
          <w:tab w:val="left" w:pos="1656"/>
        </w:tabs>
        <w:rPr>
          <w:rFonts w:asciiTheme="minorHAnsi" w:eastAsiaTheme="minorEastAsia" w:hAnsiTheme="minorHAnsi" w:cstheme="minorBidi"/>
          <w:sz w:val="22"/>
          <w:szCs w:val="22"/>
          <w:lang w:eastAsia="zh-CN" w:bidi="ar-SA"/>
        </w:rPr>
      </w:pPr>
      <w:hyperlink w:anchor="_Toc112064854" w:history="1">
        <w:r w:rsidR="00830685" w:rsidRPr="00B97A88">
          <w:rPr>
            <w:rStyle w:val="af8"/>
          </w:rPr>
          <w:t>5.2.2.2</w:t>
        </w:r>
        <w:r w:rsidR="00830685">
          <w:rPr>
            <w:rFonts w:asciiTheme="minorHAnsi" w:eastAsiaTheme="minorEastAsia" w:hAnsiTheme="minorHAnsi" w:cstheme="minorBidi"/>
            <w:sz w:val="22"/>
            <w:szCs w:val="22"/>
            <w:lang w:eastAsia="zh-CN" w:bidi="ar-SA"/>
          </w:rPr>
          <w:tab/>
        </w:r>
        <w:r w:rsidR="00830685" w:rsidRPr="00B97A88">
          <w:rPr>
            <w:rStyle w:val="af8"/>
            <w:lang w:val="en"/>
          </w:rPr>
          <w:t>Criteria for Study Treatment Discontinuation</w:t>
        </w:r>
        <w:r w:rsidR="00830685">
          <w:rPr>
            <w:webHidden/>
          </w:rPr>
          <w:tab/>
        </w:r>
        <w:r w:rsidR="00830685">
          <w:rPr>
            <w:webHidden/>
          </w:rPr>
          <w:fldChar w:fldCharType="begin"/>
        </w:r>
        <w:r w:rsidR="00830685">
          <w:rPr>
            <w:webHidden/>
          </w:rPr>
          <w:instrText xml:space="preserve"> PAGEREF _Toc112064854 \h </w:instrText>
        </w:r>
        <w:r w:rsidR="00830685">
          <w:rPr>
            <w:webHidden/>
          </w:rPr>
        </w:r>
        <w:r w:rsidR="00830685">
          <w:rPr>
            <w:webHidden/>
          </w:rPr>
          <w:fldChar w:fldCharType="separate"/>
        </w:r>
        <w:r w:rsidR="00830685">
          <w:rPr>
            <w:webHidden/>
          </w:rPr>
          <w:t>29</w:t>
        </w:r>
        <w:r w:rsidR="00830685">
          <w:rPr>
            <w:webHidden/>
          </w:rPr>
          <w:fldChar w:fldCharType="end"/>
        </w:r>
      </w:hyperlink>
    </w:p>
    <w:p w14:paraId="1EFE9A1A" w14:textId="61B866CB" w:rsidR="00830685" w:rsidRDefault="00C430DF">
      <w:pPr>
        <w:pStyle w:val="TOC4"/>
        <w:tabs>
          <w:tab w:val="left" w:pos="1656"/>
        </w:tabs>
        <w:rPr>
          <w:rFonts w:asciiTheme="minorHAnsi" w:eastAsiaTheme="minorEastAsia" w:hAnsiTheme="minorHAnsi" w:cstheme="minorBidi"/>
          <w:sz w:val="22"/>
          <w:szCs w:val="22"/>
          <w:lang w:eastAsia="zh-CN" w:bidi="ar-SA"/>
        </w:rPr>
      </w:pPr>
      <w:hyperlink w:anchor="_Toc112064855" w:history="1">
        <w:r w:rsidR="00830685" w:rsidRPr="00B97A88">
          <w:rPr>
            <w:rStyle w:val="af8"/>
          </w:rPr>
          <w:t>5.2.2.3</w:t>
        </w:r>
        <w:r w:rsidR="00830685">
          <w:rPr>
            <w:rFonts w:asciiTheme="minorHAnsi" w:eastAsiaTheme="minorEastAsia" w:hAnsiTheme="minorHAnsi" w:cstheme="minorBidi"/>
            <w:sz w:val="22"/>
            <w:szCs w:val="22"/>
            <w:lang w:eastAsia="zh-CN" w:bidi="ar-SA"/>
          </w:rPr>
          <w:tab/>
        </w:r>
        <w:r w:rsidR="00830685" w:rsidRPr="00B97A88">
          <w:rPr>
            <w:rStyle w:val="af8"/>
            <w:lang w:val="en"/>
          </w:rPr>
          <w:t>Precautions</w:t>
        </w:r>
        <w:r w:rsidR="00830685">
          <w:rPr>
            <w:webHidden/>
          </w:rPr>
          <w:tab/>
        </w:r>
        <w:r w:rsidR="00830685">
          <w:rPr>
            <w:webHidden/>
          </w:rPr>
          <w:fldChar w:fldCharType="begin"/>
        </w:r>
        <w:r w:rsidR="00830685">
          <w:rPr>
            <w:webHidden/>
          </w:rPr>
          <w:instrText xml:space="preserve"> PAGEREF _Toc112064855 \h </w:instrText>
        </w:r>
        <w:r w:rsidR="00830685">
          <w:rPr>
            <w:webHidden/>
          </w:rPr>
        </w:r>
        <w:r w:rsidR="00830685">
          <w:rPr>
            <w:webHidden/>
          </w:rPr>
          <w:fldChar w:fldCharType="separate"/>
        </w:r>
        <w:r w:rsidR="00830685">
          <w:rPr>
            <w:webHidden/>
          </w:rPr>
          <w:t>29</w:t>
        </w:r>
        <w:r w:rsidR="00830685">
          <w:rPr>
            <w:webHidden/>
          </w:rPr>
          <w:fldChar w:fldCharType="end"/>
        </w:r>
      </w:hyperlink>
    </w:p>
    <w:p w14:paraId="286A9736" w14:textId="78C774FB" w:rsidR="00830685" w:rsidRDefault="00C430DF">
      <w:pPr>
        <w:pStyle w:val="TOC2"/>
        <w:rPr>
          <w:rFonts w:asciiTheme="minorHAnsi" w:eastAsiaTheme="minorEastAsia" w:hAnsiTheme="minorHAnsi" w:cstheme="minorBidi"/>
          <w:bCs w:val="0"/>
          <w:sz w:val="22"/>
          <w:szCs w:val="22"/>
          <w:lang w:eastAsia="zh-CN" w:bidi="ar-SA"/>
        </w:rPr>
      </w:pPr>
      <w:hyperlink w:anchor="_Toc112064856" w:history="1">
        <w:r w:rsidR="00830685" w:rsidRPr="00B97A88">
          <w:rPr>
            <w:rStyle w:val="af8"/>
            <w:lang w:val="en"/>
          </w:rPr>
          <w:t>5.3</w:t>
        </w:r>
        <w:r w:rsidR="00830685">
          <w:rPr>
            <w:rFonts w:asciiTheme="minorHAnsi" w:eastAsiaTheme="minorEastAsia" w:hAnsiTheme="minorHAnsi" w:cstheme="minorBidi"/>
            <w:bCs w:val="0"/>
            <w:sz w:val="22"/>
            <w:szCs w:val="22"/>
            <w:lang w:eastAsia="zh-CN" w:bidi="ar-SA"/>
          </w:rPr>
          <w:tab/>
        </w:r>
        <w:r w:rsidR="00830685" w:rsidRPr="00B97A88">
          <w:rPr>
            <w:rStyle w:val="af8"/>
            <w:lang w:val="en"/>
          </w:rPr>
          <w:t>Concomitant Therapies</w:t>
        </w:r>
        <w:r w:rsidR="00830685">
          <w:rPr>
            <w:webHidden/>
          </w:rPr>
          <w:tab/>
        </w:r>
        <w:r w:rsidR="00830685">
          <w:rPr>
            <w:webHidden/>
          </w:rPr>
          <w:fldChar w:fldCharType="begin"/>
        </w:r>
        <w:r w:rsidR="00830685">
          <w:rPr>
            <w:webHidden/>
          </w:rPr>
          <w:instrText xml:space="preserve"> PAGEREF _Toc112064856 \h </w:instrText>
        </w:r>
        <w:r w:rsidR="00830685">
          <w:rPr>
            <w:webHidden/>
          </w:rPr>
        </w:r>
        <w:r w:rsidR="00830685">
          <w:rPr>
            <w:webHidden/>
          </w:rPr>
          <w:fldChar w:fldCharType="separate"/>
        </w:r>
        <w:r w:rsidR="00830685">
          <w:rPr>
            <w:webHidden/>
          </w:rPr>
          <w:t>30</w:t>
        </w:r>
        <w:r w:rsidR="00830685">
          <w:rPr>
            <w:webHidden/>
          </w:rPr>
          <w:fldChar w:fldCharType="end"/>
        </w:r>
      </w:hyperlink>
    </w:p>
    <w:p w14:paraId="1C37BC33" w14:textId="772F3621" w:rsidR="00830685" w:rsidRDefault="00C430DF">
      <w:pPr>
        <w:pStyle w:val="TOC3"/>
        <w:rPr>
          <w:rFonts w:asciiTheme="minorHAnsi" w:eastAsiaTheme="minorEastAsia" w:hAnsiTheme="minorHAnsi" w:cstheme="minorBidi"/>
          <w:sz w:val="22"/>
          <w:szCs w:val="22"/>
          <w:lang w:eastAsia="zh-CN" w:bidi="ar-SA"/>
        </w:rPr>
      </w:pPr>
      <w:hyperlink w:anchor="_Toc112064857" w:history="1">
        <w:r w:rsidR="00830685" w:rsidRPr="00B97A88">
          <w:rPr>
            <w:rStyle w:val="af8"/>
          </w:rPr>
          <w:t>5.3.1</w:t>
        </w:r>
        <w:r w:rsidR="00830685">
          <w:rPr>
            <w:rFonts w:asciiTheme="minorHAnsi" w:eastAsiaTheme="minorEastAsia" w:hAnsiTheme="minorHAnsi" w:cstheme="minorBidi"/>
            <w:sz w:val="22"/>
            <w:szCs w:val="22"/>
            <w:lang w:eastAsia="zh-CN" w:bidi="ar-SA"/>
          </w:rPr>
          <w:tab/>
        </w:r>
        <w:r w:rsidR="00830685" w:rsidRPr="00B97A88">
          <w:rPr>
            <w:rStyle w:val="af8"/>
            <w:lang w:val="en"/>
          </w:rPr>
          <w:t>Prohibited Concomitant Therapies</w:t>
        </w:r>
        <w:r w:rsidR="00830685">
          <w:rPr>
            <w:webHidden/>
          </w:rPr>
          <w:tab/>
        </w:r>
        <w:r w:rsidR="00830685">
          <w:rPr>
            <w:webHidden/>
          </w:rPr>
          <w:fldChar w:fldCharType="begin"/>
        </w:r>
        <w:r w:rsidR="00830685">
          <w:rPr>
            <w:webHidden/>
          </w:rPr>
          <w:instrText xml:space="preserve"> PAGEREF _Toc112064857 \h </w:instrText>
        </w:r>
        <w:r w:rsidR="00830685">
          <w:rPr>
            <w:webHidden/>
          </w:rPr>
        </w:r>
        <w:r w:rsidR="00830685">
          <w:rPr>
            <w:webHidden/>
          </w:rPr>
          <w:fldChar w:fldCharType="separate"/>
        </w:r>
        <w:r w:rsidR="00830685">
          <w:rPr>
            <w:webHidden/>
          </w:rPr>
          <w:t>31</w:t>
        </w:r>
        <w:r w:rsidR="00830685">
          <w:rPr>
            <w:webHidden/>
          </w:rPr>
          <w:fldChar w:fldCharType="end"/>
        </w:r>
      </w:hyperlink>
    </w:p>
    <w:p w14:paraId="213BB23E" w14:textId="2583B3AE" w:rsidR="00830685" w:rsidRDefault="00C430DF">
      <w:pPr>
        <w:pStyle w:val="TOC3"/>
        <w:rPr>
          <w:rFonts w:asciiTheme="minorHAnsi" w:eastAsiaTheme="minorEastAsia" w:hAnsiTheme="minorHAnsi" w:cstheme="minorBidi"/>
          <w:sz w:val="22"/>
          <w:szCs w:val="22"/>
          <w:lang w:eastAsia="zh-CN" w:bidi="ar-SA"/>
        </w:rPr>
      </w:pPr>
      <w:hyperlink w:anchor="_Toc112064858" w:history="1">
        <w:r w:rsidR="00830685" w:rsidRPr="00B97A88">
          <w:rPr>
            <w:rStyle w:val="af8"/>
          </w:rPr>
          <w:t>5.3.2</w:t>
        </w:r>
        <w:r w:rsidR="00830685">
          <w:rPr>
            <w:rFonts w:asciiTheme="minorHAnsi" w:eastAsiaTheme="minorEastAsia" w:hAnsiTheme="minorHAnsi" w:cstheme="minorBidi"/>
            <w:sz w:val="22"/>
            <w:szCs w:val="22"/>
            <w:lang w:eastAsia="zh-CN" w:bidi="ar-SA"/>
          </w:rPr>
          <w:tab/>
        </w:r>
        <w:r w:rsidR="00830685" w:rsidRPr="00B97A88">
          <w:rPr>
            <w:rStyle w:val="af8"/>
            <w:lang w:val="en"/>
          </w:rPr>
          <w:t>Permitted Concomitant Therapies</w:t>
        </w:r>
        <w:r w:rsidR="00830685">
          <w:rPr>
            <w:webHidden/>
          </w:rPr>
          <w:tab/>
        </w:r>
        <w:r w:rsidR="00830685">
          <w:rPr>
            <w:webHidden/>
          </w:rPr>
          <w:fldChar w:fldCharType="begin"/>
        </w:r>
        <w:r w:rsidR="00830685">
          <w:rPr>
            <w:webHidden/>
          </w:rPr>
          <w:instrText xml:space="preserve"> PAGEREF _Toc112064858 \h </w:instrText>
        </w:r>
        <w:r w:rsidR="00830685">
          <w:rPr>
            <w:webHidden/>
          </w:rPr>
        </w:r>
        <w:r w:rsidR="00830685">
          <w:rPr>
            <w:webHidden/>
          </w:rPr>
          <w:fldChar w:fldCharType="separate"/>
        </w:r>
        <w:r w:rsidR="00830685">
          <w:rPr>
            <w:webHidden/>
          </w:rPr>
          <w:t>31</w:t>
        </w:r>
        <w:r w:rsidR="00830685">
          <w:rPr>
            <w:webHidden/>
          </w:rPr>
          <w:fldChar w:fldCharType="end"/>
        </w:r>
      </w:hyperlink>
    </w:p>
    <w:p w14:paraId="0A31B378" w14:textId="2C83458F" w:rsidR="00830685" w:rsidRDefault="00C430DF">
      <w:pPr>
        <w:pStyle w:val="TOC2"/>
        <w:rPr>
          <w:rFonts w:asciiTheme="minorHAnsi" w:eastAsiaTheme="minorEastAsia" w:hAnsiTheme="minorHAnsi" w:cstheme="minorBidi"/>
          <w:bCs w:val="0"/>
          <w:sz w:val="22"/>
          <w:szCs w:val="22"/>
          <w:lang w:eastAsia="zh-CN" w:bidi="ar-SA"/>
        </w:rPr>
      </w:pPr>
      <w:hyperlink w:anchor="_Toc112064859" w:history="1">
        <w:r w:rsidR="00830685" w:rsidRPr="00B97A88">
          <w:rPr>
            <w:rStyle w:val="af8"/>
            <w:lang w:val="en"/>
          </w:rPr>
          <w:t>5.4</w:t>
        </w:r>
        <w:r w:rsidR="00830685">
          <w:rPr>
            <w:rFonts w:asciiTheme="minorHAnsi" w:eastAsiaTheme="minorEastAsia" w:hAnsiTheme="minorHAnsi" w:cstheme="minorBidi"/>
            <w:bCs w:val="0"/>
            <w:sz w:val="22"/>
            <w:szCs w:val="22"/>
            <w:lang w:eastAsia="zh-CN" w:bidi="ar-SA"/>
          </w:rPr>
          <w:tab/>
        </w:r>
        <w:r w:rsidR="00830685" w:rsidRPr="00B97A88">
          <w:rPr>
            <w:rStyle w:val="af8"/>
            <w:lang w:val="en"/>
          </w:rPr>
          <w:t>Receipt and Return of CT103A</w:t>
        </w:r>
        <w:r w:rsidR="00830685">
          <w:rPr>
            <w:webHidden/>
          </w:rPr>
          <w:tab/>
        </w:r>
        <w:r w:rsidR="00830685">
          <w:rPr>
            <w:webHidden/>
          </w:rPr>
          <w:fldChar w:fldCharType="begin"/>
        </w:r>
        <w:r w:rsidR="00830685">
          <w:rPr>
            <w:webHidden/>
          </w:rPr>
          <w:instrText xml:space="preserve"> PAGEREF _Toc112064859 \h </w:instrText>
        </w:r>
        <w:r w:rsidR="00830685">
          <w:rPr>
            <w:webHidden/>
          </w:rPr>
        </w:r>
        <w:r w:rsidR="00830685">
          <w:rPr>
            <w:webHidden/>
          </w:rPr>
          <w:fldChar w:fldCharType="separate"/>
        </w:r>
        <w:r w:rsidR="00830685">
          <w:rPr>
            <w:webHidden/>
          </w:rPr>
          <w:t>32</w:t>
        </w:r>
        <w:r w:rsidR="00830685">
          <w:rPr>
            <w:webHidden/>
          </w:rPr>
          <w:fldChar w:fldCharType="end"/>
        </w:r>
      </w:hyperlink>
    </w:p>
    <w:p w14:paraId="2FBEA5E3" w14:textId="57039B76" w:rsidR="00830685" w:rsidRDefault="00C430DF">
      <w:pPr>
        <w:pStyle w:val="TOC1"/>
        <w:rPr>
          <w:rFonts w:asciiTheme="minorHAnsi" w:eastAsiaTheme="minorEastAsia" w:hAnsiTheme="minorHAnsi" w:cstheme="minorBidi"/>
          <w:b w:val="0"/>
          <w:bCs w:val="0"/>
          <w:sz w:val="22"/>
          <w:szCs w:val="22"/>
          <w:lang w:eastAsia="zh-CN" w:bidi="ar-SA"/>
        </w:rPr>
      </w:pPr>
      <w:hyperlink w:anchor="_Toc112064860" w:history="1">
        <w:r w:rsidR="00830685" w:rsidRPr="00B97A88">
          <w:rPr>
            <w:rStyle w:val="af8"/>
          </w:rPr>
          <w:t>6</w:t>
        </w:r>
        <w:r w:rsidR="00830685">
          <w:rPr>
            <w:rFonts w:asciiTheme="minorHAnsi" w:eastAsiaTheme="minorEastAsia" w:hAnsiTheme="minorHAnsi" w:cstheme="minorBidi"/>
            <w:b w:val="0"/>
            <w:bCs w:val="0"/>
            <w:sz w:val="22"/>
            <w:szCs w:val="22"/>
            <w:lang w:eastAsia="zh-CN" w:bidi="ar-SA"/>
          </w:rPr>
          <w:tab/>
        </w:r>
        <w:r w:rsidR="00830685" w:rsidRPr="00B97A88">
          <w:rPr>
            <w:rStyle w:val="af8"/>
          </w:rPr>
          <w:t>STUDY PROCEDURES</w:t>
        </w:r>
        <w:r w:rsidR="00830685">
          <w:rPr>
            <w:webHidden/>
          </w:rPr>
          <w:tab/>
        </w:r>
        <w:r w:rsidR="00830685">
          <w:rPr>
            <w:webHidden/>
          </w:rPr>
          <w:fldChar w:fldCharType="begin"/>
        </w:r>
        <w:r w:rsidR="00830685">
          <w:rPr>
            <w:webHidden/>
          </w:rPr>
          <w:instrText xml:space="preserve"> PAGEREF _Toc112064860 \h </w:instrText>
        </w:r>
        <w:r w:rsidR="00830685">
          <w:rPr>
            <w:webHidden/>
          </w:rPr>
        </w:r>
        <w:r w:rsidR="00830685">
          <w:rPr>
            <w:webHidden/>
          </w:rPr>
          <w:fldChar w:fldCharType="separate"/>
        </w:r>
        <w:r w:rsidR="00830685">
          <w:rPr>
            <w:webHidden/>
          </w:rPr>
          <w:t>33</w:t>
        </w:r>
        <w:r w:rsidR="00830685">
          <w:rPr>
            <w:webHidden/>
          </w:rPr>
          <w:fldChar w:fldCharType="end"/>
        </w:r>
      </w:hyperlink>
    </w:p>
    <w:p w14:paraId="3FEEBE25" w14:textId="732B85C0" w:rsidR="00830685" w:rsidRDefault="00C430DF">
      <w:pPr>
        <w:pStyle w:val="TOC2"/>
        <w:rPr>
          <w:rFonts w:asciiTheme="minorHAnsi" w:eastAsiaTheme="minorEastAsia" w:hAnsiTheme="minorHAnsi" w:cstheme="minorBidi"/>
          <w:bCs w:val="0"/>
          <w:sz w:val="22"/>
          <w:szCs w:val="22"/>
          <w:lang w:eastAsia="zh-CN" w:bidi="ar-SA"/>
        </w:rPr>
      </w:pPr>
      <w:hyperlink w:anchor="_Toc112064861" w:history="1">
        <w:r w:rsidR="00830685" w:rsidRPr="00B97A88">
          <w:rPr>
            <w:rStyle w:val="af8"/>
            <w:lang w:val="en"/>
          </w:rPr>
          <w:t>6.1</w:t>
        </w:r>
        <w:r w:rsidR="00830685">
          <w:rPr>
            <w:rFonts w:asciiTheme="minorHAnsi" w:eastAsiaTheme="minorEastAsia" w:hAnsiTheme="minorHAnsi" w:cstheme="minorBidi"/>
            <w:bCs w:val="0"/>
            <w:sz w:val="22"/>
            <w:szCs w:val="22"/>
            <w:lang w:eastAsia="zh-CN" w:bidi="ar-SA"/>
          </w:rPr>
          <w:tab/>
        </w:r>
        <w:r w:rsidR="00830685" w:rsidRPr="00B97A88">
          <w:rPr>
            <w:rStyle w:val="af8"/>
            <w:lang w:val="en"/>
          </w:rPr>
          <w:t>Screening and Enrollment Period (-8 w to-18 d)</w:t>
        </w:r>
        <w:r w:rsidR="00830685">
          <w:rPr>
            <w:webHidden/>
          </w:rPr>
          <w:tab/>
        </w:r>
        <w:r w:rsidR="00830685">
          <w:rPr>
            <w:webHidden/>
          </w:rPr>
          <w:fldChar w:fldCharType="begin"/>
        </w:r>
        <w:r w:rsidR="00830685">
          <w:rPr>
            <w:webHidden/>
          </w:rPr>
          <w:instrText xml:space="preserve"> PAGEREF _Toc112064861 \h </w:instrText>
        </w:r>
        <w:r w:rsidR="00830685">
          <w:rPr>
            <w:webHidden/>
          </w:rPr>
        </w:r>
        <w:r w:rsidR="00830685">
          <w:rPr>
            <w:webHidden/>
          </w:rPr>
          <w:fldChar w:fldCharType="separate"/>
        </w:r>
        <w:r w:rsidR="00830685">
          <w:rPr>
            <w:webHidden/>
          </w:rPr>
          <w:t>43</w:t>
        </w:r>
        <w:r w:rsidR="00830685">
          <w:rPr>
            <w:webHidden/>
          </w:rPr>
          <w:fldChar w:fldCharType="end"/>
        </w:r>
      </w:hyperlink>
    </w:p>
    <w:p w14:paraId="450172A0" w14:textId="77DC4150" w:rsidR="00830685" w:rsidRDefault="00C430DF">
      <w:pPr>
        <w:pStyle w:val="TOC3"/>
        <w:rPr>
          <w:rFonts w:asciiTheme="minorHAnsi" w:eastAsiaTheme="minorEastAsia" w:hAnsiTheme="minorHAnsi" w:cstheme="minorBidi"/>
          <w:sz w:val="22"/>
          <w:szCs w:val="22"/>
          <w:lang w:eastAsia="zh-CN" w:bidi="ar-SA"/>
        </w:rPr>
      </w:pPr>
      <w:hyperlink w:anchor="_Toc112064862" w:history="1">
        <w:r w:rsidR="00830685" w:rsidRPr="00B97A88">
          <w:rPr>
            <w:rStyle w:val="af8"/>
          </w:rPr>
          <w:t>6.1.1</w:t>
        </w:r>
        <w:r w:rsidR="00830685">
          <w:rPr>
            <w:rFonts w:asciiTheme="minorHAnsi" w:eastAsiaTheme="minorEastAsia" w:hAnsiTheme="minorHAnsi" w:cstheme="minorBidi"/>
            <w:sz w:val="22"/>
            <w:szCs w:val="22"/>
            <w:lang w:eastAsia="zh-CN" w:bidi="ar-SA"/>
          </w:rPr>
          <w:tab/>
        </w:r>
        <w:r w:rsidR="00830685" w:rsidRPr="00B97A88">
          <w:rPr>
            <w:rStyle w:val="af8"/>
          </w:rPr>
          <w:t>Screening Period</w:t>
        </w:r>
        <w:r w:rsidR="00830685">
          <w:rPr>
            <w:webHidden/>
          </w:rPr>
          <w:tab/>
        </w:r>
        <w:r w:rsidR="00830685">
          <w:rPr>
            <w:webHidden/>
          </w:rPr>
          <w:fldChar w:fldCharType="begin"/>
        </w:r>
        <w:r w:rsidR="00830685">
          <w:rPr>
            <w:webHidden/>
          </w:rPr>
          <w:instrText xml:space="preserve"> PAGEREF _Toc112064862 \h </w:instrText>
        </w:r>
        <w:r w:rsidR="00830685">
          <w:rPr>
            <w:webHidden/>
          </w:rPr>
        </w:r>
        <w:r w:rsidR="00830685">
          <w:rPr>
            <w:webHidden/>
          </w:rPr>
          <w:fldChar w:fldCharType="separate"/>
        </w:r>
        <w:r w:rsidR="00830685">
          <w:rPr>
            <w:webHidden/>
          </w:rPr>
          <w:t>43</w:t>
        </w:r>
        <w:r w:rsidR="00830685">
          <w:rPr>
            <w:webHidden/>
          </w:rPr>
          <w:fldChar w:fldCharType="end"/>
        </w:r>
      </w:hyperlink>
    </w:p>
    <w:p w14:paraId="63972E27" w14:textId="384CE034" w:rsidR="00830685" w:rsidRDefault="00C430DF">
      <w:pPr>
        <w:pStyle w:val="TOC3"/>
        <w:rPr>
          <w:rFonts w:asciiTheme="minorHAnsi" w:eastAsiaTheme="minorEastAsia" w:hAnsiTheme="minorHAnsi" w:cstheme="minorBidi"/>
          <w:sz w:val="22"/>
          <w:szCs w:val="22"/>
          <w:lang w:eastAsia="zh-CN" w:bidi="ar-SA"/>
        </w:rPr>
      </w:pPr>
      <w:hyperlink w:anchor="_Toc112064863" w:history="1">
        <w:r w:rsidR="00830685" w:rsidRPr="00B97A88">
          <w:rPr>
            <w:rStyle w:val="af8"/>
          </w:rPr>
          <w:t>6.1.2</w:t>
        </w:r>
        <w:r w:rsidR="00830685">
          <w:rPr>
            <w:rFonts w:asciiTheme="minorHAnsi" w:eastAsiaTheme="minorEastAsia" w:hAnsiTheme="minorHAnsi" w:cstheme="minorBidi"/>
            <w:sz w:val="22"/>
            <w:szCs w:val="22"/>
            <w:lang w:eastAsia="zh-CN" w:bidi="ar-SA"/>
          </w:rPr>
          <w:tab/>
        </w:r>
        <w:r w:rsidR="00830685" w:rsidRPr="00B97A88">
          <w:rPr>
            <w:rStyle w:val="af8"/>
          </w:rPr>
          <w:t>Enrollment</w:t>
        </w:r>
        <w:r w:rsidR="00830685">
          <w:rPr>
            <w:webHidden/>
          </w:rPr>
          <w:tab/>
        </w:r>
        <w:r w:rsidR="00830685">
          <w:rPr>
            <w:webHidden/>
          </w:rPr>
          <w:fldChar w:fldCharType="begin"/>
        </w:r>
        <w:r w:rsidR="00830685">
          <w:rPr>
            <w:webHidden/>
          </w:rPr>
          <w:instrText xml:space="preserve"> PAGEREF _Toc112064863 \h </w:instrText>
        </w:r>
        <w:r w:rsidR="00830685">
          <w:rPr>
            <w:webHidden/>
          </w:rPr>
        </w:r>
        <w:r w:rsidR="00830685">
          <w:rPr>
            <w:webHidden/>
          </w:rPr>
          <w:fldChar w:fldCharType="separate"/>
        </w:r>
        <w:r w:rsidR="00830685">
          <w:rPr>
            <w:webHidden/>
          </w:rPr>
          <w:t>46</w:t>
        </w:r>
        <w:r w:rsidR="00830685">
          <w:rPr>
            <w:webHidden/>
          </w:rPr>
          <w:fldChar w:fldCharType="end"/>
        </w:r>
      </w:hyperlink>
    </w:p>
    <w:p w14:paraId="39D279B1" w14:textId="4CDE22D3" w:rsidR="00830685" w:rsidRDefault="00C430DF">
      <w:pPr>
        <w:pStyle w:val="TOC2"/>
        <w:rPr>
          <w:rFonts w:asciiTheme="minorHAnsi" w:eastAsiaTheme="minorEastAsia" w:hAnsiTheme="minorHAnsi" w:cstheme="minorBidi"/>
          <w:bCs w:val="0"/>
          <w:sz w:val="22"/>
          <w:szCs w:val="22"/>
          <w:lang w:eastAsia="zh-CN" w:bidi="ar-SA"/>
        </w:rPr>
      </w:pPr>
      <w:hyperlink w:anchor="_Toc112064864" w:history="1">
        <w:r w:rsidR="00830685" w:rsidRPr="00B97A88">
          <w:rPr>
            <w:rStyle w:val="af8"/>
            <w:lang w:val="en"/>
          </w:rPr>
          <w:t>6.2</w:t>
        </w:r>
        <w:r w:rsidR="00830685">
          <w:rPr>
            <w:rFonts w:asciiTheme="minorHAnsi" w:eastAsiaTheme="minorEastAsia" w:hAnsiTheme="minorHAnsi" w:cstheme="minorBidi"/>
            <w:bCs w:val="0"/>
            <w:sz w:val="22"/>
            <w:szCs w:val="22"/>
            <w:lang w:eastAsia="zh-CN" w:bidi="ar-SA"/>
          </w:rPr>
          <w:tab/>
        </w:r>
        <w:r w:rsidR="00830685" w:rsidRPr="00B97A88">
          <w:rPr>
            <w:rStyle w:val="af8"/>
            <w:lang w:val="en"/>
          </w:rPr>
          <w:t>PBMC Collection (-8 w to -18 d)</w:t>
        </w:r>
        <w:r w:rsidR="00830685">
          <w:rPr>
            <w:webHidden/>
          </w:rPr>
          <w:tab/>
        </w:r>
        <w:r w:rsidR="00830685">
          <w:rPr>
            <w:webHidden/>
          </w:rPr>
          <w:fldChar w:fldCharType="begin"/>
        </w:r>
        <w:r w:rsidR="00830685">
          <w:rPr>
            <w:webHidden/>
          </w:rPr>
          <w:instrText xml:space="preserve"> PAGEREF _Toc112064864 \h </w:instrText>
        </w:r>
        <w:r w:rsidR="00830685">
          <w:rPr>
            <w:webHidden/>
          </w:rPr>
        </w:r>
        <w:r w:rsidR="00830685">
          <w:rPr>
            <w:webHidden/>
          </w:rPr>
          <w:fldChar w:fldCharType="separate"/>
        </w:r>
        <w:r w:rsidR="00830685">
          <w:rPr>
            <w:webHidden/>
          </w:rPr>
          <w:t>46</w:t>
        </w:r>
        <w:r w:rsidR="00830685">
          <w:rPr>
            <w:webHidden/>
          </w:rPr>
          <w:fldChar w:fldCharType="end"/>
        </w:r>
      </w:hyperlink>
    </w:p>
    <w:p w14:paraId="5A9347E0" w14:textId="76DA3819" w:rsidR="00830685" w:rsidRDefault="00C430DF">
      <w:pPr>
        <w:pStyle w:val="TOC2"/>
        <w:rPr>
          <w:rFonts w:asciiTheme="minorHAnsi" w:eastAsiaTheme="minorEastAsia" w:hAnsiTheme="minorHAnsi" w:cstheme="minorBidi"/>
          <w:bCs w:val="0"/>
          <w:sz w:val="22"/>
          <w:szCs w:val="22"/>
          <w:lang w:eastAsia="zh-CN" w:bidi="ar-SA"/>
        </w:rPr>
      </w:pPr>
      <w:hyperlink w:anchor="_Toc112064865" w:history="1">
        <w:r w:rsidR="00830685" w:rsidRPr="00B97A88">
          <w:rPr>
            <w:rStyle w:val="af8"/>
            <w:lang w:val="en"/>
          </w:rPr>
          <w:t>6.3</w:t>
        </w:r>
        <w:r w:rsidR="00830685">
          <w:rPr>
            <w:rFonts w:asciiTheme="minorHAnsi" w:eastAsiaTheme="minorEastAsia" w:hAnsiTheme="minorHAnsi" w:cstheme="minorBidi"/>
            <w:bCs w:val="0"/>
            <w:sz w:val="22"/>
            <w:szCs w:val="22"/>
            <w:lang w:eastAsia="zh-CN" w:bidi="ar-SA"/>
          </w:rPr>
          <w:tab/>
        </w:r>
        <w:r w:rsidR="00830685" w:rsidRPr="00B97A88">
          <w:rPr>
            <w:rStyle w:val="af8"/>
            <w:lang w:val="en"/>
          </w:rPr>
          <w:t>Baseline Assessments (within 7 d before lymphocyte clearance administration)</w:t>
        </w:r>
        <w:r w:rsidR="00830685">
          <w:rPr>
            <w:webHidden/>
          </w:rPr>
          <w:tab/>
        </w:r>
        <w:r w:rsidR="00830685">
          <w:rPr>
            <w:webHidden/>
          </w:rPr>
          <w:fldChar w:fldCharType="begin"/>
        </w:r>
        <w:r w:rsidR="00830685">
          <w:rPr>
            <w:webHidden/>
          </w:rPr>
          <w:instrText xml:space="preserve"> PAGEREF _Toc112064865 \h </w:instrText>
        </w:r>
        <w:r w:rsidR="00830685">
          <w:rPr>
            <w:webHidden/>
          </w:rPr>
        </w:r>
        <w:r w:rsidR="00830685">
          <w:rPr>
            <w:webHidden/>
          </w:rPr>
          <w:fldChar w:fldCharType="separate"/>
        </w:r>
        <w:r w:rsidR="00830685">
          <w:rPr>
            <w:webHidden/>
          </w:rPr>
          <w:t>47</w:t>
        </w:r>
        <w:r w:rsidR="00830685">
          <w:rPr>
            <w:webHidden/>
          </w:rPr>
          <w:fldChar w:fldCharType="end"/>
        </w:r>
      </w:hyperlink>
    </w:p>
    <w:p w14:paraId="5F394EA4" w14:textId="57CCF42F" w:rsidR="00830685" w:rsidRDefault="00C430DF">
      <w:pPr>
        <w:pStyle w:val="TOC2"/>
        <w:rPr>
          <w:rFonts w:asciiTheme="minorHAnsi" w:eastAsiaTheme="minorEastAsia" w:hAnsiTheme="minorHAnsi" w:cstheme="minorBidi"/>
          <w:bCs w:val="0"/>
          <w:sz w:val="22"/>
          <w:szCs w:val="22"/>
          <w:lang w:eastAsia="zh-CN" w:bidi="ar-SA"/>
        </w:rPr>
      </w:pPr>
      <w:hyperlink w:anchor="_Toc112064866" w:history="1">
        <w:r w:rsidR="00830685" w:rsidRPr="00B97A88">
          <w:rPr>
            <w:rStyle w:val="af8"/>
            <w:lang w:val="en"/>
          </w:rPr>
          <w:t>6.4</w:t>
        </w:r>
        <w:r w:rsidR="00830685">
          <w:rPr>
            <w:rFonts w:asciiTheme="minorHAnsi" w:eastAsiaTheme="minorEastAsia" w:hAnsiTheme="minorHAnsi" w:cstheme="minorBidi"/>
            <w:bCs w:val="0"/>
            <w:sz w:val="22"/>
            <w:szCs w:val="22"/>
            <w:lang w:eastAsia="zh-CN" w:bidi="ar-SA"/>
          </w:rPr>
          <w:tab/>
        </w:r>
        <w:r w:rsidR="00830685" w:rsidRPr="00B97A88">
          <w:rPr>
            <w:rStyle w:val="af8"/>
            <w:lang w:val="en"/>
          </w:rPr>
          <w:t>Lymphodepleting Conditioning</w:t>
        </w:r>
        <w:r w:rsidR="00830685" w:rsidRPr="00B97A88">
          <w:rPr>
            <w:rStyle w:val="af8"/>
            <w:rFonts w:hint="eastAsia"/>
            <w:lang w:val="en"/>
          </w:rPr>
          <w:t>（</w:t>
        </w:r>
        <w:r w:rsidR="00830685" w:rsidRPr="00B97A88">
          <w:rPr>
            <w:rStyle w:val="af8"/>
            <w:lang w:val="en"/>
          </w:rPr>
          <w:t>-7 d to -2 d</w:t>
        </w:r>
        <w:r w:rsidR="00830685" w:rsidRPr="00B97A88">
          <w:rPr>
            <w:rStyle w:val="af8"/>
            <w:rFonts w:hint="eastAsia"/>
            <w:lang w:val="en"/>
          </w:rPr>
          <w:t>）</w:t>
        </w:r>
        <w:r w:rsidR="00830685">
          <w:rPr>
            <w:webHidden/>
          </w:rPr>
          <w:tab/>
        </w:r>
        <w:r w:rsidR="00830685">
          <w:rPr>
            <w:webHidden/>
          </w:rPr>
          <w:fldChar w:fldCharType="begin"/>
        </w:r>
        <w:r w:rsidR="00830685">
          <w:rPr>
            <w:webHidden/>
          </w:rPr>
          <w:instrText xml:space="preserve"> PAGEREF _Toc112064866 \h </w:instrText>
        </w:r>
        <w:r w:rsidR="00830685">
          <w:rPr>
            <w:webHidden/>
          </w:rPr>
        </w:r>
        <w:r w:rsidR="00830685">
          <w:rPr>
            <w:webHidden/>
          </w:rPr>
          <w:fldChar w:fldCharType="separate"/>
        </w:r>
        <w:r w:rsidR="00830685">
          <w:rPr>
            <w:webHidden/>
          </w:rPr>
          <w:t>49</w:t>
        </w:r>
        <w:r w:rsidR="00830685">
          <w:rPr>
            <w:webHidden/>
          </w:rPr>
          <w:fldChar w:fldCharType="end"/>
        </w:r>
      </w:hyperlink>
    </w:p>
    <w:p w14:paraId="348AC37E" w14:textId="61C4BA8F" w:rsidR="00830685" w:rsidRDefault="00C430DF">
      <w:pPr>
        <w:pStyle w:val="TOC2"/>
        <w:rPr>
          <w:rFonts w:asciiTheme="minorHAnsi" w:eastAsiaTheme="minorEastAsia" w:hAnsiTheme="minorHAnsi" w:cstheme="minorBidi"/>
          <w:bCs w:val="0"/>
          <w:sz w:val="22"/>
          <w:szCs w:val="22"/>
          <w:lang w:eastAsia="zh-CN" w:bidi="ar-SA"/>
        </w:rPr>
      </w:pPr>
      <w:hyperlink w:anchor="_Toc112064867" w:history="1">
        <w:r w:rsidR="00830685" w:rsidRPr="00B97A88">
          <w:rPr>
            <w:rStyle w:val="af8"/>
            <w:lang w:val="en"/>
          </w:rPr>
          <w:t>6.5</w:t>
        </w:r>
        <w:r w:rsidR="00830685">
          <w:rPr>
            <w:rFonts w:asciiTheme="minorHAnsi" w:eastAsiaTheme="minorEastAsia" w:hAnsiTheme="minorHAnsi" w:cstheme="minorBidi"/>
            <w:bCs w:val="0"/>
            <w:sz w:val="22"/>
            <w:szCs w:val="22"/>
            <w:lang w:eastAsia="zh-CN" w:bidi="ar-SA"/>
          </w:rPr>
          <w:tab/>
        </w:r>
        <w:r w:rsidR="00830685" w:rsidRPr="00B97A88">
          <w:rPr>
            <w:rStyle w:val="af8"/>
            <w:lang w:val="en"/>
          </w:rPr>
          <w:t>Rest</w:t>
        </w:r>
        <w:r w:rsidR="00830685" w:rsidRPr="00B97A88">
          <w:rPr>
            <w:rStyle w:val="af8"/>
          </w:rPr>
          <w:t xml:space="preserve"> </w:t>
        </w:r>
        <w:r w:rsidR="00830685" w:rsidRPr="00B97A88">
          <w:rPr>
            <w:rStyle w:val="af8"/>
            <w:lang w:val="en"/>
          </w:rPr>
          <w:t>Assessment</w:t>
        </w:r>
        <w:r w:rsidR="00830685" w:rsidRPr="00B97A88">
          <w:rPr>
            <w:rStyle w:val="af8"/>
          </w:rPr>
          <w:t xml:space="preserve"> </w:t>
        </w:r>
        <w:r w:rsidR="00830685" w:rsidRPr="00B97A88">
          <w:rPr>
            <w:rStyle w:val="af8"/>
            <w:lang w:val="en"/>
          </w:rPr>
          <w:t>Before</w:t>
        </w:r>
        <w:r w:rsidR="00830685" w:rsidRPr="00B97A88">
          <w:rPr>
            <w:rStyle w:val="af8"/>
          </w:rPr>
          <w:t xml:space="preserve"> </w:t>
        </w:r>
        <w:r w:rsidR="00830685" w:rsidRPr="00B97A88">
          <w:rPr>
            <w:rStyle w:val="af8"/>
            <w:lang w:val="en"/>
          </w:rPr>
          <w:t>Treatment (-1 d)</w:t>
        </w:r>
        <w:r w:rsidR="00830685">
          <w:rPr>
            <w:webHidden/>
          </w:rPr>
          <w:tab/>
        </w:r>
        <w:r w:rsidR="00830685">
          <w:rPr>
            <w:webHidden/>
          </w:rPr>
          <w:fldChar w:fldCharType="begin"/>
        </w:r>
        <w:r w:rsidR="00830685">
          <w:rPr>
            <w:webHidden/>
          </w:rPr>
          <w:instrText xml:space="preserve"> PAGEREF _Toc112064867 \h </w:instrText>
        </w:r>
        <w:r w:rsidR="00830685">
          <w:rPr>
            <w:webHidden/>
          </w:rPr>
        </w:r>
        <w:r w:rsidR="00830685">
          <w:rPr>
            <w:webHidden/>
          </w:rPr>
          <w:fldChar w:fldCharType="separate"/>
        </w:r>
        <w:r w:rsidR="00830685">
          <w:rPr>
            <w:webHidden/>
          </w:rPr>
          <w:t>49</w:t>
        </w:r>
        <w:r w:rsidR="00830685">
          <w:rPr>
            <w:webHidden/>
          </w:rPr>
          <w:fldChar w:fldCharType="end"/>
        </w:r>
      </w:hyperlink>
    </w:p>
    <w:p w14:paraId="4A7A916A" w14:textId="0DD63293" w:rsidR="00830685" w:rsidRDefault="00C430DF">
      <w:pPr>
        <w:pStyle w:val="TOC2"/>
        <w:rPr>
          <w:rFonts w:asciiTheme="minorHAnsi" w:eastAsiaTheme="minorEastAsia" w:hAnsiTheme="minorHAnsi" w:cstheme="minorBidi"/>
          <w:bCs w:val="0"/>
          <w:sz w:val="22"/>
          <w:szCs w:val="22"/>
          <w:lang w:eastAsia="zh-CN" w:bidi="ar-SA"/>
        </w:rPr>
      </w:pPr>
      <w:hyperlink w:anchor="_Toc112064868" w:history="1">
        <w:r w:rsidR="00830685" w:rsidRPr="00B97A88">
          <w:rPr>
            <w:rStyle w:val="af8"/>
            <w:lang w:val="en"/>
          </w:rPr>
          <w:t>6.6</w:t>
        </w:r>
        <w:r w:rsidR="00830685">
          <w:rPr>
            <w:rFonts w:asciiTheme="minorHAnsi" w:eastAsiaTheme="minorEastAsia" w:hAnsiTheme="minorHAnsi" w:cstheme="minorBidi"/>
            <w:bCs w:val="0"/>
            <w:sz w:val="22"/>
            <w:szCs w:val="22"/>
            <w:lang w:eastAsia="zh-CN" w:bidi="ar-SA"/>
          </w:rPr>
          <w:tab/>
        </w:r>
        <w:r w:rsidR="00830685" w:rsidRPr="00B97A88">
          <w:rPr>
            <w:rStyle w:val="af8"/>
            <w:lang w:val="en"/>
          </w:rPr>
          <w:t>CT103A</w:t>
        </w:r>
        <w:r w:rsidR="00830685" w:rsidRPr="00B97A88">
          <w:rPr>
            <w:rStyle w:val="af8"/>
          </w:rPr>
          <w:t xml:space="preserve"> </w:t>
        </w:r>
        <w:r w:rsidR="00830685" w:rsidRPr="00B97A88">
          <w:rPr>
            <w:rStyle w:val="af8"/>
            <w:lang w:val="en"/>
          </w:rPr>
          <w:t>Cell</w:t>
        </w:r>
        <w:r w:rsidR="00830685" w:rsidRPr="00B97A88">
          <w:rPr>
            <w:rStyle w:val="af8"/>
          </w:rPr>
          <w:t xml:space="preserve"> I</w:t>
        </w:r>
        <w:r w:rsidR="00830685" w:rsidRPr="00B97A88">
          <w:rPr>
            <w:rStyle w:val="af8"/>
            <w:lang w:val="en"/>
          </w:rPr>
          <w:t>nfusion</w:t>
        </w:r>
        <w:r w:rsidR="00830685" w:rsidRPr="00B97A88">
          <w:rPr>
            <w:rStyle w:val="af8"/>
          </w:rPr>
          <w:t xml:space="preserve"> </w:t>
        </w:r>
        <w:r w:rsidR="00830685" w:rsidRPr="00B97A88">
          <w:rPr>
            <w:rStyle w:val="af8"/>
            <w:lang w:val="en"/>
          </w:rPr>
          <w:t>(0 d)</w:t>
        </w:r>
        <w:r w:rsidR="00830685">
          <w:rPr>
            <w:webHidden/>
          </w:rPr>
          <w:tab/>
        </w:r>
        <w:r w:rsidR="00830685">
          <w:rPr>
            <w:webHidden/>
          </w:rPr>
          <w:fldChar w:fldCharType="begin"/>
        </w:r>
        <w:r w:rsidR="00830685">
          <w:rPr>
            <w:webHidden/>
          </w:rPr>
          <w:instrText xml:space="preserve"> PAGEREF _Toc112064868 \h </w:instrText>
        </w:r>
        <w:r w:rsidR="00830685">
          <w:rPr>
            <w:webHidden/>
          </w:rPr>
        </w:r>
        <w:r w:rsidR="00830685">
          <w:rPr>
            <w:webHidden/>
          </w:rPr>
          <w:fldChar w:fldCharType="separate"/>
        </w:r>
        <w:r w:rsidR="00830685">
          <w:rPr>
            <w:webHidden/>
          </w:rPr>
          <w:t>50</w:t>
        </w:r>
        <w:r w:rsidR="00830685">
          <w:rPr>
            <w:webHidden/>
          </w:rPr>
          <w:fldChar w:fldCharType="end"/>
        </w:r>
      </w:hyperlink>
    </w:p>
    <w:p w14:paraId="5B2964C6" w14:textId="4941F37E" w:rsidR="00830685" w:rsidRDefault="00C430DF">
      <w:pPr>
        <w:pStyle w:val="TOC2"/>
        <w:rPr>
          <w:rFonts w:asciiTheme="minorHAnsi" w:eastAsiaTheme="minorEastAsia" w:hAnsiTheme="minorHAnsi" w:cstheme="minorBidi"/>
          <w:bCs w:val="0"/>
          <w:sz w:val="22"/>
          <w:szCs w:val="22"/>
          <w:lang w:eastAsia="zh-CN" w:bidi="ar-SA"/>
        </w:rPr>
      </w:pPr>
      <w:hyperlink w:anchor="_Toc112064869" w:history="1">
        <w:r w:rsidR="00830685" w:rsidRPr="00B97A88">
          <w:rPr>
            <w:rStyle w:val="af8"/>
            <w:lang w:val="en"/>
          </w:rPr>
          <w:t>6.7</w:t>
        </w:r>
        <w:r w:rsidR="00830685">
          <w:rPr>
            <w:rFonts w:asciiTheme="minorHAnsi" w:eastAsiaTheme="minorEastAsia" w:hAnsiTheme="minorHAnsi" w:cstheme="minorBidi"/>
            <w:bCs w:val="0"/>
            <w:sz w:val="22"/>
            <w:szCs w:val="22"/>
            <w:lang w:eastAsia="zh-CN" w:bidi="ar-SA"/>
          </w:rPr>
          <w:tab/>
        </w:r>
        <w:r w:rsidR="00830685" w:rsidRPr="00B97A88">
          <w:rPr>
            <w:rStyle w:val="af8"/>
            <w:lang w:val="en"/>
          </w:rPr>
          <w:t>Main Follow-up Period (1 d to 1 year after</w:t>
        </w:r>
        <w:r w:rsidR="00830685" w:rsidRPr="00B97A88">
          <w:rPr>
            <w:rStyle w:val="af8"/>
          </w:rPr>
          <w:t xml:space="preserve"> </w:t>
        </w:r>
        <w:r w:rsidR="00830685" w:rsidRPr="00B97A88">
          <w:rPr>
            <w:rStyle w:val="af8"/>
            <w:lang w:val="en"/>
          </w:rPr>
          <w:t>Cell Infusion)</w:t>
        </w:r>
        <w:r w:rsidR="00830685">
          <w:rPr>
            <w:webHidden/>
          </w:rPr>
          <w:tab/>
        </w:r>
        <w:r w:rsidR="00830685">
          <w:rPr>
            <w:webHidden/>
          </w:rPr>
          <w:fldChar w:fldCharType="begin"/>
        </w:r>
        <w:r w:rsidR="00830685">
          <w:rPr>
            <w:webHidden/>
          </w:rPr>
          <w:instrText xml:space="preserve"> PAGEREF _Toc112064869 \h </w:instrText>
        </w:r>
        <w:r w:rsidR="00830685">
          <w:rPr>
            <w:webHidden/>
          </w:rPr>
        </w:r>
        <w:r w:rsidR="00830685">
          <w:rPr>
            <w:webHidden/>
          </w:rPr>
          <w:fldChar w:fldCharType="separate"/>
        </w:r>
        <w:r w:rsidR="00830685">
          <w:rPr>
            <w:webHidden/>
          </w:rPr>
          <w:t>51</w:t>
        </w:r>
        <w:r w:rsidR="00830685">
          <w:rPr>
            <w:webHidden/>
          </w:rPr>
          <w:fldChar w:fldCharType="end"/>
        </w:r>
      </w:hyperlink>
    </w:p>
    <w:p w14:paraId="5E0BF4E4" w14:textId="3C7982D6" w:rsidR="00830685" w:rsidRDefault="00C430DF">
      <w:pPr>
        <w:pStyle w:val="TOC3"/>
        <w:rPr>
          <w:rFonts w:asciiTheme="minorHAnsi" w:eastAsiaTheme="minorEastAsia" w:hAnsiTheme="minorHAnsi" w:cstheme="minorBidi"/>
          <w:sz w:val="22"/>
          <w:szCs w:val="22"/>
          <w:lang w:eastAsia="zh-CN" w:bidi="ar-SA"/>
        </w:rPr>
      </w:pPr>
      <w:hyperlink w:anchor="_Toc112064870" w:history="1">
        <w:r w:rsidR="00830685" w:rsidRPr="00B97A88">
          <w:rPr>
            <w:rStyle w:val="af8"/>
          </w:rPr>
          <w:t>6.7.1</w:t>
        </w:r>
        <w:r w:rsidR="00830685">
          <w:rPr>
            <w:rFonts w:asciiTheme="minorHAnsi" w:eastAsiaTheme="minorEastAsia" w:hAnsiTheme="minorHAnsi" w:cstheme="minorBidi"/>
            <w:sz w:val="22"/>
            <w:szCs w:val="22"/>
            <w:lang w:eastAsia="zh-CN" w:bidi="ar-SA"/>
          </w:rPr>
          <w:tab/>
        </w:r>
        <w:r w:rsidR="00830685" w:rsidRPr="00B97A88">
          <w:rPr>
            <w:rStyle w:val="af8"/>
          </w:rPr>
          <w:t>Visits during inpatient observation and within 28 days after the cell infusion (1 d to 28 d)</w:t>
        </w:r>
        <w:r w:rsidR="00830685">
          <w:rPr>
            <w:webHidden/>
          </w:rPr>
          <w:tab/>
        </w:r>
        <w:r w:rsidR="00830685">
          <w:rPr>
            <w:webHidden/>
          </w:rPr>
          <w:fldChar w:fldCharType="begin"/>
        </w:r>
        <w:r w:rsidR="00830685">
          <w:rPr>
            <w:webHidden/>
          </w:rPr>
          <w:instrText xml:space="preserve"> PAGEREF _Toc112064870 \h </w:instrText>
        </w:r>
        <w:r w:rsidR="00830685">
          <w:rPr>
            <w:webHidden/>
          </w:rPr>
        </w:r>
        <w:r w:rsidR="00830685">
          <w:rPr>
            <w:webHidden/>
          </w:rPr>
          <w:fldChar w:fldCharType="separate"/>
        </w:r>
        <w:r w:rsidR="00830685">
          <w:rPr>
            <w:webHidden/>
          </w:rPr>
          <w:t>51</w:t>
        </w:r>
        <w:r w:rsidR="00830685">
          <w:rPr>
            <w:webHidden/>
          </w:rPr>
          <w:fldChar w:fldCharType="end"/>
        </w:r>
      </w:hyperlink>
    </w:p>
    <w:p w14:paraId="0BBEBD6D" w14:textId="48224EBB" w:rsidR="00830685" w:rsidRDefault="00C430DF">
      <w:pPr>
        <w:pStyle w:val="TOC3"/>
        <w:rPr>
          <w:rFonts w:asciiTheme="minorHAnsi" w:eastAsiaTheme="minorEastAsia" w:hAnsiTheme="minorHAnsi" w:cstheme="minorBidi"/>
          <w:sz w:val="22"/>
          <w:szCs w:val="22"/>
          <w:lang w:eastAsia="zh-CN" w:bidi="ar-SA"/>
        </w:rPr>
      </w:pPr>
      <w:hyperlink w:anchor="_Toc112064871" w:history="1">
        <w:r w:rsidR="00830685" w:rsidRPr="00B97A88">
          <w:rPr>
            <w:rStyle w:val="af8"/>
          </w:rPr>
          <w:t>6.7.2</w:t>
        </w:r>
        <w:r w:rsidR="00830685">
          <w:rPr>
            <w:rFonts w:asciiTheme="minorHAnsi" w:eastAsiaTheme="minorEastAsia" w:hAnsiTheme="minorHAnsi" w:cstheme="minorBidi"/>
            <w:sz w:val="22"/>
            <w:szCs w:val="22"/>
            <w:lang w:eastAsia="zh-CN" w:bidi="ar-SA"/>
          </w:rPr>
          <w:tab/>
        </w:r>
        <w:r w:rsidR="00F31A05">
          <w:rPr>
            <w:rStyle w:val="af8"/>
          </w:rPr>
          <w:t>Selinexor</w:t>
        </w:r>
        <w:r w:rsidR="00830685" w:rsidRPr="00B97A88">
          <w:rPr>
            <w:rStyle w:val="af8"/>
          </w:rPr>
          <w:t xml:space="preserve"> Administration</w:t>
        </w:r>
        <w:r w:rsidR="00830685">
          <w:rPr>
            <w:webHidden/>
          </w:rPr>
          <w:tab/>
        </w:r>
        <w:r w:rsidR="00830685">
          <w:rPr>
            <w:webHidden/>
          </w:rPr>
          <w:fldChar w:fldCharType="begin"/>
        </w:r>
        <w:r w:rsidR="00830685">
          <w:rPr>
            <w:webHidden/>
          </w:rPr>
          <w:instrText xml:space="preserve"> PAGEREF _Toc112064871 \h </w:instrText>
        </w:r>
        <w:r w:rsidR="00830685">
          <w:rPr>
            <w:webHidden/>
          </w:rPr>
        </w:r>
        <w:r w:rsidR="00830685">
          <w:rPr>
            <w:webHidden/>
          </w:rPr>
          <w:fldChar w:fldCharType="separate"/>
        </w:r>
        <w:r w:rsidR="00830685">
          <w:rPr>
            <w:webHidden/>
          </w:rPr>
          <w:t>52</w:t>
        </w:r>
        <w:r w:rsidR="00830685">
          <w:rPr>
            <w:webHidden/>
          </w:rPr>
          <w:fldChar w:fldCharType="end"/>
        </w:r>
      </w:hyperlink>
    </w:p>
    <w:p w14:paraId="2F75B5F9" w14:textId="4CE0015A" w:rsidR="00830685" w:rsidRDefault="00C430DF">
      <w:pPr>
        <w:pStyle w:val="TOC3"/>
        <w:rPr>
          <w:rFonts w:asciiTheme="minorHAnsi" w:eastAsiaTheme="minorEastAsia" w:hAnsiTheme="minorHAnsi" w:cstheme="minorBidi"/>
          <w:sz w:val="22"/>
          <w:szCs w:val="22"/>
          <w:lang w:eastAsia="zh-CN" w:bidi="ar-SA"/>
        </w:rPr>
      </w:pPr>
      <w:hyperlink w:anchor="_Toc112064872" w:history="1">
        <w:r w:rsidR="00830685" w:rsidRPr="00B97A88">
          <w:rPr>
            <w:rStyle w:val="af8"/>
          </w:rPr>
          <w:t>6.7.3</w:t>
        </w:r>
        <w:r w:rsidR="00830685">
          <w:rPr>
            <w:rFonts w:asciiTheme="minorHAnsi" w:eastAsiaTheme="minorEastAsia" w:hAnsiTheme="minorHAnsi" w:cstheme="minorBidi"/>
            <w:sz w:val="22"/>
            <w:szCs w:val="22"/>
            <w:lang w:eastAsia="zh-CN" w:bidi="ar-SA"/>
          </w:rPr>
          <w:tab/>
        </w:r>
        <w:r w:rsidR="00830685" w:rsidRPr="00B97A88">
          <w:rPr>
            <w:rStyle w:val="af8"/>
          </w:rPr>
          <w:t>Subsequent Follow-up Visits</w:t>
        </w:r>
        <w:r w:rsidR="00830685">
          <w:rPr>
            <w:webHidden/>
          </w:rPr>
          <w:tab/>
        </w:r>
        <w:r w:rsidR="00830685">
          <w:rPr>
            <w:webHidden/>
          </w:rPr>
          <w:fldChar w:fldCharType="begin"/>
        </w:r>
        <w:r w:rsidR="00830685">
          <w:rPr>
            <w:webHidden/>
          </w:rPr>
          <w:instrText xml:space="preserve"> PAGEREF _Toc112064872 \h </w:instrText>
        </w:r>
        <w:r w:rsidR="00830685">
          <w:rPr>
            <w:webHidden/>
          </w:rPr>
        </w:r>
        <w:r w:rsidR="00830685">
          <w:rPr>
            <w:webHidden/>
          </w:rPr>
          <w:fldChar w:fldCharType="separate"/>
        </w:r>
        <w:r w:rsidR="00830685">
          <w:rPr>
            <w:webHidden/>
          </w:rPr>
          <w:t>53</w:t>
        </w:r>
        <w:r w:rsidR="00830685">
          <w:rPr>
            <w:webHidden/>
          </w:rPr>
          <w:fldChar w:fldCharType="end"/>
        </w:r>
      </w:hyperlink>
    </w:p>
    <w:p w14:paraId="51D2CDD9" w14:textId="2A13DBE8" w:rsidR="00830685" w:rsidRDefault="00C430DF">
      <w:pPr>
        <w:pStyle w:val="TOC2"/>
        <w:rPr>
          <w:rFonts w:asciiTheme="minorHAnsi" w:eastAsiaTheme="minorEastAsia" w:hAnsiTheme="minorHAnsi" w:cstheme="minorBidi"/>
          <w:bCs w:val="0"/>
          <w:sz w:val="22"/>
          <w:szCs w:val="22"/>
          <w:lang w:eastAsia="zh-CN" w:bidi="ar-SA"/>
        </w:rPr>
      </w:pPr>
      <w:hyperlink w:anchor="_Toc112064873" w:history="1">
        <w:r w:rsidR="00830685" w:rsidRPr="00B97A88">
          <w:rPr>
            <w:rStyle w:val="af8"/>
          </w:rPr>
          <w:t>6.8</w:t>
        </w:r>
        <w:r w:rsidR="00830685">
          <w:rPr>
            <w:rFonts w:asciiTheme="minorHAnsi" w:eastAsiaTheme="minorEastAsia" w:hAnsiTheme="minorHAnsi" w:cstheme="minorBidi"/>
            <w:bCs w:val="0"/>
            <w:sz w:val="22"/>
            <w:szCs w:val="22"/>
            <w:lang w:eastAsia="zh-CN" w:bidi="ar-SA"/>
          </w:rPr>
          <w:tab/>
        </w:r>
        <w:r w:rsidR="00830685" w:rsidRPr="00B97A88">
          <w:rPr>
            <w:rStyle w:val="af8"/>
          </w:rPr>
          <w:t>Withdrawal from the study</w:t>
        </w:r>
        <w:r w:rsidR="00830685">
          <w:rPr>
            <w:webHidden/>
          </w:rPr>
          <w:tab/>
        </w:r>
        <w:r w:rsidR="00830685">
          <w:rPr>
            <w:webHidden/>
          </w:rPr>
          <w:fldChar w:fldCharType="begin"/>
        </w:r>
        <w:r w:rsidR="00830685">
          <w:rPr>
            <w:webHidden/>
          </w:rPr>
          <w:instrText xml:space="preserve"> PAGEREF _Toc112064873 \h </w:instrText>
        </w:r>
        <w:r w:rsidR="00830685">
          <w:rPr>
            <w:webHidden/>
          </w:rPr>
        </w:r>
        <w:r w:rsidR="00830685">
          <w:rPr>
            <w:webHidden/>
          </w:rPr>
          <w:fldChar w:fldCharType="separate"/>
        </w:r>
        <w:r w:rsidR="00830685">
          <w:rPr>
            <w:webHidden/>
          </w:rPr>
          <w:t>55</w:t>
        </w:r>
        <w:r w:rsidR="00830685">
          <w:rPr>
            <w:webHidden/>
          </w:rPr>
          <w:fldChar w:fldCharType="end"/>
        </w:r>
      </w:hyperlink>
    </w:p>
    <w:p w14:paraId="1F2FE71C" w14:textId="6EFECD61" w:rsidR="00830685" w:rsidRDefault="00C430DF">
      <w:pPr>
        <w:pStyle w:val="TOC2"/>
        <w:rPr>
          <w:rFonts w:asciiTheme="minorHAnsi" w:eastAsiaTheme="minorEastAsia" w:hAnsiTheme="minorHAnsi" w:cstheme="minorBidi"/>
          <w:bCs w:val="0"/>
          <w:sz w:val="22"/>
          <w:szCs w:val="22"/>
          <w:lang w:eastAsia="zh-CN" w:bidi="ar-SA"/>
        </w:rPr>
      </w:pPr>
      <w:hyperlink w:anchor="_Toc112064874" w:history="1">
        <w:r w:rsidR="00830685" w:rsidRPr="00B97A88">
          <w:rPr>
            <w:rStyle w:val="af8"/>
          </w:rPr>
          <w:t>6.9</w:t>
        </w:r>
        <w:r w:rsidR="00830685">
          <w:rPr>
            <w:rFonts w:asciiTheme="minorHAnsi" w:eastAsiaTheme="minorEastAsia" w:hAnsiTheme="minorHAnsi" w:cstheme="minorBidi"/>
            <w:bCs w:val="0"/>
            <w:sz w:val="22"/>
            <w:szCs w:val="22"/>
            <w:lang w:eastAsia="zh-CN" w:bidi="ar-SA"/>
          </w:rPr>
          <w:tab/>
        </w:r>
        <w:r w:rsidR="00830685" w:rsidRPr="00B97A88">
          <w:rPr>
            <w:rStyle w:val="af8"/>
          </w:rPr>
          <w:t>Unscheduled visits</w:t>
        </w:r>
        <w:r w:rsidR="00830685">
          <w:rPr>
            <w:webHidden/>
          </w:rPr>
          <w:tab/>
        </w:r>
        <w:r w:rsidR="00830685">
          <w:rPr>
            <w:webHidden/>
          </w:rPr>
          <w:fldChar w:fldCharType="begin"/>
        </w:r>
        <w:r w:rsidR="00830685">
          <w:rPr>
            <w:webHidden/>
          </w:rPr>
          <w:instrText xml:space="preserve"> PAGEREF _Toc112064874 \h </w:instrText>
        </w:r>
        <w:r w:rsidR="00830685">
          <w:rPr>
            <w:webHidden/>
          </w:rPr>
        </w:r>
        <w:r w:rsidR="00830685">
          <w:rPr>
            <w:webHidden/>
          </w:rPr>
          <w:fldChar w:fldCharType="separate"/>
        </w:r>
        <w:r w:rsidR="00830685">
          <w:rPr>
            <w:webHidden/>
          </w:rPr>
          <w:t>57</w:t>
        </w:r>
        <w:r w:rsidR="00830685">
          <w:rPr>
            <w:webHidden/>
          </w:rPr>
          <w:fldChar w:fldCharType="end"/>
        </w:r>
      </w:hyperlink>
    </w:p>
    <w:p w14:paraId="0BC1D885" w14:textId="0CD343BF" w:rsidR="00830685" w:rsidRDefault="00C430DF">
      <w:pPr>
        <w:pStyle w:val="TOC1"/>
        <w:rPr>
          <w:rFonts w:asciiTheme="minorHAnsi" w:eastAsiaTheme="minorEastAsia" w:hAnsiTheme="minorHAnsi" w:cstheme="minorBidi"/>
          <w:b w:val="0"/>
          <w:bCs w:val="0"/>
          <w:sz w:val="22"/>
          <w:szCs w:val="22"/>
          <w:lang w:eastAsia="zh-CN" w:bidi="ar-SA"/>
        </w:rPr>
      </w:pPr>
      <w:hyperlink w:anchor="_Toc112064875" w:history="1">
        <w:r w:rsidR="00830685" w:rsidRPr="00B97A88">
          <w:rPr>
            <w:rStyle w:val="af8"/>
          </w:rPr>
          <w:t>7</w:t>
        </w:r>
        <w:r w:rsidR="00830685">
          <w:rPr>
            <w:rFonts w:asciiTheme="minorHAnsi" w:eastAsiaTheme="minorEastAsia" w:hAnsiTheme="minorHAnsi" w:cstheme="minorBidi"/>
            <w:b w:val="0"/>
            <w:bCs w:val="0"/>
            <w:sz w:val="22"/>
            <w:szCs w:val="22"/>
            <w:lang w:eastAsia="zh-CN" w:bidi="ar-SA"/>
          </w:rPr>
          <w:tab/>
        </w:r>
        <w:r w:rsidR="00830685" w:rsidRPr="00B97A88">
          <w:rPr>
            <w:rStyle w:val="af8"/>
          </w:rPr>
          <w:t>SAFETY ASSESSMENTS</w:t>
        </w:r>
        <w:r w:rsidR="00830685">
          <w:rPr>
            <w:webHidden/>
          </w:rPr>
          <w:tab/>
        </w:r>
        <w:r w:rsidR="00830685">
          <w:rPr>
            <w:webHidden/>
          </w:rPr>
          <w:fldChar w:fldCharType="begin"/>
        </w:r>
        <w:r w:rsidR="00830685">
          <w:rPr>
            <w:webHidden/>
          </w:rPr>
          <w:instrText xml:space="preserve"> PAGEREF _Toc112064875 \h </w:instrText>
        </w:r>
        <w:r w:rsidR="00830685">
          <w:rPr>
            <w:webHidden/>
          </w:rPr>
        </w:r>
        <w:r w:rsidR="00830685">
          <w:rPr>
            <w:webHidden/>
          </w:rPr>
          <w:fldChar w:fldCharType="separate"/>
        </w:r>
        <w:r w:rsidR="00830685">
          <w:rPr>
            <w:webHidden/>
          </w:rPr>
          <w:t>58</w:t>
        </w:r>
        <w:r w:rsidR="00830685">
          <w:rPr>
            <w:webHidden/>
          </w:rPr>
          <w:fldChar w:fldCharType="end"/>
        </w:r>
      </w:hyperlink>
    </w:p>
    <w:p w14:paraId="269C1466" w14:textId="1105000C" w:rsidR="00830685" w:rsidRDefault="00C430DF">
      <w:pPr>
        <w:pStyle w:val="TOC2"/>
        <w:rPr>
          <w:rFonts w:asciiTheme="minorHAnsi" w:eastAsiaTheme="minorEastAsia" w:hAnsiTheme="minorHAnsi" w:cstheme="minorBidi"/>
          <w:bCs w:val="0"/>
          <w:sz w:val="22"/>
          <w:szCs w:val="22"/>
          <w:lang w:eastAsia="zh-CN" w:bidi="ar-SA"/>
        </w:rPr>
      </w:pPr>
      <w:hyperlink w:anchor="_Toc112064876" w:history="1">
        <w:r w:rsidR="00830685" w:rsidRPr="00B97A88">
          <w:rPr>
            <w:rStyle w:val="af8"/>
          </w:rPr>
          <w:t>7.1</w:t>
        </w:r>
        <w:r w:rsidR="00830685">
          <w:rPr>
            <w:rFonts w:asciiTheme="minorHAnsi" w:eastAsiaTheme="minorEastAsia" w:hAnsiTheme="minorHAnsi" w:cstheme="minorBidi"/>
            <w:bCs w:val="0"/>
            <w:sz w:val="22"/>
            <w:szCs w:val="22"/>
            <w:lang w:eastAsia="zh-CN" w:bidi="ar-SA"/>
          </w:rPr>
          <w:tab/>
        </w:r>
        <w:r w:rsidR="00830685" w:rsidRPr="00B97A88">
          <w:rPr>
            <w:rStyle w:val="af8"/>
          </w:rPr>
          <w:t>Adverse Event</w:t>
        </w:r>
        <w:r w:rsidR="00830685">
          <w:rPr>
            <w:webHidden/>
          </w:rPr>
          <w:tab/>
        </w:r>
        <w:r w:rsidR="00830685">
          <w:rPr>
            <w:webHidden/>
          </w:rPr>
          <w:fldChar w:fldCharType="begin"/>
        </w:r>
        <w:r w:rsidR="00830685">
          <w:rPr>
            <w:webHidden/>
          </w:rPr>
          <w:instrText xml:space="preserve"> PAGEREF _Toc112064876 \h </w:instrText>
        </w:r>
        <w:r w:rsidR="00830685">
          <w:rPr>
            <w:webHidden/>
          </w:rPr>
        </w:r>
        <w:r w:rsidR="00830685">
          <w:rPr>
            <w:webHidden/>
          </w:rPr>
          <w:fldChar w:fldCharType="separate"/>
        </w:r>
        <w:r w:rsidR="00830685">
          <w:rPr>
            <w:webHidden/>
          </w:rPr>
          <w:t>58</w:t>
        </w:r>
        <w:r w:rsidR="00830685">
          <w:rPr>
            <w:webHidden/>
          </w:rPr>
          <w:fldChar w:fldCharType="end"/>
        </w:r>
      </w:hyperlink>
    </w:p>
    <w:p w14:paraId="4CC75BBB" w14:textId="531A8E90" w:rsidR="00830685" w:rsidRDefault="00C430DF">
      <w:pPr>
        <w:pStyle w:val="TOC3"/>
        <w:rPr>
          <w:rFonts w:asciiTheme="minorHAnsi" w:eastAsiaTheme="minorEastAsia" w:hAnsiTheme="minorHAnsi" w:cstheme="minorBidi"/>
          <w:sz w:val="22"/>
          <w:szCs w:val="22"/>
          <w:lang w:eastAsia="zh-CN" w:bidi="ar-SA"/>
        </w:rPr>
      </w:pPr>
      <w:hyperlink w:anchor="_Toc112064877" w:history="1">
        <w:r w:rsidR="00830685" w:rsidRPr="00B97A88">
          <w:rPr>
            <w:rStyle w:val="af8"/>
          </w:rPr>
          <w:t>7.1.1</w:t>
        </w:r>
        <w:r w:rsidR="00830685">
          <w:rPr>
            <w:rFonts w:asciiTheme="minorHAnsi" w:eastAsiaTheme="minorEastAsia" w:hAnsiTheme="minorHAnsi" w:cstheme="minorBidi"/>
            <w:sz w:val="22"/>
            <w:szCs w:val="22"/>
            <w:lang w:eastAsia="zh-CN" w:bidi="ar-SA"/>
          </w:rPr>
          <w:tab/>
        </w:r>
        <w:r w:rsidR="00830685" w:rsidRPr="00B97A88">
          <w:rPr>
            <w:rStyle w:val="af8"/>
            <w:lang w:val="en"/>
          </w:rPr>
          <w:t>Definition of Adverse Events</w:t>
        </w:r>
        <w:r w:rsidR="00830685">
          <w:rPr>
            <w:webHidden/>
          </w:rPr>
          <w:tab/>
        </w:r>
        <w:r w:rsidR="00830685">
          <w:rPr>
            <w:webHidden/>
          </w:rPr>
          <w:fldChar w:fldCharType="begin"/>
        </w:r>
        <w:r w:rsidR="00830685">
          <w:rPr>
            <w:webHidden/>
          </w:rPr>
          <w:instrText xml:space="preserve"> PAGEREF _Toc112064877 \h </w:instrText>
        </w:r>
        <w:r w:rsidR="00830685">
          <w:rPr>
            <w:webHidden/>
          </w:rPr>
        </w:r>
        <w:r w:rsidR="00830685">
          <w:rPr>
            <w:webHidden/>
          </w:rPr>
          <w:fldChar w:fldCharType="separate"/>
        </w:r>
        <w:r w:rsidR="00830685">
          <w:rPr>
            <w:webHidden/>
          </w:rPr>
          <w:t>58</w:t>
        </w:r>
        <w:r w:rsidR="00830685">
          <w:rPr>
            <w:webHidden/>
          </w:rPr>
          <w:fldChar w:fldCharType="end"/>
        </w:r>
      </w:hyperlink>
    </w:p>
    <w:p w14:paraId="1716E423" w14:textId="07DC1E00" w:rsidR="00830685" w:rsidRDefault="00C430DF">
      <w:pPr>
        <w:pStyle w:val="TOC3"/>
        <w:rPr>
          <w:rFonts w:asciiTheme="minorHAnsi" w:eastAsiaTheme="minorEastAsia" w:hAnsiTheme="minorHAnsi" w:cstheme="minorBidi"/>
          <w:sz w:val="22"/>
          <w:szCs w:val="22"/>
          <w:lang w:eastAsia="zh-CN" w:bidi="ar-SA"/>
        </w:rPr>
      </w:pPr>
      <w:hyperlink w:anchor="_Toc112064878" w:history="1">
        <w:r w:rsidR="00830685" w:rsidRPr="00B97A88">
          <w:rPr>
            <w:rStyle w:val="af8"/>
          </w:rPr>
          <w:t>7.1.2</w:t>
        </w:r>
        <w:r w:rsidR="00830685">
          <w:rPr>
            <w:rFonts w:asciiTheme="minorHAnsi" w:eastAsiaTheme="minorEastAsia" w:hAnsiTheme="minorHAnsi" w:cstheme="minorBidi"/>
            <w:sz w:val="22"/>
            <w:szCs w:val="22"/>
            <w:lang w:eastAsia="zh-CN" w:bidi="ar-SA"/>
          </w:rPr>
          <w:tab/>
        </w:r>
        <w:r w:rsidR="00830685" w:rsidRPr="00B97A88">
          <w:rPr>
            <w:rStyle w:val="af8"/>
            <w:lang w:val="en"/>
          </w:rPr>
          <w:t>Serious Adverse Event</w:t>
        </w:r>
        <w:r w:rsidR="00830685">
          <w:rPr>
            <w:webHidden/>
          </w:rPr>
          <w:tab/>
        </w:r>
        <w:r w:rsidR="00830685">
          <w:rPr>
            <w:webHidden/>
          </w:rPr>
          <w:fldChar w:fldCharType="begin"/>
        </w:r>
        <w:r w:rsidR="00830685">
          <w:rPr>
            <w:webHidden/>
          </w:rPr>
          <w:instrText xml:space="preserve"> PAGEREF _Toc112064878 \h </w:instrText>
        </w:r>
        <w:r w:rsidR="00830685">
          <w:rPr>
            <w:webHidden/>
          </w:rPr>
        </w:r>
        <w:r w:rsidR="00830685">
          <w:rPr>
            <w:webHidden/>
          </w:rPr>
          <w:fldChar w:fldCharType="separate"/>
        </w:r>
        <w:r w:rsidR="00830685">
          <w:rPr>
            <w:webHidden/>
          </w:rPr>
          <w:t>58</w:t>
        </w:r>
        <w:r w:rsidR="00830685">
          <w:rPr>
            <w:webHidden/>
          </w:rPr>
          <w:fldChar w:fldCharType="end"/>
        </w:r>
      </w:hyperlink>
    </w:p>
    <w:p w14:paraId="643AC5F7" w14:textId="7AA043B1" w:rsidR="00830685" w:rsidRDefault="00C430DF">
      <w:pPr>
        <w:pStyle w:val="TOC3"/>
        <w:rPr>
          <w:rFonts w:asciiTheme="minorHAnsi" w:eastAsiaTheme="minorEastAsia" w:hAnsiTheme="minorHAnsi" w:cstheme="minorBidi"/>
          <w:sz w:val="22"/>
          <w:szCs w:val="22"/>
          <w:lang w:eastAsia="zh-CN" w:bidi="ar-SA"/>
        </w:rPr>
      </w:pPr>
      <w:hyperlink w:anchor="_Toc112064879" w:history="1">
        <w:r w:rsidR="00830685" w:rsidRPr="00B97A88">
          <w:rPr>
            <w:rStyle w:val="af8"/>
          </w:rPr>
          <w:t>7.1.3</w:t>
        </w:r>
        <w:r w:rsidR="00830685">
          <w:rPr>
            <w:rFonts w:asciiTheme="minorHAnsi" w:eastAsiaTheme="minorEastAsia" w:hAnsiTheme="minorHAnsi" w:cstheme="minorBidi"/>
            <w:sz w:val="22"/>
            <w:szCs w:val="22"/>
            <w:lang w:eastAsia="zh-CN" w:bidi="ar-SA"/>
          </w:rPr>
          <w:tab/>
        </w:r>
        <w:r w:rsidR="00830685" w:rsidRPr="00B97A88">
          <w:rPr>
            <w:rStyle w:val="af8"/>
            <w:lang w:val="en"/>
          </w:rPr>
          <w:t>Suspected Unexpected Serious Adverse Reactions</w:t>
        </w:r>
        <w:r w:rsidR="00830685">
          <w:rPr>
            <w:webHidden/>
          </w:rPr>
          <w:tab/>
        </w:r>
        <w:r w:rsidR="00830685">
          <w:rPr>
            <w:webHidden/>
          </w:rPr>
          <w:fldChar w:fldCharType="begin"/>
        </w:r>
        <w:r w:rsidR="00830685">
          <w:rPr>
            <w:webHidden/>
          </w:rPr>
          <w:instrText xml:space="preserve"> PAGEREF _Toc112064879 \h </w:instrText>
        </w:r>
        <w:r w:rsidR="00830685">
          <w:rPr>
            <w:webHidden/>
          </w:rPr>
        </w:r>
        <w:r w:rsidR="00830685">
          <w:rPr>
            <w:webHidden/>
          </w:rPr>
          <w:fldChar w:fldCharType="separate"/>
        </w:r>
        <w:r w:rsidR="00830685">
          <w:rPr>
            <w:webHidden/>
          </w:rPr>
          <w:t>59</w:t>
        </w:r>
        <w:r w:rsidR="00830685">
          <w:rPr>
            <w:webHidden/>
          </w:rPr>
          <w:fldChar w:fldCharType="end"/>
        </w:r>
      </w:hyperlink>
    </w:p>
    <w:p w14:paraId="3DC977DC" w14:textId="5CCC7231" w:rsidR="00830685" w:rsidRDefault="00C430DF">
      <w:pPr>
        <w:pStyle w:val="TOC3"/>
        <w:rPr>
          <w:rFonts w:asciiTheme="minorHAnsi" w:eastAsiaTheme="minorEastAsia" w:hAnsiTheme="minorHAnsi" w:cstheme="minorBidi"/>
          <w:sz w:val="22"/>
          <w:szCs w:val="22"/>
          <w:lang w:eastAsia="zh-CN" w:bidi="ar-SA"/>
        </w:rPr>
      </w:pPr>
      <w:hyperlink w:anchor="_Toc112064880" w:history="1">
        <w:r w:rsidR="00830685" w:rsidRPr="00B97A88">
          <w:rPr>
            <w:rStyle w:val="af8"/>
          </w:rPr>
          <w:t>7.1.4</w:t>
        </w:r>
        <w:r w:rsidR="00830685">
          <w:rPr>
            <w:rFonts w:asciiTheme="minorHAnsi" w:eastAsiaTheme="minorEastAsia" w:hAnsiTheme="minorHAnsi" w:cstheme="minorBidi"/>
            <w:sz w:val="22"/>
            <w:szCs w:val="22"/>
            <w:lang w:eastAsia="zh-CN" w:bidi="ar-SA"/>
          </w:rPr>
          <w:tab/>
        </w:r>
        <w:r w:rsidR="00830685" w:rsidRPr="00B97A88">
          <w:rPr>
            <w:rStyle w:val="af8"/>
            <w:lang w:val="en"/>
          </w:rPr>
          <w:t>Management, Collection and Recording of Adverse Events</w:t>
        </w:r>
        <w:r w:rsidR="00830685">
          <w:rPr>
            <w:webHidden/>
          </w:rPr>
          <w:tab/>
        </w:r>
        <w:r w:rsidR="00830685">
          <w:rPr>
            <w:webHidden/>
          </w:rPr>
          <w:fldChar w:fldCharType="begin"/>
        </w:r>
        <w:r w:rsidR="00830685">
          <w:rPr>
            <w:webHidden/>
          </w:rPr>
          <w:instrText xml:space="preserve"> PAGEREF _Toc112064880 \h </w:instrText>
        </w:r>
        <w:r w:rsidR="00830685">
          <w:rPr>
            <w:webHidden/>
          </w:rPr>
        </w:r>
        <w:r w:rsidR="00830685">
          <w:rPr>
            <w:webHidden/>
          </w:rPr>
          <w:fldChar w:fldCharType="separate"/>
        </w:r>
        <w:r w:rsidR="00830685">
          <w:rPr>
            <w:webHidden/>
          </w:rPr>
          <w:t>60</w:t>
        </w:r>
        <w:r w:rsidR="00830685">
          <w:rPr>
            <w:webHidden/>
          </w:rPr>
          <w:fldChar w:fldCharType="end"/>
        </w:r>
      </w:hyperlink>
    </w:p>
    <w:p w14:paraId="750818AC" w14:textId="4808EA6A" w:rsidR="00830685" w:rsidRDefault="00C430DF">
      <w:pPr>
        <w:pStyle w:val="TOC4"/>
        <w:tabs>
          <w:tab w:val="left" w:pos="1656"/>
        </w:tabs>
        <w:rPr>
          <w:rFonts w:asciiTheme="minorHAnsi" w:eastAsiaTheme="minorEastAsia" w:hAnsiTheme="minorHAnsi" w:cstheme="minorBidi"/>
          <w:sz w:val="22"/>
          <w:szCs w:val="22"/>
          <w:lang w:eastAsia="zh-CN" w:bidi="ar-SA"/>
        </w:rPr>
      </w:pPr>
      <w:hyperlink w:anchor="_Toc112064881" w:history="1">
        <w:r w:rsidR="00830685" w:rsidRPr="00B97A88">
          <w:rPr>
            <w:rStyle w:val="af8"/>
          </w:rPr>
          <w:t>7.1.4.1</w:t>
        </w:r>
        <w:r w:rsidR="00830685">
          <w:rPr>
            <w:rFonts w:asciiTheme="minorHAnsi" w:eastAsiaTheme="minorEastAsia" w:hAnsiTheme="minorHAnsi" w:cstheme="minorBidi"/>
            <w:sz w:val="22"/>
            <w:szCs w:val="22"/>
            <w:lang w:eastAsia="zh-CN" w:bidi="ar-SA"/>
          </w:rPr>
          <w:tab/>
        </w:r>
        <w:r w:rsidR="00830685" w:rsidRPr="00B97A88">
          <w:rPr>
            <w:rStyle w:val="af8"/>
            <w:lang w:val="en"/>
          </w:rPr>
          <w:t>Management of Adverse Events</w:t>
        </w:r>
        <w:r w:rsidR="00830685">
          <w:rPr>
            <w:webHidden/>
          </w:rPr>
          <w:tab/>
        </w:r>
        <w:r w:rsidR="00830685">
          <w:rPr>
            <w:webHidden/>
          </w:rPr>
          <w:fldChar w:fldCharType="begin"/>
        </w:r>
        <w:r w:rsidR="00830685">
          <w:rPr>
            <w:webHidden/>
          </w:rPr>
          <w:instrText xml:space="preserve"> PAGEREF _Toc112064881 \h </w:instrText>
        </w:r>
        <w:r w:rsidR="00830685">
          <w:rPr>
            <w:webHidden/>
          </w:rPr>
        </w:r>
        <w:r w:rsidR="00830685">
          <w:rPr>
            <w:webHidden/>
          </w:rPr>
          <w:fldChar w:fldCharType="separate"/>
        </w:r>
        <w:r w:rsidR="00830685">
          <w:rPr>
            <w:webHidden/>
          </w:rPr>
          <w:t>60</w:t>
        </w:r>
        <w:r w:rsidR="00830685">
          <w:rPr>
            <w:webHidden/>
          </w:rPr>
          <w:fldChar w:fldCharType="end"/>
        </w:r>
      </w:hyperlink>
    </w:p>
    <w:p w14:paraId="52A771F3" w14:textId="2E6D6C48" w:rsidR="00830685" w:rsidRDefault="00C430DF">
      <w:pPr>
        <w:pStyle w:val="TOC4"/>
        <w:tabs>
          <w:tab w:val="left" w:pos="1656"/>
        </w:tabs>
        <w:rPr>
          <w:rFonts w:asciiTheme="minorHAnsi" w:eastAsiaTheme="minorEastAsia" w:hAnsiTheme="minorHAnsi" w:cstheme="minorBidi"/>
          <w:sz w:val="22"/>
          <w:szCs w:val="22"/>
          <w:lang w:eastAsia="zh-CN" w:bidi="ar-SA"/>
        </w:rPr>
      </w:pPr>
      <w:hyperlink w:anchor="_Toc112064882" w:history="1">
        <w:r w:rsidR="00830685" w:rsidRPr="00B97A88">
          <w:rPr>
            <w:rStyle w:val="af8"/>
          </w:rPr>
          <w:t>7.1.4.2</w:t>
        </w:r>
        <w:r w:rsidR="00830685">
          <w:rPr>
            <w:rFonts w:asciiTheme="minorHAnsi" w:eastAsiaTheme="minorEastAsia" w:hAnsiTheme="minorHAnsi" w:cstheme="minorBidi"/>
            <w:sz w:val="22"/>
            <w:szCs w:val="22"/>
            <w:lang w:eastAsia="zh-CN" w:bidi="ar-SA"/>
          </w:rPr>
          <w:tab/>
        </w:r>
        <w:r w:rsidR="00830685" w:rsidRPr="00B97A88">
          <w:rPr>
            <w:rStyle w:val="af8"/>
            <w:lang w:val="en"/>
          </w:rPr>
          <w:t>Collection of Adverse Events</w:t>
        </w:r>
        <w:r w:rsidR="00830685">
          <w:rPr>
            <w:webHidden/>
          </w:rPr>
          <w:tab/>
        </w:r>
        <w:r w:rsidR="00830685">
          <w:rPr>
            <w:webHidden/>
          </w:rPr>
          <w:fldChar w:fldCharType="begin"/>
        </w:r>
        <w:r w:rsidR="00830685">
          <w:rPr>
            <w:webHidden/>
          </w:rPr>
          <w:instrText xml:space="preserve"> PAGEREF _Toc112064882 \h </w:instrText>
        </w:r>
        <w:r w:rsidR="00830685">
          <w:rPr>
            <w:webHidden/>
          </w:rPr>
        </w:r>
        <w:r w:rsidR="00830685">
          <w:rPr>
            <w:webHidden/>
          </w:rPr>
          <w:fldChar w:fldCharType="separate"/>
        </w:r>
        <w:r w:rsidR="00830685">
          <w:rPr>
            <w:webHidden/>
          </w:rPr>
          <w:t>63</w:t>
        </w:r>
        <w:r w:rsidR="00830685">
          <w:rPr>
            <w:webHidden/>
          </w:rPr>
          <w:fldChar w:fldCharType="end"/>
        </w:r>
      </w:hyperlink>
    </w:p>
    <w:p w14:paraId="7CCB4DAB" w14:textId="092EC735" w:rsidR="00830685" w:rsidRDefault="00C430DF">
      <w:pPr>
        <w:pStyle w:val="TOC4"/>
        <w:tabs>
          <w:tab w:val="left" w:pos="1656"/>
        </w:tabs>
        <w:rPr>
          <w:rFonts w:asciiTheme="minorHAnsi" w:eastAsiaTheme="minorEastAsia" w:hAnsiTheme="minorHAnsi" w:cstheme="minorBidi"/>
          <w:sz w:val="22"/>
          <w:szCs w:val="22"/>
          <w:lang w:eastAsia="zh-CN" w:bidi="ar-SA"/>
        </w:rPr>
      </w:pPr>
      <w:hyperlink w:anchor="_Toc112064883" w:history="1">
        <w:r w:rsidR="00830685" w:rsidRPr="00B97A88">
          <w:rPr>
            <w:rStyle w:val="af8"/>
          </w:rPr>
          <w:t>7.1.4.3</w:t>
        </w:r>
        <w:r w:rsidR="00830685">
          <w:rPr>
            <w:rFonts w:asciiTheme="minorHAnsi" w:eastAsiaTheme="minorEastAsia" w:hAnsiTheme="minorHAnsi" w:cstheme="minorBidi"/>
            <w:sz w:val="22"/>
            <w:szCs w:val="22"/>
            <w:lang w:eastAsia="zh-CN" w:bidi="ar-SA"/>
          </w:rPr>
          <w:tab/>
        </w:r>
        <w:r w:rsidR="00830685" w:rsidRPr="00B97A88">
          <w:rPr>
            <w:rStyle w:val="af8"/>
            <w:lang w:val="en"/>
          </w:rPr>
          <w:t>Recording of Adverse Events</w:t>
        </w:r>
        <w:r w:rsidR="00830685">
          <w:rPr>
            <w:webHidden/>
          </w:rPr>
          <w:tab/>
        </w:r>
        <w:r w:rsidR="00830685">
          <w:rPr>
            <w:webHidden/>
          </w:rPr>
          <w:fldChar w:fldCharType="begin"/>
        </w:r>
        <w:r w:rsidR="00830685">
          <w:rPr>
            <w:webHidden/>
          </w:rPr>
          <w:instrText xml:space="preserve"> PAGEREF _Toc112064883 \h </w:instrText>
        </w:r>
        <w:r w:rsidR="00830685">
          <w:rPr>
            <w:webHidden/>
          </w:rPr>
        </w:r>
        <w:r w:rsidR="00830685">
          <w:rPr>
            <w:webHidden/>
          </w:rPr>
          <w:fldChar w:fldCharType="separate"/>
        </w:r>
        <w:r w:rsidR="00830685">
          <w:rPr>
            <w:webHidden/>
          </w:rPr>
          <w:t>63</w:t>
        </w:r>
        <w:r w:rsidR="00830685">
          <w:rPr>
            <w:webHidden/>
          </w:rPr>
          <w:fldChar w:fldCharType="end"/>
        </w:r>
      </w:hyperlink>
    </w:p>
    <w:p w14:paraId="1E6F8386" w14:textId="6820B10B" w:rsidR="00830685" w:rsidRDefault="00C430DF">
      <w:pPr>
        <w:pStyle w:val="TOC3"/>
        <w:rPr>
          <w:rFonts w:asciiTheme="minorHAnsi" w:eastAsiaTheme="minorEastAsia" w:hAnsiTheme="minorHAnsi" w:cstheme="minorBidi"/>
          <w:sz w:val="22"/>
          <w:szCs w:val="22"/>
          <w:lang w:eastAsia="zh-CN" w:bidi="ar-SA"/>
        </w:rPr>
      </w:pPr>
      <w:hyperlink w:anchor="_Toc112064884" w:history="1">
        <w:r w:rsidR="00830685" w:rsidRPr="00B97A88">
          <w:rPr>
            <w:rStyle w:val="af8"/>
            <w:lang w:val="en"/>
          </w:rPr>
          <w:t>7.1.5</w:t>
        </w:r>
        <w:r w:rsidR="00830685">
          <w:rPr>
            <w:rFonts w:asciiTheme="minorHAnsi" w:eastAsiaTheme="minorEastAsia" w:hAnsiTheme="minorHAnsi" w:cstheme="minorBidi"/>
            <w:sz w:val="22"/>
            <w:szCs w:val="22"/>
            <w:lang w:eastAsia="zh-CN" w:bidi="ar-SA"/>
          </w:rPr>
          <w:tab/>
        </w:r>
        <w:r w:rsidR="00830685" w:rsidRPr="00B97A88">
          <w:rPr>
            <w:rStyle w:val="af8"/>
            <w:lang w:val="en"/>
          </w:rPr>
          <w:t>Reporting of Serious Adverse Events</w:t>
        </w:r>
        <w:r w:rsidR="00830685">
          <w:rPr>
            <w:webHidden/>
          </w:rPr>
          <w:tab/>
        </w:r>
        <w:r w:rsidR="00830685">
          <w:rPr>
            <w:webHidden/>
          </w:rPr>
          <w:fldChar w:fldCharType="begin"/>
        </w:r>
        <w:r w:rsidR="00830685">
          <w:rPr>
            <w:webHidden/>
          </w:rPr>
          <w:instrText xml:space="preserve"> PAGEREF _Toc112064884 \h </w:instrText>
        </w:r>
        <w:r w:rsidR="00830685">
          <w:rPr>
            <w:webHidden/>
          </w:rPr>
        </w:r>
        <w:r w:rsidR="00830685">
          <w:rPr>
            <w:webHidden/>
          </w:rPr>
          <w:fldChar w:fldCharType="separate"/>
        </w:r>
        <w:r w:rsidR="00830685">
          <w:rPr>
            <w:webHidden/>
          </w:rPr>
          <w:t>64</w:t>
        </w:r>
        <w:r w:rsidR="00830685">
          <w:rPr>
            <w:webHidden/>
          </w:rPr>
          <w:fldChar w:fldCharType="end"/>
        </w:r>
      </w:hyperlink>
    </w:p>
    <w:p w14:paraId="37155C75" w14:textId="7CA53AB4" w:rsidR="00830685" w:rsidRDefault="00C430DF">
      <w:pPr>
        <w:pStyle w:val="TOC3"/>
        <w:rPr>
          <w:rFonts w:asciiTheme="minorHAnsi" w:eastAsiaTheme="minorEastAsia" w:hAnsiTheme="minorHAnsi" w:cstheme="minorBidi"/>
          <w:sz w:val="22"/>
          <w:szCs w:val="22"/>
          <w:lang w:eastAsia="zh-CN" w:bidi="ar-SA"/>
        </w:rPr>
      </w:pPr>
      <w:hyperlink w:anchor="_Toc112064885" w:history="1">
        <w:r w:rsidR="00830685" w:rsidRPr="00B97A88">
          <w:rPr>
            <w:rStyle w:val="af8"/>
            <w:lang w:val="en"/>
          </w:rPr>
          <w:t>7.1.6</w:t>
        </w:r>
        <w:r w:rsidR="00830685">
          <w:rPr>
            <w:rFonts w:asciiTheme="minorHAnsi" w:eastAsiaTheme="minorEastAsia" w:hAnsiTheme="minorHAnsi" w:cstheme="minorBidi"/>
            <w:sz w:val="22"/>
            <w:szCs w:val="22"/>
            <w:lang w:eastAsia="zh-CN" w:bidi="ar-SA"/>
          </w:rPr>
          <w:tab/>
        </w:r>
        <w:r w:rsidR="00830685" w:rsidRPr="00B97A88">
          <w:rPr>
            <w:rStyle w:val="af8"/>
            <w:lang w:val="en"/>
          </w:rPr>
          <w:t>Grading of Adverse Events</w:t>
        </w:r>
        <w:r w:rsidR="00830685">
          <w:rPr>
            <w:webHidden/>
          </w:rPr>
          <w:tab/>
        </w:r>
        <w:r w:rsidR="00830685">
          <w:rPr>
            <w:webHidden/>
          </w:rPr>
          <w:fldChar w:fldCharType="begin"/>
        </w:r>
        <w:r w:rsidR="00830685">
          <w:rPr>
            <w:webHidden/>
          </w:rPr>
          <w:instrText xml:space="preserve"> PAGEREF _Toc112064885 \h </w:instrText>
        </w:r>
        <w:r w:rsidR="00830685">
          <w:rPr>
            <w:webHidden/>
          </w:rPr>
        </w:r>
        <w:r w:rsidR="00830685">
          <w:rPr>
            <w:webHidden/>
          </w:rPr>
          <w:fldChar w:fldCharType="separate"/>
        </w:r>
        <w:r w:rsidR="00830685">
          <w:rPr>
            <w:webHidden/>
          </w:rPr>
          <w:t>64</w:t>
        </w:r>
        <w:r w:rsidR="00830685">
          <w:rPr>
            <w:webHidden/>
          </w:rPr>
          <w:fldChar w:fldCharType="end"/>
        </w:r>
      </w:hyperlink>
    </w:p>
    <w:p w14:paraId="4988D7DC" w14:textId="49EBDBCA" w:rsidR="00830685" w:rsidRDefault="00C430DF">
      <w:pPr>
        <w:pStyle w:val="TOC3"/>
        <w:rPr>
          <w:rFonts w:asciiTheme="minorHAnsi" w:eastAsiaTheme="minorEastAsia" w:hAnsiTheme="minorHAnsi" w:cstheme="minorBidi"/>
          <w:sz w:val="22"/>
          <w:szCs w:val="22"/>
          <w:lang w:eastAsia="zh-CN" w:bidi="ar-SA"/>
        </w:rPr>
      </w:pPr>
      <w:hyperlink w:anchor="_Toc112064886" w:history="1">
        <w:r w:rsidR="00830685" w:rsidRPr="00B97A88">
          <w:rPr>
            <w:rStyle w:val="af8"/>
            <w:lang w:val="en"/>
          </w:rPr>
          <w:t>7.1.7</w:t>
        </w:r>
        <w:r w:rsidR="00830685">
          <w:rPr>
            <w:rFonts w:asciiTheme="minorHAnsi" w:eastAsiaTheme="minorEastAsia" w:hAnsiTheme="minorHAnsi" w:cstheme="minorBidi"/>
            <w:sz w:val="22"/>
            <w:szCs w:val="22"/>
            <w:lang w:eastAsia="zh-CN" w:bidi="ar-SA"/>
          </w:rPr>
          <w:tab/>
        </w:r>
        <w:r w:rsidR="00830685" w:rsidRPr="00B97A88">
          <w:rPr>
            <w:rStyle w:val="af8"/>
            <w:lang w:val="en"/>
          </w:rPr>
          <w:t>Relationship to the study treatment</w:t>
        </w:r>
        <w:r w:rsidR="00830685">
          <w:rPr>
            <w:webHidden/>
          </w:rPr>
          <w:tab/>
        </w:r>
        <w:r w:rsidR="00830685">
          <w:rPr>
            <w:webHidden/>
          </w:rPr>
          <w:fldChar w:fldCharType="begin"/>
        </w:r>
        <w:r w:rsidR="00830685">
          <w:rPr>
            <w:webHidden/>
          </w:rPr>
          <w:instrText xml:space="preserve"> PAGEREF _Toc112064886 \h </w:instrText>
        </w:r>
        <w:r w:rsidR="00830685">
          <w:rPr>
            <w:webHidden/>
          </w:rPr>
        </w:r>
        <w:r w:rsidR="00830685">
          <w:rPr>
            <w:webHidden/>
          </w:rPr>
          <w:fldChar w:fldCharType="separate"/>
        </w:r>
        <w:r w:rsidR="00830685">
          <w:rPr>
            <w:webHidden/>
          </w:rPr>
          <w:t>64</w:t>
        </w:r>
        <w:r w:rsidR="00830685">
          <w:rPr>
            <w:webHidden/>
          </w:rPr>
          <w:fldChar w:fldCharType="end"/>
        </w:r>
      </w:hyperlink>
    </w:p>
    <w:p w14:paraId="21CDE738" w14:textId="0F2B08EB" w:rsidR="00830685" w:rsidRDefault="00C430DF">
      <w:pPr>
        <w:pStyle w:val="TOC3"/>
        <w:rPr>
          <w:rFonts w:asciiTheme="minorHAnsi" w:eastAsiaTheme="minorEastAsia" w:hAnsiTheme="minorHAnsi" w:cstheme="minorBidi"/>
          <w:sz w:val="22"/>
          <w:szCs w:val="22"/>
          <w:lang w:eastAsia="zh-CN" w:bidi="ar-SA"/>
        </w:rPr>
      </w:pPr>
      <w:hyperlink w:anchor="_Toc112064887" w:history="1">
        <w:r w:rsidR="00830685" w:rsidRPr="00B97A88">
          <w:rPr>
            <w:rStyle w:val="af8"/>
            <w:lang w:val="en"/>
          </w:rPr>
          <w:t>7.1.8</w:t>
        </w:r>
        <w:r w:rsidR="00830685">
          <w:rPr>
            <w:rFonts w:asciiTheme="minorHAnsi" w:eastAsiaTheme="minorEastAsia" w:hAnsiTheme="minorHAnsi" w:cstheme="minorBidi"/>
            <w:sz w:val="22"/>
            <w:szCs w:val="22"/>
            <w:lang w:eastAsia="zh-CN" w:bidi="ar-SA"/>
          </w:rPr>
          <w:tab/>
        </w:r>
        <w:r w:rsidR="00830685" w:rsidRPr="00B97A88">
          <w:rPr>
            <w:rStyle w:val="af8"/>
            <w:lang w:val="en"/>
          </w:rPr>
          <w:t>Follow-up of Adverse Events/Serious Adverse Events</w:t>
        </w:r>
        <w:r w:rsidR="00830685">
          <w:rPr>
            <w:webHidden/>
          </w:rPr>
          <w:tab/>
        </w:r>
        <w:r w:rsidR="00830685">
          <w:rPr>
            <w:webHidden/>
          </w:rPr>
          <w:fldChar w:fldCharType="begin"/>
        </w:r>
        <w:r w:rsidR="00830685">
          <w:rPr>
            <w:webHidden/>
          </w:rPr>
          <w:instrText xml:space="preserve"> PAGEREF _Toc112064887 \h </w:instrText>
        </w:r>
        <w:r w:rsidR="00830685">
          <w:rPr>
            <w:webHidden/>
          </w:rPr>
        </w:r>
        <w:r w:rsidR="00830685">
          <w:rPr>
            <w:webHidden/>
          </w:rPr>
          <w:fldChar w:fldCharType="separate"/>
        </w:r>
        <w:r w:rsidR="00830685">
          <w:rPr>
            <w:webHidden/>
          </w:rPr>
          <w:t>65</w:t>
        </w:r>
        <w:r w:rsidR="00830685">
          <w:rPr>
            <w:webHidden/>
          </w:rPr>
          <w:fldChar w:fldCharType="end"/>
        </w:r>
      </w:hyperlink>
    </w:p>
    <w:p w14:paraId="732C1014" w14:textId="4771A6BC" w:rsidR="00830685" w:rsidRDefault="00C430DF">
      <w:pPr>
        <w:pStyle w:val="TOC3"/>
        <w:rPr>
          <w:rFonts w:asciiTheme="minorHAnsi" w:eastAsiaTheme="minorEastAsia" w:hAnsiTheme="minorHAnsi" w:cstheme="minorBidi"/>
          <w:sz w:val="22"/>
          <w:szCs w:val="22"/>
          <w:lang w:eastAsia="zh-CN" w:bidi="ar-SA"/>
        </w:rPr>
      </w:pPr>
      <w:hyperlink w:anchor="_Toc112064888" w:history="1">
        <w:r w:rsidR="00830685" w:rsidRPr="00B97A88">
          <w:rPr>
            <w:rStyle w:val="af8"/>
            <w:lang w:val="en"/>
          </w:rPr>
          <w:t>7.1.9</w:t>
        </w:r>
        <w:r w:rsidR="00830685">
          <w:rPr>
            <w:rFonts w:asciiTheme="minorHAnsi" w:eastAsiaTheme="minorEastAsia" w:hAnsiTheme="minorHAnsi" w:cstheme="minorBidi"/>
            <w:sz w:val="22"/>
            <w:szCs w:val="22"/>
            <w:lang w:eastAsia="zh-CN" w:bidi="ar-SA"/>
          </w:rPr>
          <w:tab/>
        </w:r>
        <w:r w:rsidR="00830685" w:rsidRPr="00B97A88">
          <w:rPr>
            <w:rStyle w:val="af8"/>
            <w:lang w:val="en"/>
          </w:rPr>
          <w:t>Outcome of Adverse Events</w:t>
        </w:r>
        <w:r w:rsidR="00830685">
          <w:rPr>
            <w:webHidden/>
          </w:rPr>
          <w:tab/>
        </w:r>
        <w:r w:rsidR="00830685">
          <w:rPr>
            <w:webHidden/>
          </w:rPr>
          <w:fldChar w:fldCharType="begin"/>
        </w:r>
        <w:r w:rsidR="00830685">
          <w:rPr>
            <w:webHidden/>
          </w:rPr>
          <w:instrText xml:space="preserve"> PAGEREF _Toc112064888 \h </w:instrText>
        </w:r>
        <w:r w:rsidR="00830685">
          <w:rPr>
            <w:webHidden/>
          </w:rPr>
        </w:r>
        <w:r w:rsidR="00830685">
          <w:rPr>
            <w:webHidden/>
          </w:rPr>
          <w:fldChar w:fldCharType="separate"/>
        </w:r>
        <w:r w:rsidR="00830685">
          <w:rPr>
            <w:webHidden/>
          </w:rPr>
          <w:t>65</w:t>
        </w:r>
        <w:r w:rsidR="00830685">
          <w:rPr>
            <w:webHidden/>
          </w:rPr>
          <w:fldChar w:fldCharType="end"/>
        </w:r>
      </w:hyperlink>
    </w:p>
    <w:p w14:paraId="7C71CD11" w14:textId="049CD307" w:rsidR="00830685" w:rsidRDefault="00C430DF">
      <w:pPr>
        <w:pStyle w:val="TOC3"/>
        <w:tabs>
          <w:tab w:val="left" w:pos="1310"/>
        </w:tabs>
        <w:rPr>
          <w:rFonts w:asciiTheme="minorHAnsi" w:eastAsiaTheme="minorEastAsia" w:hAnsiTheme="minorHAnsi" w:cstheme="minorBidi"/>
          <w:sz w:val="22"/>
          <w:szCs w:val="22"/>
          <w:lang w:eastAsia="zh-CN" w:bidi="ar-SA"/>
        </w:rPr>
      </w:pPr>
      <w:hyperlink w:anchor="_Toc112064889" w:history="1">
        <w:r w:rsidR="00830685" w:rsidRPr="00B97A88">
          <w:rPr>
            <w:rStyle w:val="af8"/>
            <w:lang w:val="en"/>
          </w:rPr>
          <w:t>7.1.10</w:t>
        </w:r>
        <w:r w:rsidR="00830685">
          <w:rPr>
            <w:rFonts w:asciiTheme="minorHAnsi" w:eastAsiaTheme="minorEastAsia" w:hAnsiTheme="minorHAnsi" w:cstheme="minorBidi"/>
            <w:sz w:val="22"/>
            <w:szCs w:val="22"/>
            <w:lang w:eastAsia="zh-CN" w:bidi="ar-SA"/>
          </w:rPr>
          <w:tab/>
        </w:r>
        <w:r w:rsidR="00830685" w:rsidRPr="00B97A88">
          <w:rPr>
            <w:rStyle w:val="af8"/>
            <w:lang w:val="en"/>
          </w:rPr>
          <w:t>Disease Progression</w:t>
        </w:r>
        <w:r w:rsidR="00830685">
          <w:rPr>
            <w:webHidden/>
          </w:rPr>
          <w:tab/>
        </w:r>
        <w:r w:rsidR="00830685">
          <w:rPr>
            <w:webHidden/>
          </w:rPr>
          <w:fldChar w:fldCharType="begin"/>
        </w:r>
        <w:r w:rsidR="00830685">
          <w:rPr>
            <w:webHidden/>
          </w:rPr>
          <w:instrText xml:space="preserve"> PAGEREF _Toc112064889 \h </w:instrText>
        </w:r>
        <w:r w:rsidR="00830685">
          <w:rPr>
            <w:webHidden/>
          </w:rPr>
        </w:r>
        <w:r w:rsidR="00830685">
          <w:rPr>
            <w:webHidden/>
          </w:rPr>
          <w:fldChar w:fldCharType="separate"/>
        </w:r>
        <w:r w:rsidR="00830685">
          <w:rPr>
            <w:webHidden/>
          </w:rPr>
          <w:t>66</w:t>
        </w:r>
        <w:r w:rsidR="00830685">
          <w:rPr>
            <w:webHidden/>
          </w:rPr>
          <w:fldChar w:fldCharType="end"/>
        </w:r>
      </w:hyperlink>
    </w:p>
    <w:p w14:paraId="34D5047B" w14:textId="09C358D7" w:rsidR="00830685" w:rsidRDefault="00C430DF">
      <w:pPr>
        <w:pStyle w:val="TOC3"/>
        <w:tabs>
          <w:tab w:val="left" w:pos="1310"/>
        </w:tabs>
        <w:rPr>
          <w:rFonts w:asciiTheme="minorHAnsi" w:eastAsiaTheme="minorEastAsia" w:hAnsiTheme="minorHAnsi" w:cstheme="minorBidi"/>
          <w:sz w:val="22"/>
          <w:szCs w:val="22"/>
          <w:lang w:eastAsia="zh-CN" w:bidi="ar-SA"/>
        </w:rPr>
      </w:pPr>
      <w:hyperlink w:anchor="_Toc112064890" w:history="1">
        <w:r w:rsidR="00830685" w:rsidRPr="00B97A88">
          <w:rPr>
            <w:rStyle w:val="af8"/>
            <w:lang w:val="en"/>
          </w:rPr>
          <w:t>7.1.11</w:t>
        </w:r>
        <w:r w:rsidR="00830685">
          <w:rPr>
            <w:rFonts w:asciiTheme="minorHAnsi" w:eastAsiaTheme="minorEastAsia" w:hAnsiTheme="minorHAnsi" w:cstheme="minorBidi"/>
            <w:sz w:val="22"/>
            <w:szCs w:val="22"/>
            <w:lang w:eastAsia="zh-CN" w:bidi="ar-SA"/>
          </w:rPr>
          <w:tab/>
        </w:r>
        <w:r w:rsidR="00830685" w:rsidRPr="00B97A88">
          <w:rPr>
            <w:rStyle w:val="af8"/>
            <w:lang w:val="en"/>
          </w:rPr>
          <w:t>New Cancer</w:t>
        </w:r>
        <w:r w:rsidR="00830685">
          <w:rPr>
            <w:webHidden/>
          </w:rPr>
          <w:tab/>
        </w:r>
        <w:r w:rsidR="00830685">
          <w:rPr>
            <w:webHidden/>
          </w:rPr>
          <w:fldChar w:fldCharType="begin"/>
        </w:r>
        <w:r w:rsidR="00830685">
          <w:rPr>
            <w:webHidden/>
          </w:rPr>
          <w:instrText xml:space="preserve"> PAGEREF _Toc112064890 \h </w:instrText>
        </w:r>
        <w:r w:rsidR="00830685">
          <w:rPr>
            <w:webHidden/>
          </w:rPr>
        </w:r>
        <w:r w:rsidR="00830685">
          <w:rPr>
            <w:webHidden/>
          </w:rPr>
          <w:fldChar w:fldCharType="separate"/>
        </w:r>
        <w:r w:rsidR="00830685">
          <w:rPr>
            <w:webHidden/>
          </w:rPr>
          <w:t>66</w:t>
        </w:r>
        <w:r w:rsidR="00830685">
          <w:rPr>
            <w:webHidden/>
          </w:rPr>
          <w:fldChar w:fldCharType="end"/>
        </w:r>
      </w:hyperlink>
    </w:p>
    <w:p w14:paraId="6B19AD89" w14:textId="45FB7B48" w:rsidR="00830685" w:rsidRDefault="00C430DF">
      <w:pPr>
        <w:pStyle w:val="TOC2"/>
        <w:rPr>
          <w:rFonts w:asciiTheme="minorHAnsi" w:eastAsiaTheme="minorEastAsia" w:hAnsiTheme="minorHAnsi" w:cstheme="minorBidi"/>
          <w:bCs w:val="0"/>
          <w:sz w:val="22"/>
          <w:szCs w:val="22"/>
          <w:lang w:eastAsia="zh-CN" w:bidi="ar-SA"/>
        </w:rPr>
      </w:pPr>
      <w:hyperlink w:anchor="_Toc112064891" w:history="1">
        <w:r w:rsidR="00830685" w:rsidRPr="00B97A88">
          <w:rPr>
            <w:rStyle w:val="af8"/>
          </w:rPr>
          <w:t>7.2</w:t>
        </w:r>
        <w:r w:rsidR="00830685">
          <w:rPr>
            <w:rFonts w:asciiTheme="minorHAnsi" w:eastAsiaTheme="minorEastAsia" w:hAnsiTheme="minorHAnsi" w:cstheme="minorBidi"/>
            <w:bCs w:val="0"/>
            <w:sz w:val="22"/>
            <w:szCs w:val="22"/>
            <w:lang w:eastAsia="zh-CN" w:bidi="ar-SA"/>
          </w:rPr>
          <w:tab/>
        </w:r>
        <w:r w:rsidR="00830685" w:rsidRPr="00B97A88">
          <w:rPr>
            <w:rStyle w:val="af8"/>
          </w:rPr>
          <w:t>ECOG Physical Capacity Score</w:t>
        </w:r>
        <w:r w:rsidR="00830685">
          <w:rPr>
            <w:webHidden/>
          </w:rPr>
          <w:tab/>
        </w:r>
        <w:r w:rsidR="00830685">
          <w:rPr>
            <w:webHidden/>
          </w:rPr>
          <w:fldChar w:fldCharType="begin"/>
        </w:r>
        <w:r w:rsidR="00830685">
          <w:rPr>
            <w:webHidden/>
          </w:rPr>
          <w:instrText xml:space="preserve"> PAGEREF _Toc112064891 \h </w:instrText>
        </w:r>
        <w:r w:rsidR="00830685">
          <w:rPr>
            <w:webHidden/>
          </w:rPr>
        </w:r>
        <w:r w:rsidR="00830685">
          <w:rPr>
            <w:webHidden/>
          </w:rPr>
          <w:fldChar w:fldCharType="separate"/>
        </w:r>
        <w:r w:rsidR="00830685">
          <w:rPr>
            <w:webHidden/>
          </w:rPr>
          <w:t>66</w:t>
        </w:r>
        <w:r w:rsidR="00830685">
          <w:rPr>
            <w:webHidden/>
          </w:rPr>
          <w:fldChar w:fldCharType="end"/>
        </w:r>
      </w:hyperlink>
    </w:p>
    <w:p w14:paraId="53234C37" w14:textId="0CBBC64D" w:rsidR="00830685" w:rsidRDefault="00C430DF">
      <w:pPr>
        <w:pStyle w:val="TOC2"/>
        <w:rPr>
          <w:rFonts w:asciiTheme="minorHAnsi" w:eastAsiaTheme="minorEastAsia" w:hAnsiTheme="minorHAnsi" w:cstheme="minorBidi"/>
          <w:bCs w:val="0"/>
          <w:sz w:val="22"/>
          <w:szCs w:val="22"/>
          <w:lang w:eastAsia="zh-CN" w:bidi="ar-SA"/>
        </w:rPr>
      </w:pPr>
      <w:hyperlink w:anchor="_Toc112064892" w:history="1">
        <w:r w:rsidR="00830685" w:rsidRPr="00B97A88">
          <w:rPr>
            <w:rStyle w:val="af8"/>
          </w:rPr>
          <w:t>7.3</w:t>
        </w:r>
        <w:r w:rsidR="00830685">
          <w:rPr>
            <w:rFonts w:asciiTheme="minorHAnsi" w:eastAsiaTheme="minorEastAsia" w:hAnsiTheme="minorHAnsi" w:cstheme="minorBidi"/>
            <w:bCs w:val="0"/>
            <w:sz w:val="22"/>
            <w:szCs w:val="22"/>
            <w:lang w:eastAsia="zh-CN" w:bidi="ar-SA"/>
          </w:rPr>
          <w:tab/>
        </w:r>
        <w:r w:rsidR="00830685" w:rsidRPr="00B97A88">
          <w:rPr>
            <w:rStyle w:val="af8"/>
          </w:rPr>
          <w:t>Laboratory Tests (for safety assessment)</w:t>
        </w:r>
        <w:r w:rsidR="00830685">
          <w:rPr>
            <w:webHidden/>
          </w:rPr>
          <w:tab/>
        </w:r>
        <w:r w:rsidR="00830685">
          <w:rPr>
            <w:webHidden/>
          </w:rPr>
          <w:fldChar w:fldCharType="begin"/>
        </w:r>
        <w:r w:rsidR="00830685">
          <w:rPr>
            <w:webHidden/>
          </w:rPr>
          <w:instrText xml:space="preserve"> PAGEREF _Toc112064892 \h </w:instrText>
        </w:r>
        <w:r w:rsidR="00830685">
          <w:rPr>
            <w:webHidden/>
          </w:rPr>
        </w:r>
        <w:r w:rsidR="00830685">
          <w:rPr>
            <w:webHidden/>
          </w:rPr>
          <w:fldChar w:fldCharType="separate"/>
        </w:r>
        <w:r w:rsidR="00830685">
          <w:rPr>
            <w:webHidden/>
          </w:rPr>
          <w:t>66</w:t>
        </w:r>
        <w:r w:rsidR="00830685">
          <w:rPr>
            <w:webHidden/>
          </w:rPr>
          <w:fldChar w:fldCharType="end"/>
        </w:r>
      </w:hyperlink>
    </w:p>
    <w:p w14:paraId="0C2FC61B" w14:textId="3B21ABDC" w:rsidR="00830685" w:rsidRDefault="00C430DF">
      <w:pPr>
        <w:pStyle w:val="TOC2"/>
        <w:rPr>
          <w:rFonts w:asciiTheme="minorHAnsi" w:eastAsiaTheme="minorEastAsia" w:hAnsiTheme="minorHAnsi" w:cstheme="minorBidi"/>
          <w:bCs w:val="0"/>
          <w:sz w:val="22"/>
          <w:szCs w:val="22"/>
          <w:lang w:eastAsia="zh-CN" w:bidi="ar-SA"/>
        </w:rPr>
      </w:pPr>
      <w:hyperlink w:anchor="_Toc112064893" w:history="1">
        <w:r w:rsidR="00830685" w:rsidRPr="00B97A88">
          <w:rPr>
            <w:rStyle w:val="af8"/>
          </w:rPr>
          <w:t>7.4</w:t>
        </w:r>
        <w:r w:rsidR="00830685">
          <w:rPr>
            <w:rFonts w:asciiTheme="minorHAnsi" w:eastAsiaTheme="minorEastAsia" w:hAnsiTheme="minorHAnsi" w:cstheme="minorBidi"/>
            <w:bCs w:val="0"/>
            <w:sz w:val="22"/>
            <w:szCs w:val="22"/>
            <w:lang w:eastAsia="zh-CN" w:bidi="ar-SA"/>
          </w:rPr>
          <w:tab/>
        </w:r>
        <w:r w:rsidR="00830685" w:rsidRPr="00B97A88">
          <w:rPr>
            <w:rStyle w:val="af8"/>
          </w:rPr>
          <w:t>Vital Signs</w:t>
        </w:r>
        <w:r w:rsidR="00830685">
          <w:rPr>
            <w:webHidden/>
          </w:rPr>
          <w:tab/>
        </w:r>
        <w:r w:rsidR="00830685">
          <w:rPr>
            <w:webHidden/>
          </w:rPr>
          <w:fldChar w:fldCharType="begin"/>
        </w:r>
        <w:r w:rsidR="00830685">
          <w:rPr>
            <w:webHidden/>
          </w:rPr>
          <w:instrText xml:space="preserve"> PAGEREF _Toc112064893 \h </w:instrText>
        </w:r>
        <w:r w:rsidR="00830685">
          <w:rPr>
            <w:webHidden/>
          </w:rPr>
        </w:r>
        <w:r w:rsidR="00830685">
          <w:rPr>
            <w:webHidden/>
          </w:rPr>
          <w:fldChar w:fldCharType="separate"/>
        </w:r>
        <w:r w:rsidR="00830685">
          <w:rPr>
            <w:webHidden/>
          </w:rPr>
          <w:t>67</w:t>
        </w:r>
        <w:r w:rsidR="00830685">
          <w:rPr>
            <w:webHidden/>
          </w:rPr>
          <w:fldChar w:fldCharType="end"/>
        </w:r>
      </w:hyperlink>
    </w:p>
    <w:p w14:paraId="1FCFB168" w14:textId="3BBEC4D0" w:rsidR="00830685" w:rsidRDefault="00C430DF">
      <w:pPr>
        <w:pStyle w:val="TOC2"/>
        <w:rPr>
          <w:rFonts w:asciiTheme="minorHAnsi" w:eastAsiaTheme="minorEastAsia" w:hAnsiTheme="minorHAnsi" w:cstheme="minorBidi"/>
          <w:bCs w:val="0"/>
          <w:sz w:val="22"/>
          <w:szCs w:val="22"/>
          <w:lang w:eastAsia="zh-CN" w:bidi="ar-SA"/>
        </w:rPr>
      </w:pPr>
      <w:hyperlink w:anchor="_Toc112064894" w:history="1">
        <w:r w:rsidR="00830685" w:rsidRPr="00B97A88">
          <w:rPr>
            <w:rStyle w:val="af8"/>
          </w:rPr>
          <w:t>7.5</w:t>
        </w:r>
        <w:r w:rsidR="00830685">
          <w:rPr>
            <w:rFonts w:asciiTheme="minorHAnsi" w:eastAsiaTheme="minorEastAsia" w:hAnsiTheme="minorHAnsi" w:cstheme="minorBidi"/>
            <w:bCs w:val="0"/>
            <w:sz w:val="22"/>
            <w:szCs w:val="22"/>
            <w:lang w:eastAsia="zh-CN" w:bidi="ar-SA"/>
          </w:rPr>
          <w:tab/>
        </w:r>
        <w:r w:rsidR="00830685" w:rsidRPr="00B97A88">
          <w:rPr>
            <w:rStyle w:val="af8"/>
          </w:rPr>
          <w:t>Physical Examination</w:t>
        </w:r>
        <w:r w:rsidR="00830685">
          <w:rPr>
            <w:webHidden/>
          </w:rPr>
          <w:tab/>
        </w:r>
        <w:r w:rsidR="00830685">
          <w:rPr>
            <w:webHidden/>
          </w:rPr>
          <w:fldChar w:fldCharType="begin"/>
        </w:r>
        <w:r w:rsidR="00830685">
          <w:rPr>
            <w:webHidden/>
          </w:rPr>
          <w:instrText xml:space="preserve"> PAGEREF _Toc112064894 \h </w:instrText>
        </w:r>
        <w:r w:rsidR="00830685">
          <w:rPr>
            <w:webHidden/>
          </w:rPr>
        </w:r>
        <w:r w:rsidR="00830685">
          <w:rPr>
            <w:webHidden/>
          </w:rPr>
          <w:fldChar w:fldCharType="separate"/>
        </w:r>
        <w:r w:rsidR="00830685">
          <w:rPr>
            <w:webHidden/>
          </w:rPr>
          <w:t>67</w:t>
        </w:r>
        <w:r w:rsidR="00830685">
          <w:rPr>
            <w:webHidden/>
          </w:rPr>
          <w:fldChar w:fldCharType="end"/>
        </w:r>
      </w:hyperlink>
    </w:p>
    <w:p w14:paraId="7DD5B413" w14:textId="0DDA8067" w:rsidR="00830685" w:rsidRDefault="00C430DF">
      <w:pPr>
        <w:pStyle w:val="TOC2"/>
        <w:rPr>
          <w:rFonts w:asciiTheme="minorHAnsi" w:eastAsiaTheme="minorEastAsia" w:hAnsiTheme="minorHAnsi" w:cstheme="minorBidi"/>
          <w:bCs w:val="0"/>
          <w:sz w:val="22"/>
          <w:szCs w:val="22"/>
          <w:lang w:eastAsia="zh-CN" w:bidi="ar-SA"/>
        </w:rPr>
      </w:pPr>
      <w:hyperlink w:anchor="_Toc112064895" w:history="1">
        <w:r w:rsidR="00830685" w:rsidRPr="00B97A88">
          <w:rPr>
            <w:rStyle w:val="af8"/>
          </w:rPr>
          <w:t>7.6</w:t>
        </w:r>
        <w:r w:rsidR="00830685">
          <w:rPr>
            <w:rFonts w:asciiTheme="minorHAnsi" w:eastAsiaTheme="minorEastAsia" w:hAnsiTheme="minorHAnsi" w:cstheme="minorBidi"/>
            <w:bCs w:val="0"/>
            <w:sz w:val="22"/>
            <w:szCs w:val="22"/>
            <w:lang w:eastAsia="zh-CN" w:bidi="ar-SA"/>
          </w:rPr>
          <w:tab/>
        </w:r>
        <w:r w:rsidR="00830685" w:rsidRPr="00B97A88">
          <w:rPr>
            <w:rStyle w:val="af8"/>
          </w:rPr>
          <w:t>Electrocardiogram and Echocardiogram</w:t>
        </w:r>
        <w:r w:rsidR="00830685">
          <w:rPr>
            <w:webHidden/>
          </w:rPr>
          <w:tab/>
        </w:r>
        <w:r w:rsidR="00830685">
          <w:rPr>
            <w:webHidden/>
          </w:rPr>
          <w:fldChar w:fldCharType="begin"/>
        </w:r>
        <w:r w:rsidR="00830685">
          <w:rPr>
            <w:webHidden/>
          </w:rPr>
          <w:instrText xml:space="preserve"> PAGEREF _Toc112064895 \h </w:instrText>
        </w:r>
        <w:r w:rsidR="00830685">
          <w:rPr>
            <w:webHidden/>
          </w:rPr>
        </w:r>
        <w:r w:rsidR="00830685">
          <w:rPr>
            <w:webHidden/>
          </w:rPr>
          <w:fldChar w:fldCharType="separate"/>
        </w:r>
        <w:r w:rsidR="00830685">
          <w:rPr>
            <w:webHidden/>
          </w:rPr>
          <w:t>67</w:t>
        </w:r>
        <w:r w:rsidR="00830685">
          <w:rPr>
            <w:webHidden/>
          </w:rPr>
          <w:fldChar w:fldCharType="end"/>
        </w:r>
      </w:hyperlink>
    </w:p>
    <w:p w14:paraId="0A6A402E" w14:textId="35FAF364" w:rsidR="00830685" w:rsidRDefault="00C430DF">
      <w:pPr>
        <w:pStyle w:val="TOC1"/>
        <w:rPr>
          <w:rFonts w:asciiTheme="minorHAnsi" w:eastAsiaTheme="minorEastAsia" w:hAnsiTheme="minorHAnsi" w:cstheme="minorBidi"/>
          <w:b w:val="0"/>
          <w:bCs w:val="0"/>
          <w:sz w:val="22"/>
          <w:szCs w:val="22"/>
          <w:lang w:eastAsia="zh-CN" w:bidi="ar-SA"/>
        </w:rPr>
      </w:pPr>
      <w:hyperlink w:anchor="_Toc112064896" w:history="1">
        <w:r w:rsidR="00830685" w:rsidRPr="00B97A88">
          <w:rPr>
            <w:rStyle w:val="af8"/>
          </w:rPr>
          <w:t>8</w:t>
        </w:r>
        <w:r w:rsidR="00830685">
          <w:rPr>
            <w:rFonts w:asciiTheme="minorHAnsi" w:eastAsiaTheme="minorEastAsia" w:hAnsiTheme="minorHAnsi" w:cstheme="minorBidi"/>
            <w:b w:val="0"/>
            <w:bCs w:val="0"/>
            <w:sz w:val="22"/>
            <w:szCs w:val="22"/>
            <w:lang w:eastAsia="zh-CN" w:bidi="ar-SA"/>
          </w:rPr>
          <w:tab/>
        </w:r>
        <w:r w:rsidR="00830685" w:rsidRPr="00B97A88">
          <w:rPr>
            <w:rStyle w:val="af8"/>
          </w:rPr>
          <w:t>EFFICACY ASSESSMENTS</w:t>
        </w:r>
        <w:r w:rsidR="00830685">
          <w:rPr>
            <w:webHidden/>
          </w:rPr>
          <w:tab/>
        </w:r>
        <w:r w:rsidR="00830685">
          <w:rPr>
            <w:webHidden/>
          </w:rPr>
          <w:fldChar w:fldCharType="begin"/>
        </w:r>
        <w:r w:rsidR="00830685">
          <w:rPr>
            <w:webHidden/>
          </w:rPr>
          <w:instrText xml:space="preserve"> PAGEREF _Toc112064896 \h </w:instrText>
        </w:r>
        <w:r w:rsidR="00830685">
          <w:rPr>
            <w:webHidden/>
          </w:rPr>
        </w:r>
        <w:r w:rsidR="00830685">
          <w:rPr>
            <w:webHidden/>
          </w:rPr>
          <w:fldChar w:fldCharType="separate"/>
        </w:r>
        <w:r w:rsidR="00830685">
          <w:rPr>
            <w:webHidden/>
          </w:rPr>
          <w:t>68</w:t>
        </w:r>
        <w:r w:rsidR="00830685">
          <w:rPr>
            <w:webHidden/>
          </w:rPr>
          <w:fldChar w:fldCharType="end"/>
        </w:r>
      </w:hyperlink>
    </w:p>
    <w:p w14:paraId="292CE12E" w14:textId="20AA11FB" w:rsidR="00830685" w:rsidRDefault="00C430DF">
      <w:pPr>
        <w:pStyle w:val="TOC2"/>
        <w:rPr>
          <w:rFonts w:asciiTheme="minorHAnsi" w:eastAsiaTheme="minorEastAsia" w:hAnsiTheme="minorHAnsi" w:cstheme="minorBidi"/>
          <w:bCs w:val="0"/>
          <w:sz w:val="22"/>
          <w:szCs w:val="22"/>
          <w:lang w:eastAsia="zh-CN" w:bidi="ar-SA"/>
        </w:rPr>
      </w:pPr>
      <w:hyperlink w:anchor="_Toc112064897" w:history="1">
        <w:r w:rsidR="00830685" w:rsidRPr="00B97A88">
          <w:rPr>
            <w:rStyle w:val="af8"/>
          </w:rPr>
          <w:t>8.1</w:t>
        </w:r>
        <w:r w:rsidR="00830685">
          <w:rPr>
            <w:rFonts w:asciiTheme="minorHAnsi" w:eastAsiaTheme="minorEastAsia" w:hAnsiTheme="minorHAnsi" w:cstheme="minorBidi"/>
            <w:bCs w:val="0"/>
            <w:sz w:val="22"/>
            <w:szCs w:val="22"/>
            <w:lang w:eastAsia="zh-CN" w:bidi="ar-SA"/>
          </w:rPr>
          <w:tab/>
        </w:r>
        <w:r w:rsidR="00830685" w:rsidRPr="00B97A88">
          <w:rPr>
            <w:rStyle w:val="af8"/>
          </w:rPr>
          <w:t>Efficacy Evaluation Criteria</w:t>
        </w:r>
        <w:r w:rsidR="00830685">
          <w:rPr>
            <w:webHidden/>
          </w:rPr>
          <w:tab/>
        </w:r>
        <w:r w:rsidR="00830685">
          <w:rPr>
            <w:webHidden/>
          </w:rPr>
          <w:fldChar w:fldCharType="begin"/>
        </w:r>
        <w:r w:rsidR="00830685">
          <w:rPr>
            <w:webHidden/>
          </w:rPr>
          <w:instrText xml:space="preserve"> PAGEREF _Toc112064897 \h </w:instrText>
        </w:r>
        <w:r w:rsidR="00830685">
          <w:rPr>
            <w:webHidden/>
          </w:rPr>
        </w:r>
        <w:r w:rsidR="00830685">
          <w:rPr>
            <w:webHidden/>
          </w:rPr>
          <w:fldChar w:fldCharType="separate"/>
        </w:r>
        <w:r w:rsidR="00830685">
          <w:rPr>
            <w:webHidden/>
          </w:rPr>
          <w:t>68</w:t>
        </w:r>
        <w:r w:rsidR="00830685">
          <w:rPr>
            <w:webHidden/>
          </w:rPr>
          <w:fldChar w:fldCharType="end"/>
        </w:r>
      </w:hyperlink>
    </w:p>
    <w:p w14:paraId="39C76B97" w14:textId="107D263A" w:rsidR="00830685" w:rsidRDefault="00C430DF">
      <w:pPr>
        <w:pStyle w:val="TOC2"/>
        <w:rPr>
          <w:rFonts w:asciiTheme="minorHAnsi" w:eastAsiaTheme="minorEastAsia" w:hAnsiTheme="minorHAnsi" w:cstheme="minorBidi"/>
          <w:bCs w:val="0"/>
          <w:sz w:val="22"/>
          <w:szCs w:val="22"/>
          <w:lang w:eastAsia="zh-CN" w:bidi="ar-SA"/>
        </w:rPr>
      </w:pPr>
      <w:hyperlink w:anchor="_Toc112064898" w:history="1">
        <w:r w:rsidR="00830685" w:rsidRPr="00B97A88">
          <w:rPr>
            <w:rStyle w:val="af8"/>
          </w:rPr>
          <w:t>8.2</w:t>
        </w:r>
        <w:r w:rsidR="00830685">
          <w:rPr>
            <w:rFonts w:asciiTheme="minorHAnsi" w:eastAsiaTheme="minorEastAsia" w:hAnsiTheme="minorHAnsi" w:cstheme="minorBidi"/>
            <w:bCs w:val="0"/>
            <w:sz w:val="22"/>
            <w:szCs w:val="22"/>
            <w:lang w:eastAsia="zh-CN" w:bidi="ar-SA"/>
          </w:rPr>
          <w:tab/>
        </w:r>
        <w:r w:rsidR="00830685" w:rsidRPr="00B97A88">
          <w:rPr>
            <w:rStyle w:val="af8"/>
          </w:rPr>
          <w:t>Effective Assessment Indicators</w:t>
        </w:r>
        <w:r w:rsidR="00830685">
          <w:rPr>
            <w:webHidden/>
          </w:rPr>
          <w:tab/>
        </w:r>
        <w:r w:rsidR="00830685">
          <w:rPr>
            <w:webHidden/>
          </w:rPr>
          <w:fldChar w:fldCharType="begin"/>
        </w:r>
        <w:r w:rsidR="00830685">
          <w:rPr>
            <w:webHidden/>
          </w:rPr>
          <w:instrText xml:space="preserve"> PAGEREF _Toc112064898 \h </w:instrText>
        </w:r>
        <w:r w:rsidR="00830685">
          <w:rPr>
            <w:webHidden/>
          </w:rPr>
        </w:r>
        <w:r w:rsidR="00830685">
          <w:rPr>
            <w:webHidden/>
          </w:rPr>
          <w:fldChar w:fldCharType="separate"/>
        </w:r>
        <w:r w:rsidR="00830685">
          <w:rPr>
            <w:webHidden/>
          </w:rPr>
          <w:t>68</w:t>
        </w:r>
        <w:r w:rsidR="00830685">
          <w:rPr>
            <w:webHidden/>
          </w:rPr>
          <w:fldChar w:fldCharType="end"/>
        </w:r>
      </w:hyperlink>
    </w:p>
    <w:p w14:paraId="32775D71" w14:textId="091B7555" w:rsidR="00830685" w:rsidRDefault="00C430DF">
      <w:pPr>
        <w:pStyle w:val="TOC1"/>
        <w:rPr>
          <w:rFonts w:asciiTheme="minorHAnsi" w:eastAsiaTheme="minorEastAsia" w:hAnsiTheme="minorHAnsi" w:cstheme="minorBidi"/>
          <w:b w:val="0"/>
          <w:bCs w:val="0"/>
          <w:sz w:val="22"/>
          <w:szCs w:val="22"/>
          <w:lang w:eastAsia="zh-CN" w:bidi="ar-SA"/>
        </w:rPr>
      </w:pPr>
      <w:hyperlink w:anchor="_Toc112064899" w:history="1">
        <w:r w:rsidR="00830685" w:rsidRPr="00B97A88">
          <w:rPr>
            <w:rStyle w:val="af8"/>
          </w:rPr>
          <w:t>9</w:t>
        </w:r>
        <w:r w:rsidR="00830685">
          <w:rPr>
            <w:rFonts w:asciiTheme="minorHAnsi" w:eastAsiaTheme="minorEastAsia" w:hAnsiTheme="minorHAnsi" w:cstheme="minorBidi"/>
            <w:b w:val="0"/>
            <w:bCs w:val="0"/>
            <w:sz w:val="22"/>
            <w:szCs w:val="22"/>
            <w:lang w:eastAsia="zh-CN" w:bidi="ar-SA"/>
          </w:rPr>
          <w:tab/>
        </w:r>
        <w:r w:rsidR="00830685" w:rsidRPr="00B97A88">
          <w:rPr>
            <w:rStyle w:val="af8"/>
          </w:rPr>
          <w:t>PHARMACOKINETICS</w:t>
        </w:r>
        <w:r w:rsidR="00830685">
          <w:rPr>
            <w:webHidden/>
          </w:rPr>
          <w:tab/>
        </w:r>
        <w:r w:rsidR="00830685">
          <w:rPr>
            <w:webHidden/>
          </w:rPr>
          <w:fldChar w:fldCharType="begin"/>
        </w:r>
        <w:r w:rsidR="00830685">
          <w:rPr>
            <w:webHidden/>
          </w:rPr>
          <w:instrText xml:space="preserve"> PAGEREF _Toc112064899 \h </w:instrText>
        </w:r>
        <w:r w:rsidR="00830685">
          <w:rPr>
            <w:webHidden/>
          </w:rPr>
        </w:r>
        <w:r w:rsidR="00830685">
          <w:rPr>
            <w:webHidden/>
          </w:rPr>
          <w:fldChar w:fldCharType="separate"/>
        </w:r>
        <w:r w:rsidR="00830685">
          <w:rPr>
            <w:webHidden/>
          </w:rPr>
          <w:t>69</w:t>
        </w:r>
        <w:r w:rsidR="00830685">
          <w:rPr>
            <w:webHidden/>
          </w:rPr>
          <w:fldChar w:fldCharType="end"/>
        </w:r>
      </w:hyperlink>
    </w:p>
    <w:p w14:paraId="28488CDF" w14:textId="6FE90B5D" w:rsidR="00830685" w:rsidRDefault="00C430DF">
      <w:pPr>
        <w:pStyle w:val="TOC2"/>
        <w:rPr>
          <w:rFonts w:asciiTheme="minorHAnsi" w:eastAsiaTheme="minorEastAsia" w:hAnsiTheme="minorHAnsi" w:cstheme="minorBidi"/>
          <w:bCs w:val="0"/>
          <w:sz w:val="22"/>
          <w:szCs w:val="22"/>
          <w:lang w:eastAsia="zh-CN" w:bidi="ar-SA"/>
        </w:rPr>
      </w:pPr>
      <w:hyperlink w:anchor="_Toc112064900" w:history="1">
        <w:r w:rsidR="00830685" w:rsidRPr="00B97A88">
          <w:rPr>
            <w:rStyle w:val="af8"/>
          </w:rPr>
          <w:t>9.1</w:t>
        </w:r>
        <w:r w:rsidR="00830685">
          <w:rPr>
            <w:rFonts w:asciiTheme="minorHAnsi" w:eastAsiaTheme="minorEastAsia" w:hAnsiTheme="minorHAnsi" w:cstheme="minorBidi"/>
            <w:bCs w:val="0"/>
            <w:sz w:val="22"/>
            <w:szCs w:val="22"/>
            <w:lang w:eastAsia="zh-CN" w:bidi="ar-SA"/>
          </w:rPr>
          <w:tab/>
        </w:r>
        <w:r w:rsidR="00830685" w:rsidRPr="00B97A88">
          <w:rPr>
            <w:rStyle w:val="af8"/>
          </w:rPr>
          <w:t>Pharmacokinetics Evaluation Indicators</w:t>
        </w:r>
        <w:r w:rsidR="00830685">
          <w:rPr>
            <w:webHidden/>
          </w:rPr>
          <w:tab/>
        </w:r>
        <w:r w:rsidR="00830685">
          <w:rPr>
            <w:webHidden/>
          </w:rPr>
          <w:fldChar w:fldCharType="begin"/>
        </w:r>
        <w:r w:rsidR="00830685">
          <w:rPr>
            <w:webHidden/>
          </w:rPr>
          <w:instrText xml:space="preserve"> PAGEREF _Toc112064900 \h </w:instrText>
        </w:r>
        <w:r w:rsidR="00830685">
          <w:rPr>
            <w:webHidden/>
          </w:rPr>
        </w:r>
        <w:r w:rsidR="00830685">
          <w:rPr>
            <w:webHidden/>
          </w:rPr>
          <w:fldChar w:fldCharType="separate"/>
        </w:r>
        <w:r w:rsidR="00830685">
          <w:rPr>
            <w:webHidden/>
          </w:rPr>
          <w:t>69</w:t>
        </w:r>
        <w:r w:rsidR="00830685">
          <w:rPr>
            <w:webHidden/>
          </w:rPr>
          <w:fldChar w:fldCharType="end"/>
        </w:r>
      </w:hyperlink>
    </w:p>
    <w:p w14:paraId="0251122B" w14:textId="2514AF55" w:rsidR="00830685" w:rsidRDefault="00C430DF">
      <w:pPr>
        <w:pStyle w:val="TOC2"/>
        <w:rPr>
          <w:rFonts w:asciiTheme="minorHAnsi" w:eastAsiaTheme="minorEastAsia" w:hAnsiTheme="minorHAnsi" w:cstheme="minorBidi"/>
          <w:bCs w:val="0"/>
          <w:sz w:val="22"/>
          <w:szCs w:val="22"/>
          <w:lang w:eastAsia="zh-CN" w:bidi="ar-SA"/>
        </w:rPr>
      </w:pPr>
      <w:hyperlink w:anchor="_Toc112064901" w:history="1">
        <w:r w:rsidR="00830685" w:rsidRPr="00B97A88">
          <w:rPr>
            <w:rStyle w:val="af8"/>
          </w:rPr>
          <w:t>9.2</w:t>
        </w:r>
        <w:r w:rsidR="00830685">
          <w:rPr>
            <w:rFonts w:asciiTheme="minorHAnsi" w:eastAsiaTheme="minorEastAsia" w:hAnsiTheme="minorHAnsi" w:cstheme="minorBidi"/>
            <w:bCs w:val="0"/>
            <w:sz w:val="22"/>
            <w:szCs w:val="22"/>
            <w:lang w:eastAsia="zh-CN" w:bidi="ar-SA"/>
          </w:rPr>
          <w:tab/>
        </w:r>
        <w:r w:rsidR="00830685" w:rsidRPr="00B97A88">
          <w:rPr>
            <w:rStyle w:val="af8"/>
          </w:rPr>
          <w:t>Pharmacokinetic Blood Sample Test</w:t>
        </w:r>
        <w:r w:rsidR="00830685">
          <w:rPr>
            <w:webHidden/>
          </w:rPr>
          <w:tab/>
        </w:r>
        <w:r w:rsidR="00830685">
          <w:rPr>
            <w:webHidden/>
          </w:rPr>
          <w:fldChar w:fldCharType="begin"/>
        </w:r>
        <w:r w:rsidR="00830685">
          <w:rPr>
            <w:webHidden/>
          </w:rPr>
          <w:instrText xml:space="preserve"> PAGEREF _Toc112064901 \h </w:instrText>
        </w:r>
        <w:r w:rsidR="00830685">
          <w:rPr>
            <w:webHidden/>
          </w:rPr>
        </w:r>
        <w:r w:rsidR="00830685">
          <w:rPr>
            <w:webHidden/>
          </w:rPr>
          <w:fldChar w:fldCharType="separate"/>
        </w:r>
        <w:r w:rsidR="00830685">
          <w:rPr>
            <w:webHidden/>
          </w:rPr>
          <w:t>69</w:t>
        </w:r>
        <w:r w:rsidR="00830685">
          <w:rPr>
            <w:webHidden/>
          </w:rPr>
          <w:fldChar w:fldCharType="end"/>
        </w:r>
      </w:hyperlink>
    </w:p>
    <w:p w14:paraId="7B32B636" w14:textId="7701A97B" w:rsidR="00830685" w:rsidRDefault="00C430DF">
      <w:pPr>
        <w:pStyle w:val="TOC1"/>
        <w:rPr>
          <w:rFonts w:asciiTheme="minorHAnsi" w:eastAsiaTheme="minorEastAsia" w:hAnsiTheme="minorHAnsi" w:cstheme="minorBidi"/>
          <w:b w:val="0"/>
          <w:bCs w:val="0"/>
          <w:sz w:val="22"/>
          <w:szCs w:val="22"/>
          <w:lang w:eastAsia="zh-CN" w:bidi="ar-SA"/>
        </w:rPr>
      </w:pPr>
      <w:hyperlink w:anchor="_Toc112064902" w:history="1">
        <w:r w:rsidR="00830685" w:rsidRPr="00B97A88">
          <w:rPr>
            <w:rStyle w:val="af8"/>
          </w:rPr>
          <w:t>10</w:t>
        </w:r>
        <w:r w:rsidR="00830685">
          <w:rPr>
            <w:rFonts w:asciiTheme="minorHAnsi" w:eastAsiaTheme="minorEastAsia" w:hAnsiTheme="minorHAnsi" w:cstheme="minorBidi"/>
            <w:b w:val="0"/>
            <w:bCs w:val="0"/>
            <w:sz w:val="22"/>
            <w:szCs w:val="22"/>
            <w:lang w:eastAsia="zh-CN" w:bidi="ar-SA"/>
          </w:rPr>
          <w:tab/>
        </w:r>
        <w:r w:rsidR="00830685" w:rsidRPr="00B97A88">
          <w:rPr>
            <w:rStyle w:val="af8"/>
          </w:rPr>
          <w:t>PHARMACODYNAMICS</w:t>
        </w:r>
        <w:r w:rsidR="00830685">
          <w:rPr>
            <w:webHidden/>
          </w:rPr>
          <w:tab/>
        </w:r>
        <w:r w:rsidR="00830685">
          <w:rPr>
            <w:webHidden/>
          </w:rPr>
          <w:fldChar w:fldCharType="begin"/>
        </w:r>
        <w:r w:rsidR="00830685">
          <w:rPr>
            <w:webHidden/>
          </w:rPr>
          <w:instrText xml:space="preserve"> PAGEREF _Toc112064902 \h </w:instrText>
        </w:r>
        <w:r w:rsidR="00830685">
          <w:rPr>
            <w:webHidden/>
          </w:rPr>
        </w:r>
        <w:r w:rsidR="00830685">
          <w:rPr>
            <w:webHidden/>
          </w:rPr>
          <w:fldChar w:fldCharType="separate"/>
        </w:r>
        <w:r w:rsidR="00830685">
          <w:rPr>
            <w:webHidden/>
          </w:rPr>
          <w:t>70</w:t>
        </w:r>
        <w:r w:rsidR="00830685">
          <w:rPr>
            <w:webHidden/>
          </w:rPr>
          <w:fldChar w:fldCharType="end"/>
        </w:r>
      </w:hyperlink>
    </w:p>
    <w:p w14:paraId="63853778" w14:textId="4530A403" w:rsidR="00830685" w:rsidRDefault="00C430DF">
      <w:pPr>
        <w:pStyle w:val="TOC2"/>
        <w:rPr>
          <w:rFonts w:asciiTheme="minorHAnsi" w:eastAsiaTheme="minorEastAsia" w:hAnsiTheme="minorHAnsi" w:cstheme="minorBidi"/>
          <w:bCs w:val="0"/>
          <w:sz w:val="22"/>
          <w:szCs w:val="22"/>
          <w:lang w:eastAsia="zh-CN" w:bidi="ar-SA"/>
        </w:rPr>
      </w:pPr>
      <w:hyperlink w:anchor="_Toc112064903" w:history="1">
        <w:r w:rsidR="00830685" w:rsidRPr="00B97A88">
          <w:rPr>
            <w:rStyle w:val="af8"/>
          </w:rPr>
          <w:t>10.1</w:t>
        </w:r>
        <w:r w:rsidR="00830685">
          <w:rPr>
            <w:rFonts w:asciiTheme="minorHAnsi" w:eastAsiaTheme="minorEastAsia" w:hAnsiTheme="minorHAnsi" w:cstheme="minorBidi"/>
            <w:bCs w:val="0"/>
            <w:sz w:val="22"/>
            <w:szCs w:val="22"/>
            <w:lang w:eastAsia="zh-CN" w:bidi="ar-SA"/>
          </w:rPr>
          <w:tab/>
        </w:r>
        <w:r w:rsidR="00830685" w:rsidRPr="00B97A88">
          <w:rPr>
            <w:rStyle w:val="af8"/>
          </w:rPr>
          <w:t>Pharmacodynamic Evaluation Indicators</w:t>
        </w:r>
        <w:r w:rsidR="00830685">
          <w:rPr>
            <w:webHidden/>
          </w:rPr>
          <w:tab/>
        </w:r>
        <w:r w:rsidR="00830685">
          <w:rPr>
            <w:webHidden/>
          </w:rPr>
          <w:fldChar w:fldCharType="begin"/>
        </w:r>
        <w:r w:rsidR="00830685">
          <w:rPr>
            <w:webHidden/>
          </w:rPr>
          <w:instrText xml:space="preserve"> PAGEREF _Toc112064903 \h </w:instrText>
        </w:r>
        <w:r w:rsidR="00830685">
          <w:rPr>
            <w:webHidden/>
          </w:rPr>
        </w:r>
        <w:r w:rsidR="00830685">
          <w:rPr>
            <w:webHidden/>
          </w:rPr>
          <w:fldChar w:fldCharType="separate"/>
        </w:r>
        <w:r w:rsidR="00830685">
          <w:rPr>
            <w:webHidden/>
          </w:rPr>
          <w:t>70</w:t>
        </w:r>
        <w:r w:rsidR="00830685">
          <w:rPr>
            <w:webHidden/>
          </w:rPr>
          <w:fldChar w:fldCharType="end"/>
        </w:r>
      </w:hyperlink>
    </w:p>
    <w:p w14:paraId="08ADDF1F" w14:textId="7DA81922" w:rsidR="00830685" w:rsidRDefault="00C430DF">
      <w:pPr>
        <w:pStyle w:val="TOC2"/>
        <w:rPr>
          <w:rFonts w:asciiTheme="minorHAnsi" w:eastAsiaTheme="minorEastAsia" w:hAnsiTheme="minorHAnsi" w:cstheme="minorBidi"/>
          <w:bCs w:val="0"/>
          <w:sz w:val="22"/>
          <w:szCs w:val="22"/>
          <w:lang w:eastAsia="zh-CN" w:bidi="ar-SA"/>
        </w:rPr>
      </w:pPr>
      <w:hyperlink w:anchor="_Toc112064904" w:history="1">
        <w:r w:rsidR="00830685" w:rsidRPr="00B97A88">
          <w:rPr>
            <w:rStyle w:val="af8"/>
          </w:rPr>
          <w:t>10.2</w:t>
        </w:r>
        <w:r w:rsidR="00830685">
          <w:rPr>
            <w:rFonts w:asciiTheme="minorHAnsi" w:eastAsiaTheme="minorEastAsia" w:hAnsiTheme="minorHAnsi" w:cstheme="minorBidi"/>
            <w:bCs w:val="0"/>
            <w:sz w:val="22"/>
            <w:szCs w:val="22"/>
            <w:lang w:eastAsia="zh-CN" w:bidi="ar-SA"/>
          </w:rPr>
          <w:tab/>
        </w:r>
        <w:r w:rsidR="00830685" w:rsidRPr="00B97A88">
          <w:rPr>
            <w:rStyle w:val="af8"/>
          </w:rPr>
          <w:t>Pharmacodynamic blood sample Test</w:t>
        </w:r>
        <w:r w:rsidR="00830685">
          <w:rPr>
            <w:webHidden/>
          </w:rPr>
          <w:tab/>
        </w:r>
        <w:r w:rsidR="00830685">
          <w:rPr>
            <w:webHidden/>
          </w:rPr>
          <w:fldChar w:fldCharType="begin"/>
        </w:r>
        <w:r w:rsidR="00830685">
          <w:rPr>
            <w:webHidden/>
          </w:rPr>
          <w:instrText xml:space="preserve"> PAGEREF _Toc112064904 \h </w:instrText>
        </w:r>
        <w:r w:rsidR="00830685">
          <w:rPr>
            <w:webHidden/>
          </w:rPr>
        </w:r>
        <w:r w:rsidR="00830685">
          <w:rPr>
            <w:webHidden/>
          </w:rPr>
          <w:fldChar w:fldCharType="separate"/>
        </w:r>
        <w:r w:rsidR="00830685">
          <w:rPr>
            <w:webHidden/>
          </w:rPr>
          <w:t>70</w:t>
        </w:r>
        <w:r w:rsidR="00830685">
          <w:rPr>
            <w:webHidden/>
          </w:rPr>
          <w:fldChar w:fldCharType="end"/>
        </w:r>
      </w:hyperlink>
    </w:p>
    <w:p w14:paraId="11556AA7" w14:textId="0DE104B8" w:rsidR="00830685" w:rsidRDefault="00C430DF">
      <w:pPr>
        <w:pStyle w:val="TOC1"/>
        <w:rPr>
          <w:rFonts w:asciiTheme="minorHAnsi" w:eastAsiaTheme="minorEastAsia" w:hAnsiTheme="minorHAnsi" w:cstheme="minorBidi"/>
          <w:b w:val="0"/>
          <w:bCs w:val="0"/>
          <w:sz w:val="22"/>
          <w:szCs w:val="22"/>
          <w:lang w:eastAsia="zh-CN" w:bidi="ar-SA"/>
        </w:rPr>
      </w:pPr>
      <w:hyperlink w:anchor="_Toc112064905" w:history="1">
        <w:r w:rsidR="00830685" w:rsidRPr="00B97A88">
          <w:rPr>
            <w:rStyle w:val="af8"/>
          </w:rPr>
          <w:t>11</w:t>
        </w:r>
        <w:r w:rsidR="00830685">
          <w:rPr>
            <w:rFonts w:asciiTheme="minorHAnsi" w:eastAsiaTheme="minorEastAsia" w:hAnsiTheme="minorHAnsi" w:cstheme="minorBidi"/>
            <w:b w:val="0"/>
            <w:bCs w:val="0"/>
            <w:sz w:val="22"/>
            <w:szCs w:val="22"/>
            <w:lang w:eastAsia="zh-CN" w:bidi="ar-SA"/>
          </w:rPr>
          <w:tab/>
        </w:r>
        <w:r w:rsidR="00830685" w:rsidRPr="00B97A88">
          <w:rPr>
            <w:rStyle w:val="af8"/>
          </w:rPr>
          <w:t>Quality of Life Assessment</w:t>
        </w:r>
        <w:r w:rsidR="00830685">
          <w:rPr>
            <w:webHidden/>
          </w:rPr>
          <w:tab/>
        </w:r>
        <w:r w:rsidR="00830685">
          <w:rPr>
            <w:webHidden/>
          </w:rPr>
          <w:fldChar w:fldCharType="begin"/>
        </w:r>
        <w:r w:rsidR="00830685">
          <w:rPr>
            <w:webHidden/>
          </w:rPr>
          <w:instrText xml:space="preserve"> PAGEREF _Toc112064905 \h </w:instrText>
        </w:r>
        <w:r w:rsidR="00830685">
          <w:rPr>
            <w:webHidden/>
          </w:rPr>
        </w:r>
        <w:r w:rsidR="00830685">
          <w:rPr>
            <w:webHidden/>
          </w:rPr>
          <w:fldChar w:fldCharType="separate"/>
        </w:r>
        <w:r w:rsidR="00830685">
          <w:rPr>
            <w:webHidden/>
          </w:rPr>
          <w:t>71</w:t>
        </w:r>
        <w:r w:rsidR="00830685">
          <w:rPr>
            <w:webHidden/>
          </w:rPr>
          <w:fldChar w:fldCharType="end"/>
        </w:r>
      </w:hyperlink>
    </w:p>
    <w:p w14:paraId="14E93999" w14:textId="56B34657" w:rsidR="00830685" w:rsidRDefault="00C430DF">
      <w:pPr>
        <w:pStyle w:val="TOC1"/>
        <w:rPr>
          <w:rFonts w:asciiTheme="minorHAnsi" w:eastAsiaTheme="minorEastAsia" w:hAnsiTheme="minorHAnsi" w:cstheme="minorBidi"/>
          <w:b w:val="0"/>
          <w:bCs w:val="0"/>
          <w:sz w:val="22"/>
          <w:szCs w:val="22"/>
          <w:lang w:eastAsia="zh-CN" w:bidi="ar-SA"/>
        </w:rPr>
      </w:pPr>
      <w:hyperlink w:anchor="_Toc112064906" w:history="1">
        <w:r w:rsidR="00830685" w:rsidRPr="00B97A88">
          <w:rPr>
            <w:rStyle w:val="af8"/>
          </w:rPr>
          <w:t>12</w:t>
        </w:r>
        <w:r w:rsidR="00830685">
          <w:rPr>
            <w:rFonts w:asciiTheme="minorHAnsi" w:eastAsiaTheme="minorEastAsia" w:hAnsiTheme="minorHAnsi" w:cstheme="minorBidi"/>
            <w:b w:val="0"/>
            <w:bCs w:val="0"/>
            <w:sz w:val="22"/>
            <w:szCs w:val="22"/>
            <w:lang w:eastAsia="zh-CN" w:bidi="ar-SA"/>
          </w:rPr>
          <w:tab/>
        </w:r>
        <w:r w:rsidR="00830685" w:rsidRPr="00B97A88">
          <w:rPr>
            <w:rStyle w:val="af8"/>
          </w:rPr>
          <w:t>Immune Status of the Patients</w:t>
        </w:r>
        <w:r w:rsidR="00830685">
          <w:rPr>
            <w:webHidden/>
          </w:rPr>
          <w:tab/>
        </w:r>
        <w:r w:rsidR="00830685">
          <w:rPr>
            <w:webHidden/>
          </w:rPr>
          <w:fldChar w:fldCharType="begin"/>
        </w:r>
        <w:r w:rsidR="00830685">
          <w:rPr>
            <w:webHidden/>
          </w:rPr>
          <w:instrText xml:space="preserve"> PAGEREF _Toc112064906 \h </w:instrText>
        </w:r>
        <w:r w:rsidR="00830685">
          <w:rPr>
            <w:webHidden/>
          </w:rPr>
        </w:r>
        <w:r w:rsidR="00830685">
          <w:rPr>
            <w:webHidden/>
          </w:rPr>
          <w:fldChar w:fldCharType="separate"/>
        </w:r>
        <w:r w:rsidR="00830685">
          <w:rPr>
            <w:webHidden/>
          </w:rPr>
          <w:t>72</w:t>
        </w:r>
        <w:r w:rsidR="00830685">
          <w:rPr>
            <w:webHidden/>
          </w:rPr>
          <w:fldChar w:fldCharType="end"/>
        </w:r>
      </w:hyperlink>
    </w:p>
    <w:p w14:paraId="52536D82" w14:textId="6DBCE466" w:rsidR="00830685" w:rsidRDefault="00C430DF">
      <w:pPr>
        <w:pStyle w:val="TOC1"/>
        <w:rPr>
          <w:rFonts w:asciiTheme="minorHAnsi" w:eastAsiaTheme="minorEastAsia" w:hAnsiTheme="minorHAnsi" w:cstheme="minorBidi"/>
          <w:b w:val="0"/>
          <w:bCs w:val="0"/>
          <w:sz w:val="22"/>
          <w:szCs w:val="22"/>
          <w:lang w:eastAsia="zh-CN" w:bidi="ar-SA"/>
        </w:rPr>
      </w:pPr>
      <w:hyperlink w:anchor="_Toc112064907" w:history="1">
        <w:r w:rsidR="00830685" w:rsidRPr="00B97A88">
          <w:rPr>
            <w:rStyle w:val="af8"/>
          </w:rPr>
          <w:t>13</w:t>
        </w:r>
        <w:r w:rsidR="00830685">
          <w:rPr>
            <w:rFonts w:asciiTheme="minorHAnsi" w:eastAsiaTheme="minorEastAsia" w:hAnsiTheme="minorHAnsi" w:cstheme="minorBidi"/>
            <w:b w:val="0"/>
            <w:bCs w:val="0"/>
            <w:sz w:val="22"/>
            <w:szCs w:val="22"/>
            <w:lang w:eastAsia="zh-CN" w:bidi="ar-SA"/>
          </w:rPr>
          <w:tab/>
        </w:r>
        <w:r w:rsidR="00830685" w:rsidRPr="00B97A88">
          <w:rPr>
            <w:rStyle w:val="af8"/>
          </w:rPr>
          <w:t>STATISTICAL ANALYSIS</w:t>
        </w:r>
        <w:r w:rsidR="00830685">
          <w:rPr>
            <w:webHidden/>
          </w:rPr>
          <w:tab/>
        </w:r>
        <w:r w:rsidR="00830685">
          <w:rPr>
            <w:webHidden/>
          </w:rPr>
          <w:fldChar w:fldCharType="begin"/>
        </w:r>
        <w:r w:rsidR="00830685">
          <w:rPr>
            <w:webHidden/>
          </w:rPr>
          <w:instrText xml:space="preserve"> PAGEREF _Toc112064907 \h </w:instrText>
        </w:r>
        <w:r w:rsidR="00830685">
          <w:rPr>
            <w:webHidden/>
          </w:rPr>
        </w:r>
        <w:r w:rsidR="00830685">
          <w:rPr>
            <w:webHidden/>
          </w:rPr>
          <w:fldChar w:fldCharType="separate"/>
        </w:r>
        <w:r w:rsidR="00830685">
          <w:rPr>
            <w:webHidden/>
          </w:rPr>
          <w:t>73</w:t>
        </w:r>
        <w:r w:rsidR="00830685">
          <w:rPr>
            <w:webHidden/>
          </w:rPr>
          <w:fldChar w:fldCharType="end"/>
        </w:r>
      </w:hyperlink>
    </w:p>
    <w:p w14:paraId="659D06A4" w14:textId="6282ACB8" w:rsidR="00830685" w:rsidRDefault="00C430DF">
      <w:pPr>
        <w:pStyle w:val="TOC2"/>
        <w:rPr>
          <w:rFonts w:asciiTheme="minorHAnsi" w:eastAsiaTheme="minorEastAsia" w:hAnsiTheme="minorHAnsi" w:cstheme="minorBidi"/>
          <w:bCs w:val="0"/>
          <w:sz w:val="22"/>
          <w:szCs w:val="22"/>
          <w:lang w:eastAsia="zh-CN" w:bidi="ar-SA"/>
        </w:rPr>
      </w:pPr>
      <w:hyperlink w:anchor="_Toc112064908" w:history="1">
        <w:r w:rsidR="00830685" w:rsidRPr="00B97A88">
          <w:rPr>
            <w:rStyle w:val="af8"/>
            <w:lang w:val="en"/>
          </w:rPr>
          <w:t>13.1</w:t>
        </w:r>
        <w:r w:rsidR="00830685">
          <w:rPr>
            <w:rFonts w:asciiTheme="minorHAnsi" w:eastAsiaTheme="minorEastAsia" w:hAnsiTheme="minorHAnsi" w:cstheme="minorBidi"/>
            <w:bCs w:val="0"/>
            <w:sz w:val="22"/>
            <w:szCs w:val="22"/>
            <w:lang w:eastAsia="zh-CN" w:bidi="ar-SA"/>
          </w:rPr>
          <w:tab/>
        </w:r>
        <w:r w:rsidR="00830685" w:rsidRPr="00B97A88">
          <w:rPr>
            <w:rStyle w:val="af8"/>
            <w:lang w:val="en"/>
          </w:rPr>
          <w:t>General Methods</w:t>
        </w:r>
        <w:r w:rsidR="00830685">
          <w:rPr>
            <w:webHidden/>
          </w:rPr>
          <w:tab/>
        </w:r>
        <w:r w:rsidR="00830685">
          <w:rPr>
            <w:webHidden/>
          </w:rPr>
          <w:fldChar w:fldCharType="begin"/>
        </w:r>
        <w:r w:rsidR="00830685">
          <w:rPr>
            <w:webHidden/>
          </w:rPr>
          <w:instrText xml:space="preserve"> PAGEREF _Toc112064908 \h </w:instrText>
        </w:r>
        <w:r w:rsidR="00830685">
          <w:rPr>
            <w:webHidden/>
          </w:rPr>
        </w:r>
        <w:r w:rsidR="00830685">
          <w:rPr>
            <w:webHidden/>
          </w:rPr>
          <w:fldChar w:fldCharType="separate"/>
        </w:r>
        <w:r w:rsidR="00830685">
          <w:rPr>
            <w:webHidden/>
          </w:rPr>
          <w:t>73</w:t>
        </w:r>
        <w:r w:rsidR="00830685">
          <w:rPr>
            <w:webHidden/>
          </w:rPr>
          <w:fldChar w:fldCharType="end"/>
        </w:r>
      </w:hyperlink>
    </w:p>
    <w:p w14:paraId="5414A96E" w14:textId="665C83AD" w:rsidR="00830685" w:rsidRDefault="00C430DF">
      <w:pPr>
        <w:pStyle w:val="TOC2"/>
        <w:rPr>
          <w:rFonts w:asciiTheme="minorHAnsi" w:eastAsiaTheme="minorEastAsia" w:hAnsiTheme="minorHAnsi" w:cstheme="minorBidi"/>
          <w:bCs w:val="0"/>
          <w:sz w:val="22"/>
          <w:szCs w:val="22"/>
          <w:lang w:eastAsia="zh-CN" w:bidi="ar-SA"/>
        </w:rPr>
      </w:pPr>
      <w:hyperlink w:anchor="_Toc112064909" w:history="1">
        <w:r w:rsidR="00830685" w:rsidRPr="00B97A88">
          <w:rPr>
            <w:rStyle w:val="af8"/>
          </w:rPr>
          <w:t>13.2</w:t>
        </w:r>
        <w:r w:rsidR="00830685">
          <w:rPr>
            <w:rFonts w:asciiTheme="minorHAnsi" w:eastAsiaTheme="minorEastAsia" w:hAnsiTheme="minorHAnsi" w:cstheme="minorBidi"/>
            <w:bCs w:val="0"/>
            <w:sz w:val="22"/>
            <w:szCs w:val="22"/>
            <w:lang w:eastAsia="zh-CN" w:bidi="ar-SA"/>
          </w:rPr>
          <w:tab/>
        </w:r>
        <w:r w:rsidR="00830685" w:rsidRPr="00B97A88">
          <w:rPr>
            <w:rStyle w:val="af8"/>
          </w:rPr>
          <w:t xml:space="preserve">Sample </w:t>
        </w:r>
        <w:r w:rsidR="00830685" w:rsidRPr="00B97A88">
          <w:rPr>
            <w:rStyle w:val="af8"/>
            <w:lang w:eastAsia="zh-CN"/>
          </w:rPr>
          <w:t>S</w:t>
        </w:r>
        <w:r w:rsidR="00830685" w:rsidRPr="00B97A88">
          <w:rPr>
            <w:rStyle w:val="af8"/>
          </w:rPr>
          <w:t>ize</w:t>
        </w:r>
        <w:r w:rsidR="00830685">
          <w:rPr>
            <w:webHidden/>
          </w:rPr>
          <w:tab/>
        </w:r>
        <w:r w:rsidR="00830685">
          <w:rPr>
            <w:webHidden/>
          </w:rPr>
          <w:fldChar w:fldCharType="begin"/>
        </w:r>
        <w:r w:rsidR="00830685">
          <w:rPr>
            <w:webHidden/>
          </w:rPr>
          <w:instrText xml:space="preserve"> PAGEREF _Toc112064909 \h </w:instrText>
        </w:r>
        <w:r w:rsidR="00830685">
          <w:rPr>
            <w:webHidden/>
          </w:rPr>
        </w:r>
        <w:r w:rsidR="00830685">
          <w:rPr>
            <w:webHidden/>
          </w:rPr>
          <w:fldChar w:fldCharType="separate"/>
        </w:r>
        <w:r w:rsidR="00830685">
          <w:rPr>
            <w:webHidden/>
          </w:rPr>
          <w:t>73</w:t>
        </w:r>
        <w:r w:rsidR="00830685">
          <w:rPr>
            <w:webHidden/>
          </w:rPr>
          <w:fldChar w:fldCharType="end"/>
        </w:r>
      </w:hyperlink>
    </w:p>
    <w:p w14:paraId="37B4B15C" w14:textId="3AD4114A" w:rsidR="00830685" w:rsidRDefault="00C430DF">
      <w:pPr>
        <w:pStyle w:val="TOC2"/>
        <w:rPr>
          <w:rFonts w:asciiTheme="minorHAnsi" w:eastAsiaTheme="minorEastAsia" w:hAnsiTheme="minorHAnsi" w:cstheme="minorBidi"/>
          <w:bCs w:val="0"/>
          <w:sz w:val="22"/>
          <w:szCs w:val="22"/>
          <w:lang w:eastAsia="zh-CN" w:bidi="ar-SA"/>
        </w:rPr>
      </w:pPr>
      <w:hyperlink w:anchor="_Toc112064910" w:history="1">
        <w:r w:rsidR="00830685" w:rsidRPr="00B97A88">
          <w:rPr>
            <w:rStyle w:val="af8"/>
            <w:lang w:val="en"/>
          </w:rPr>
          <w:t>13.3</w:t>
        </w:r>
        <w:r w:rsidR="00830685">
          <w:rPr>
            <w:rFonts w:asciiTheme="minorHAnsi" w:eastAsiaTheme="minorEastAsia" w:hAnsiTheme="minorHAnsi" w:cstheme="minorBidi"/>
            <w:bCs w:val="0"/>
            <w:sz w:val="22"/>
            <w:szCs w:val="22"/>
            <w:lang w:eastAsia="zh-CN" w:bidi="ar-SA"/>
          </w:rPr>
          <w:tab/>
        </w:r>
        <w:r w:rsidR="00830685" w:rsidRPr="00B97A88">
          <w:rPr>
            <w:rStyle w:val="af8"/>
            <w:lang w:val="en"/>
          </w:rPr>
          <w:t>Analysis Populations</w:t>
        </w:r>
        <w:r w:rsidR="00830685">
          <w:rPr>
            <w:webHidden/>
          </w:rPr>
          <w:tab/>
        </w:r>
        <w:r w:rsidR="00830685">
          <w:rPr>
            <w:webHidden/>
          </w:rPr>
          <w:fldChar w:fldCharType="begin"/>
        </w:r>
        <w:r w:rsidR="00830685">
          <w:rPr>
            <w:webHidden/>
          </w:rPr>
          <w:instrText xml:space="preserve"> PAGEREF _Toc112064910 \h </w:instrText>
        </w:r>
        <w:r w:rsidR="00830685">
          <w:rPr>
            <w:webHidden/>
          </w:rPr>
        </w:r>
        <w:r w:rsidR="00830685">
          <w:rPr>
            <w:webHidden/>
          </w:rPr>
          <w:fldChar w:fldCharType="separate"/>
        </w:r>
        <w:r w:rsidR="00830685">
          <w:rPr>
            <w:webHidden/>
          </w:rPr>
          <w:t>73</w:t>
        </w:r>
        <w:r w:rsidR="00830685">
          <w:rPr>
            <w:webHidden/>
          </w:rPr>
          <w:fldChar w:fldCharType="end"/>
        </w:r>
      </w:hyperlink>
    </w:p>
    <w:p w14:paraId="2A04EC71" w14:textId="73E6A4FA" w:rsidR="00830685" w:rsidRDefault="00C430DF">
      <w:pPr>
        <w:pStyle w:val="TOC2"/>
        <w:rPr>
          <w:rFonts w:asciiTheme="minorHAnsi" w:eastAsiaTheme="minorEastAsia" w:hAnsiTheme="minorHAnsi" w:cstheme="minorBidi"/>
          <w:bCs w:val="0"/>
          <w:sz w:val="22"/>
          <w:szCs w:val="22"/>
          <w:lang w:eastAsia="zh-CN" w:bidi="ar-SA"/>
        </w:rPr>
      </w:pPr>
      <w:hyperlink w:anchor="_Toc112064911" w:history="1">
        <w:r w:rsidR="00830685" w:rsidRPr="00B97A88">
          <w:rPr>
            <w:rStyle w:val="af8"/>
            <w:lang w:val="en"/>
          </w:rPr>
          <w:t>13.4</w:t>
        </w:r>
        <w:r w:rsidR="00830685">
          <w:rPr>
            <w:rFonts w:asciiTheme="minorHAnsi" w:eastAsiaTheme="minorEastAsia" w:hAnsiTheme="minorHAnsi" w:cstheme="minorBidi"/>
            <w:bCs w:val="0"/>
            <w:sz w:val="22"/>
            <w:szCs w:val="22"/>
            <w:lang w:eastAsia="zh-CN" w:bidi="ar-SA"/>
          </w:rPr>
          <w:tab/>
        </w:r>
        <w:r w:rsidR="00830685" w:rsidRPr="00B97A88">
          <w:rPr>
            <w:rStyle w:val="af8"/>
            <w:lang w:val="en"/>
          </w:rPr>
          <w:t xml:space="preserve">Handling of </w:t>
        </w:r>
        <w:r w:rsidR="00830685" w:rsidRPr="00B97A88">
          <w:rPr>
            <w:rStyle w:val="af8"/>
            <w:lang w:val="en" w:eastAsia="zh-CN"/>
          </w:rPr>
          <w:t>M</w:t>
        </w:r>
        <w:r w:rsidR="00830685" w:rsidRPr="00B97A88">
          <w:rPr>
            <w:rStyle w:val="af8"/>
            <w:lang w:val="en"/>
          </w:rPr>
          <w:t>issing Values</w:t>
        </w:r>
        <w:r w:rsidR="00830685">
          <w:rPr>
            <w:webHidden/>
          </w:rPr>
          <w:tab/>
        </w:r>
        <w:r w:rsidR="00830685">
          <w:rPr>
            <w:webHidden/>
          </w:rPr>
          <w:fldChar w:fldCharType="begin"/>
        </w:r>
        <w:r w:rsidR="00830685">
          <w:rPr>
            <w:webHidden/>
          </w:rPr>
          <w:instrText xml:space="preserve"> PAGEREF _Toc112064911 \h </w:instrText>
        </w:r>
        <w:r w:rsidR="00830685">
          <w:rPr>
            <w:webHidden/>
          </w:rPr>
        </w:r>
        <w:r w:rsidR="00830685">
          <w:rPr>
            <w:webHidden/>
          </w:rPr>
          <w:fldChar w:fldCharType="separate"/>
        </w:r>
        <w:r w:rsidR="00830685">
          <w:rPr>
            <w:webHidden/>
          </w:rPr>
          <w:t>74</w:t>
        </w:r>
        <w:r w:rsidR="00830685">
          <w:rPr>
            <w:webHidden/>
          </w:rPr>
          <w:fldChar w:fldCharType="end"/>
        </w:r>
      </w:hyperlink>
    </w:p>
    <w:p w14:paraId="19EF729C" w14:textId="2904361D" w:rsidR="00830685" w:rsidRDefault="00C430DF">
      <w:pPr>
        <w:pStyle w:val="TOC2"/>
        <w:rPr>
          <w:rFonts w:asciiTheme="minorHAnsi" w:eastAsiaTheme="minorEastAsia" w:hAnsiTheme="minorHAnsi" w:cstheme="minorBidi"/>
          <w:bCs w:val="0"/>
          <w:sz w:val="22"/>
          <w:szCs w:val="22"/>
          <w:lang w:eastAsia="zh-CN" w:bidi="ar-SA"/>
        </w:rPr>
      </w:pPr>
      <w:hyperlink w:anchor="_Toc112064912" w:history="1">
        <w:r w:rsidR="00830685" w:rsidRPr="00B97A88">
          <w:rPr>
            <w:rStyle w:val="af8"/>
            <w:lang w:val="en"/>
          </w:rPr>
          <w:t>13.5</w:t>
        </w:r>
        <w:r w:rsidR="00830685">
          <w:rPr>
            <w:rFonts w:asciiTheme="minorHAnsi" w:eastAsiaTheme="minorEastAsia" w:hAnsiTheme="minorHAnsi" w:cstheme="minorBidi"/>
            <w:bCs w:val="0"/>
            <w:sz w:val="22"/>
            <w:szCs w:val="22"/>
            <w:lang w:eastAsia="zh-CN" w:bidi="ar-SA"/>
          </w:rPr>
          <w:tab/>
        </w:r>
        <w:r w:rsidR="00830685" w:rsidRPr="00B97A88">
          <w:rPr>
            <w:rStyle w:val="af8"/>
            <w:lang w:val="en"/>
          </w:rPr>
          <w:t>Statistical Methodology</w:t>
        </w:r>
        <w:r w:rsidR="00830685">
          <w:rPr>
            <w:webHidden/>
          </w:rPr>
          <w:tab/>
        </w:r>
        <w:r w:rsidR="00830685">
          <w:rPr>
            <w:webHidden/>
          </w:rPr>
          <w:fldChar w:fldCharType="begin"/>
        </w:r>
        <w:r w:rsidR="00830685">
          <w:rPr>
            <w:webHidden/>
          </w:rPr>
          <w:instrText xml:space="preserve"> PAGEREF _Toc112064912 \h </w:instrText>
        </w:r>
        <w:r w:rsidR="00830685">
          <w:rPr>
            <w:webHidden/>
          </w:rPr>
        </w:r>
        <w:r w:rsidR="00830685">
          <w:rPr>
            <w:webHidden/>
          </w:rPr>
          <w:fldChar w:fldCharType="separate"/>
        </w:r>
        <w:r w:rsidR="00830685">
          <w:rPr>
            <w:webHidden/>
          </w:rPr>
          <w:t>74</w:t>
        </w:r>
        <w:r w:rsidR="00830685">
          <w:rPr>
            <w:webHidden/>
          </w:rPr>
          <w:fldChar w:fldCharType="end"/>
        </w:r>
      </w:hyperlink>
    </w:p>
    <w:p w14:paraId="120C900F" w14:textId="514E86F7" w:rsidR="00830685" w:rsidRDefault="00C430DF">
      <w:pPr>
        <w:pStyle w:val="TOC3"/>
        <w:tabs>
          <w:tab w:val="left" w:pos="1310"/>
        </w:tabs>
        <w:rPr>
          <w:rFonts w:asciiTheme="minorHAnsi" w:eastAsiaTheme="minorEastAsia" w:hAnsiTheme="minorHAnsi" w:cstheme="minorBidi"/>
          <w:sz w:val="22"/>
          <w:szCs w:val="22"/>
          <w:lang w:eastAsia="zh-CN" w:bidi="ar-SA"/>
        </w:rPr>
      </w:pPr>
      <w:hyperlink w:anchor="_Toc112064913" w:history="1">
        <w:r w:rsidR="00830685" w:rsidRPr="00B97A88">
          <w:rPr>
            <w:rStyle w:val="af8"/>
          </w:rPr>
          <w:t>13.5.1</w:t>
        </w:r>
        <w:r w:rsidR="00830685">
          <w:rPr>
            <w:rFonts w:asciiTheme="minorHAnsi" w:eastAsiaTheme="minorEastAsia" w:hAnsiTheme="minorHAnsi" w:cstheme="minorBidi"/>
            <w:sz w:val="22"/>
            <w:szCs w:val="22"/>
            <w:lang w:eastAsia="zh-CN" w:bidi="ar-SA"/>
          </w:rPr>
          <w:tab/>
        </w:r>
        <w:r w:rsidR="00830685" w:rsidRPr="00B97A88">
          <w:rPr>
            <w:rStyle w:val="af8"/>
          </w:rPr>
          <w:t>Patient Distribution</w:t>
        </w:r>
        <w:r w:rsidR="00830685">
          <w:rPr>
            <w:webHidden/>
          </w:rPr>
          <w:tab/>
        </w:r>
        <w:r w:rsidR="00830685">
          <w:rPr>
            <w:webHidden/>
          </w:rPr>
          <w:fldChar w:fldCharType="begin"/>
        </w:r>
        <w:r w:rsidR="00830685">
          <w:rPr>
            <w:webHidden/>
          </w:rPr>
          <w:instrText xml:space="preserve"> PAGEREF _Toc112064913 \h </w:instrText>
        </w:r>
        <w:r w:rsidR="00830685">
          <w:rPr>
            <w:webHidden/>
          </w:rPr>
        </w:r>
        <w:r w:rsidR="00830685">
          <w:rPr>
            <w:webHidden/>
          </w:rPr>
          <w:fldChar w:fldCharType="separate"/>
        </w:r>
        <w:r w:rsidR="00830685">
          <w:rPr>
            <w:webHidden/>
          </w:rPr>
          <w:t>74</w:t>
        </w:r>
        <w:r w:rsidR="00830685">
          <w:rPr>
            <w:webHidden/>
          </w:rPr>
          <w:fldChar w:fldCharType="end"/>
        </w:r>
      </w:hyperlink>
    </w:p>
    <w:p w14:paraId="06FF4A92" w14:textId="63F5AE1F" w:rsidR="00830685" w:rsidRDefault="00C430DF">
      <w:pPr>
        <w:pStyle w:val="TOC3"/>
        <w:tabs>
          <w:tab w:val="left" w:pos="1310"/>
        </w:tabs>
        <w:rPr>
          <w:rFonts w:asciiTheme="minorHAnsi" w:eastAsiaTheme="minorEastAsia" w:hAnsiTheme="minorHAnsi" w:cstheme="minorBidi"/>
          <w:sz w:val="22"/>
          <w:szCs w:val="22"/>
          <w:lang w:eastAsia="zh-CN" w:bidi="ar-SA"/>
        </w:rPr>
      </w:pPr>
      <w:hyperlink w:anchor="_Toc112064914" w:history="1">
        <w:r w:rsidR="00830685" w:rsidRPr="00B97A88">
          <w:rPr>
            <w:rStyle w:val="af8"/>
          </w:rPr>
          <w:t>13.5.2</w:t>
        </w:r>
        <w:r w:rsidR="00830685">
          <w:rPr>
            <w:rFonts w:asciiTheme="minorHAnsi" w:eastAsiaTheme="minorEastAsia" w:hAnsiTheme="minorHAnsi" w:cstheme="minorBidi"/>
            <w:sz w:val="22"/>
            <w:szCs w:val="22"/>
            <w:lang w:eastAsia="zh-CN" w:bidi="ar-SA"/>
          </w:rPr>
          <w:tab/>
        </w:r>
        <w:r w:rsidR="00830685" w:rsidRPr="00B97A88">
          <w:rPr>
            <w:rStyle w:val="af8"/>
          </w:rPr>
          <w:t>Demographic Data and Baseline Analysis</w:t>
        </w:r>
        <w:r w:rsidR="00830685">
          <w:rPr>
            <w:webHidden/>
          </w:rPr>
          <w:tab/>
        </w:r>
        <w:r w:rsidR="00830685">
          <w:rPr>
            <w:webHidden/>
          </w:rPr>
          <w:fldChar w:fldCharType="begin"/>
        </w:r>
        <w:r w:rsidR="00830685">
          <w:rPr>
            <w:webHidden/>
          </w:rPr>
          <w:instrText xml:space="preserve"> PAGEREF _Toc112064914 \h </w:instrText>
        </w:r>
        <w:r w:rsidR="00830685">
          <w:rPr>
            <w:webHidden/>
          </w:rPr>
        </w:r>
        <w:r w:rsidR="00830685">
          <w:rPr>
            <w:webHidden/>
          </w:rPr>
          <w:fldChar w:fldCharType="separate"/>
        </w:r>
        <w:r w:rsidR="00830685">
          <w:rPr>
            <w:webHidden/>
          </w:rPr>
          <w:t>75</w:t>
        </w:r>
        <w:r w:rsidR="00830685">
          <w:rPr>
            <w:webHidden/>
          </w:rPr>
          <w:fldChar w:fldCharType="end"/>
        </w:r>
      </w:hyperlink>
    </w:p>
    <w:p w14:paraId="0ADC8295" w14:textId="261967D2" w:rsidR="00830685" w:rsidRDefault="00C430DF">
      <w:pPr>
        <w:pStyle w:val="TOC3"/>
        <w:tabs>
          <w:tab w:val="left" w:pos="1310"/>
        </w:tabs>
        <w:rPr>
          <w:rFonts w:asciiTheme="minorHAnsi" w:eastAsiaTheme="minorEastAsia" w:hAnsiTheme="minorHAnsi" w:cstheme="minorBidi"/>
          <w:sz w:val="22"/>
          <w:szCs w:val="22"/>
          <w:lang w:eastAsia="zh-CN" w:bidi="ar-SA"/>
        </w:rPr>
      </w:pPr>
      <w:hyperlink w:anchor="_Toc112064915" w:history="1">
        <w:r w:rsidR="00830685" w:rsidRPr="00B97A88">
          <w:rPr>
            <w:rStyle w:val="af8"/>
          </w:rPr>
          <w:t>13.5.3</w:t>
        </w:r>
        <w:r w:rsidR="00830685">
          <w:rPr>
            <w:rFonts w:asciiTheme="minorHAnsi" w:eastAsiaTheme="minorEastAsia" w:hAnsiTheme="minorHAnsi" w:cstheme="minorBidi"/>
            <w:sz w:val="22"/>
            <w:szCs w:val="22"/>
            <w:lang w:eastAsia="zh-CN" w:bidi="ar-SA"/>
          </w:rPr>
          <w:tab/>
        </w:r>
        <w:r w:rsidR="00830685" w:rsidRPr="00B97A88">
          <w:rPr>
            <w:rStyle w:val="af8"/>
          </w:rPr>
          <w:t>Analysis of Safety Measures</w:t>
        </w:r>
        <w:r w:rsidR="00830685">
          <w:rPr>
            <w:webHidden/>
          </w:rPr>
          <w:tab/>
        </w:r>
        <w:r w:rsidR="00830685">
          <w:rPr>
            <w:webHidden/>
          </w:rPr>
          <w:fldChar w:fldCharType="begin"/>
        </w:r>
        <w:r w:rsidR="00830685">
          <w:rPr>
            <w:webHidden/>
          </w:rPr>
          <w:instrText xml:space="preserve"> PAGEREF _Toc112064915 \h </w:instrText>
        </w:r>
        <w:r w:rsidR="00830685">
          <w:rPr>
            <w:webHidden/>
          </w:rPr>
        </w:r>
        <w:r w:rsidR="00830685">
          <w:rPr>
            <w:webHidden/>
          </w:rPr>
          <w:fldChar w:fldCharType="separate"/>
        </w:r>
        <w:r w:rsidR="00830685">
          <w:rPr>
            <w:webHidden/>
          </w:rPr>
          <w:t>75</w:t>
        </w:r>
        <w:r w:rsidR="00830685">
          <w:rPr>
            <w:webHidden/>
          </w:rPr>
          <w:fldChar w:fldCharType="end"/>
        </w:r>
      </w:hyperlink>
    </w:p>
    <w:p w14:paraId="488A42CE" w14:textId="1C559EAF" w:rsidR="00830685" w:rsidRDefault="00C430DF">
      <w:pPr>
        <w:pStyle w:val="TOC3"/>
        <w:tabs>
          <w:tab w:val="left" w:pos="1310"/>
        </w:tabs>
        <w:rPr>
          <w:rFonts w:asciiTheme="minorHAnsi" w:eastAsiaTheme="minorEastAsia" w:hAnsiTheme="minorHAnsi" w:cstheme="minorBidi"/>
          <w:sz w:val="22"/>
          <w:szCs w:val="22"/>
          <w:lang w:eastAsia="zh-CN" w:bidi="ar-SA"/>
        </w:rPr>
      </w:pPr>
      <w:hyperlink w:anchor="_Toc112064916" w:history="1">
        <w:r w:rsidR="00830685" w:rsidRPr="00B97A88">
          <w:rPr>
            <w:rStyle w:val="af8"/>
          </w:rPr>
          <w:t>13.5.4</w:t>
        </w:r>
        <w:r w:rsidR="00830685">
          <w:rPr>
            <w:rFonts w:asciiTheme="minorHAnsi" w:eastAsiaTheme="minorEastAsia" w:hAnsiTheme="minorHAnsi" w:cstheme="minorBidi"/>
            <w:sz w:val="22"/>
            <w:szCs w:val="22"/>
            <w:lang w:eastAsia="zh-CN" w:bidi="ar-SA"/>
          </w:rPr>
          <w:tab/>
        </w:r>
        <w:r w:rsidR="00830685" w:rsidRPr="00B97A88">
          <w:rPr>
            <w:rStyle w:val="af8"/>
          </w:rPr>
          <w:t>Efficacy Analysis</w:t>
        </w:r>
        <w:r w:rsidR="00830685">
          <w:rPr>
            <w:webHidden/>
          </w:rPr>
          <w:tab/>
        </w:r>
        <w:r w:rsidR="00830685">
          <w:rPr>
            <w:webHidden/>
          </w:rPr>
          <w:fldChar w:fldCharType="begin"/>
        </w:r>
        <w:r w:rsidR="00830685">
          <w:rPr>
            <w:webHidden/>
          </w:rPr>
          <w:instrText xml:space="preserve"> PAGEREF _Toc112064916 \h </w:instrText>
        </w:r>
        <w:r w:rsidR="00830685">
          <w:rPr>
            <w:webHidden/>
          </w:rPr>
        </w:r>
        <w:r w:rsidR="00830685">
          <w:rPr>
            <w:webHidden/>
          </w:rPr>
          <w:fldChar w:fldCharType="separate"/>
        </w:r>
        <w:r w:rsidR="00830685">
          <w:rPr>
            <w:webHidden/>
          </w:rPr>
          <w:t>76</w:t>
        </w:r>
        <w:r w:rsidR="00830685">
          <w:rPr>
            <w:webHidden/>
          </w:rPr>
          <w:fldChar w:fldCharType="end"/>
        </w:r>
      </w:hyperlink>
    </w:p>
    <w:p w14:paraId="7B31A6E8" w14:textId="146A566F" w:rsidR="00830685" w:rsidRDefault="00C430DF">
      <w:pPr>
        <w:pStyle w:val="TOC3"/>
        <w:tabs>
          <w:tab w:val="left" w:pos="1310"/>
        </w:tabs>
        <w:rPr>
          <w:rFonts w:asciiTheme="minorHAnsi" w:eastAsiaTheme="minorEastAsia" w:hAnsiTheme="minorHAnsi" w:cstheme="minorBidi"/>
          <w:sz w:val="22"/>
          <w:szCs w:val="22"/>
          <w:lang w:eastAsia="zh-CN" w:bidi="ar-SA"/>
        </w:rPr>
      </w:pPr>
      <w:hyperlink w:anchor="_Toc112064917" w:history="1">
        <w:r w:rsidR="00830685" w:rsidRPr="00B97A88">
          <w:rPr>
            <w:rStyle w:val="af8"/>
            <w:lang w:val="en"/>
          </w:rPr>
          <w:t>13.5.5</w:t>
        </w:r>
        <w:r w:rsidR="00830685">
          <w:rPr>
            <w:rFonts w:asciiTheme="minorHAnsi" w:eastAsiaTheme="minorEastAsia" w:hAnsiTheme="minorHAnsi" w:cstheme="minorBidi"/>
            <w:sz w:val="22"/>
            <w:szCs w:val="22"/>
            <w:lang w:eastAsia="zh-CN" w:bidi="ar-SA"/>
          </w:rPr>
          <w:tab/>
        </w:r>
        <w:r w:rsidR="00830685" w:rsidRPr="00B97A88">
          <w:rPr>
            <w:rStyle w:val="af8"/>
            <w:lang w:val="en"/>
          </w:rPr>
          <w:t>PK/PD Analysis</w:t>
        </w:r>
        <w:r w:rsidR="00830685">
          <w:rPr>
            <w:webHidden/>
          </w:rPr>
          <w:tab/>
        </w:r>
        <w:r w:rsidR="00830685">
          <w:rPr>
            <w:webHidden/>
          </w:rPr>
          <w:fldChar w:fldCharType="begin"/>
        </w:r>
        <w:r w:rsidR="00830685">
          <w:rPr>
            <w:webHidden/>
          </w:rPr>
          <w:instrText xml:space="preserve"> PAGEREF _Toc112064917 \h </w:instrText>
        </w:r>
        <w:r w:rsidR="00830685">
          <w:rPr>
            <w:webHidden/>
          </w:rPr>
        </w:r>
        <w:r w:rsidR="00830685">
          <w:rPr>
            <w:webHidden/>
          </w:rPr>
          <w:fldChar w:fldCharType="separate"/>
        </w:r>
        <w:r w:rsidR="00830685">
          <w:rPr>
            <w:webHidden/>
          </w:rPr>
          <w:t>76</w:t>
        </w:r>
        <w:r w:rsidR="00830685">
          <w:rPr>
            <w:webHidden/>
          </w:rPr>
          <w:fldChar w:fldCharType="end"/>
        </w:r>
      </w:hyperlink>
    </w:p>
    <w:p w14:paraId="3ADD1CD3" w14:textId="3FB64034" w:rsidR="00830685" w:rsidRDefault="00C430DF">
      <w:pPr>
        <w:pStyle w:val="TOC3"/>
        <w:tabs>
          <w:tab w:val="left" w:pos="1310"/>
        </w:tabs>
        <w:rPr>
          <w:rFonts w:asciiTheme="minorHAnsi" w:eastAsiaTheme="minorEastAsia" w:hAnsiTheme="minorHAnsi" w:cstheme="minorBidi"/>
          <w:sz w:val="22"/>
          <w:szCs w:val="22"/>
          <w:lang w:eastAsia="zh-CN" w:bidi="ar-SA"/>
        </w:rPr>
      </w:pPr>
      <w:hyperlink w:anchor="_Toc112064918" w:history="1">
        <w:r w:rsidR="00830685" w:rsidRPr="00B97A88">
          <w:rPr>
            <w:rStyle w:val="af8"/>
          </w:rPr>
          <w:t>13.5.6</w:t>
        </w:r>
        <w:r w:rsidR="00830685">
          <w:rPr>
            <w:rFonts w:asciiTheme="minorHAnsi" w:eastAsiaTheme="minorEastAsia" w:hAnsiTheme="minorHAnsi" w:cstheme="minorBidi"/>
            <w:sz w:val="22"/>
            <w:szCs w:val="22"/>
            <w:lang w:eastAsia="zh-CN" w:bidi="ar-SA"/>
          </w:rPr>
          <w:tab/>
        </w:r>
        <w:r w:rsidR="00830685" w:rsidRPr="00B97A88">
          <w:rPr>
            <w:rStyle w:val="af8"/>
          </w:rPr>
          <w:t>Exploratory Analysis</w:t>
        </w:r>
        <w:r w:rsidR="00830685">
          <w:rPr>
            <w:webHidden/>
          </w:rPr>
          <w:tab/>
        </w:r>
        <w:r w:rsidR="00830685">
          <w:rPr>
            <w:webHidden/>
          </w:rPr>
          <w:fldChar w:fldCharType="begin"/>
        </w:r>
        <w:r w:rsidR="00830685">
          <w:rPr>
            <w:webHidden/>
          </w:rPr>
          <w:instrText xml:space="preserve"> PAGEREF _Toc112064918 \h </w:instrText>
        </w:r>
        <w:r w:rsidR="00830685">
          <w:rPr>
            <w:webHidden/>
          </w:rPr>
        </w:r>
        <w:r w:rsidR="00830685">
          <w:rPr>
            <w:webHidden/>
          </w:rPr>
          <w:fldChar w:fldCharType="separate"/>
        </w:r>
        <w:r w:rsidR="00830685">
          <w:rPr>
            <w:webHidden/>
          </w:rPr>
          <w:t>76</w:t>
        </w:r>
        <w:r w:rsidR="00830685">
          <w:rPr>
            <w:webHidden/>
          </w:rPr>
          <w:fldChar w:fldCharType="end"/>
        </w:r>
      </w:hyperlink>
    </w:p>
    <w:p w14:paraId="4FA79EF2" w14:textId="0A852FF1" w:rsidR="00830685" w:rsidRDefault="00C430DF">
      <w:pPr>
        <w:pStyle w:val="TOC2"/>
        <w:rPr>
          <w:rFonts w:asciiTheme="minorHAnsi" w:eastAsiaTheme="minorEastAsia" w:hAnsiTheme="minorHAnsi" w:cstheme="minorBidi"/>
          <w:bCs w:val="0"/>
          <w:sz w:val="22"/>
          <w:szCs w:val="22"/>
          <w:lang w:eastAsia="zh-CN" w:bidi="ar-SA"/>
        </w:rPr>
      </w:pPr>
      <w:hyperlink w:anchor="_Toc112064919" w:history="1">
        <w:r w:rsidR="00830685" w:rsidRPr="00B97A88">
          <w:rPr>
            <w:rStyle w:val="af8"/>
            <w:lang w:val="en"/>
          </w:rPr>
          <w:t>13.6</w:t>
        </w:r>
        <w:r w:rsidR="00830685">
          <w:rPr>
            <w:rFonts w:asciiTheme="minorHAnsi" w:eastAsiaTheme="minorEastAsia" w:hAnsiTheme="minorHAnsi" w:cstheme="minorBidi"/>
            <w:bCs w:val="0"/>
            <w:sz w:val="22"/>
            <w:szCs w:val="22"/>
            <w:lang w:eastAsia="zh-CN" w:bidi="ar-SA"/>
          </w:rPr>
          <w:tab/>
        </w:r>
        <w:r w:rsidR="00830685" w:rsidRPr="00B97A88">
          <w:rPr>
            <w:rStyle w:val="af8"/>
            <w:lang w:val="en"/>
          </w:rPr>
          <w:t>Summary and Analysis</w:t>
        </w:r>
        <w:r w:rsidR="00830685">
          <w:rPr>
            <w:webHidden/>
          </w:rPr>
          <w:tab/>
        </w:r>
        <w:r w:rsidR="00830685">
          <w:rPr>
            <w:webHidden/>
          </w:rPr>
          <w:fldChar w:fldCharType="begin"/>
        </w:r>
        <w:r w:rsidR="00830685">
          <w:rPr>
            <w:webHidden/>
          </w:rPr>
          <w:instrText xml:space="preserve"> PAGEREF _Toc112064919 \h </w:instrText>
        </w:r>
        <w:r w:rsidR="00830685">
          <w:rPr>
            <w:webHidden/>
          </w:rPr>
        </w:r>
        <w:r w:rsidR="00830685">
          <w:rPr>
            <w:webHidden/>
          </w:rPr>
          <w:fldChar w:fldCharType="separate"/>
        </w:r>
        <w:r w:rsidR="00830685">
          <w:rPr>
            <w:webHidden/>
          </w:rPr>
          <w:t>76</w:t>
        </w:r>
        <w:r w:rsidR="00830685">
          <w:rPr>
            <w:webHidden/>
          </w:rPr>
          <w:fldChar w:fldCharType="end"/>
        </w:r>
      </w:hyperlink>
    </w:p>
    <w:p w14:paraId="6C899103" w14:textId="5E7D7647" w:rsidR="00830685" w:rsidRDefault="00C430DF">
      <w:pPr>
        <w:pStyle w:val="TOC1"/>
        <w:rPr>
          <w:rFonts w:asciiTheme="minorHAnsi" w:eastAsiaTheme="minorEastAsia" w:hAnsiTheme="minorHAnsi" w:cstheme="minorBidi"/>
          <w:b w:val="0"/>
          <w:bCs w:val="0"/>
          <w:sz w:val="22"/>
          <w:szCs w:val="22"/>
          <w:lang w:eastAsia="zh-CN" w:bidi="ar-SA"/>
        </w:rPr>
      </w:pPr>
      <w:hyperlink w:anchor="_Toc112064920" w:history="1">
        <w:r w:rsidR="00830685" w:rsidRPr="00B97A88">
          <w:rPr>
            <w:rStyle w:val="af8"/>
          </w:rPr>
          <w:t>14</w:t>
        </w:r>
        <w:r w:rsidR="00830685">
          <w:rPr>
            <w:rFonts w:asciiTheme="minorHAnsi" w:eastAsiaTheme="minorEastAsia" w:hAnsiTheme="minorHAnsi" w:cstheme="minorBidi"/>
            <w:b w:val="0"/>
            <w:bCs w:val="0"/>
            <w:sz w:val="22"/>
            <w:szCs w:val="22"/>
            <w:lang w:eastAsia="zh-CN" w:bidi="ar-SA"/>
          </w:rPr>
          <w:tab/>
        </w:r>
        <w:r w:rsidR="00830685" w:rsidRPr="00B97A88">
          <w:rPr>
            <w:rStyle w:val="af8"/>
          </w:rPr>
          <w:t>STUDY MANAGEMENT</w:t>
        </w:r>
        <w:r w:rsidR="00830685">
          <w:rPr>
            <w:webHidden/>
          </w:rPr>
          <w:tab/>
        </w:r>
        <w:r w:rsidR="00830685">
          <w:rPr>
            <w:webHidden/>
          </w:rPr>
          <w:fldChar w:fldCharType="begin"/>
        </w:r>
        <w:r w:rsidR="00830685">
          <w:rPr>
            <w:webHidden/>
          </w:rPr>
          <w:instrText xml:space="preserve"> PAGEREF _Toc112064920 \h </w:instrText>
        </w:r>
        <w:r w:rsidR="00830685">
          <w:rPr>
            <w:webHidden/>
          </w:rPr>
        </w:r>
        <w:r w:rsidR="00830685">
          <w:rPr>
            <w:webHidden/>
          </w:rPr>
          <w:fldChar w:fldCharType="separate"/>
        </w:r>
        <w:r w:rsidR="00830685">
          <w:rPr>
            <w:webHidden/>
          </w:rPr>
          <w:t>77</w:t>
        </w:r>
        <w:r w:rsidR="00830685">
          <w:rPr>
            <w:webHidden/>
          </w:rPr>
          <w:fldChar w:fldCharType="end"/>
        </w:r>
      </w:hyperlink>
    </w:p>
    <w:p w14:paraId="748D1DE4" w14:textId="6AC62C89" w:rsidR="00830685" w:rsidRDefault="00C430DF">
      <w:pPr>
        <w:pStyle w:val="TOC2"/>
        <w:rPr>
          <w:rFonts w:asciiTheme="minorHAnsi" w:eastAsiaTheme="minorEastAsia" w:hAnsiTheme="minorHAnsi" w:cstheme="minorBidi"/>
          <w:bCs w:val="0"/>
          <w:sz w:val="22"/>
          <w:szCs w:val="22"/>
          <w:lang w:eastAsia="zh-CN" w:bidi="ar-SA"/>
        </w:rPr>
      </w:pPr>
      <w:hyperlink w:anchor="_Toc112064921" w:history="1">
        <w:r w:rsidR="00830685" w:rsidRPr="00B97A88">
          <w:rPr>
            <w:rStyle w:val="af8"/>
          </w:rPr>
          <w:t>14.1</w:t>
        </w:r>
        <w:r w:rsidR="00830685">
          <w:rPr>
            <w:rFonts w:asciiTheme="minorHAnsi" w:eastAsiaTheme="minorEastAsia" w:hAnsiTheme="minorHAnsi" w:cstheme="minorBidi"/>
            <w:bCs w:val="0"/>
            <w:sz w:val="22"/>
            <w:szCs w:val="22"/>
            <w:lang w:eastAsia="zh-CN" w:bidi="ar-SA"/>
          </w:rPr>
          <w:tab/>
        </w:r>
        <w:r w:rsidR="00830685" w:rsidRPr="00B97A88">
          <w:rPr>
            <w:rStyle w:val="af8"/>
          </w:rPr>
          <w:t>Data Handling and Record Keeping</w:t>
        </w:r>
        <w:r w:rsidR="00830685">
          <w:rPr>
            <w:webHidden/>
          </w:rPr>
          <w:tab/>
        </w:r>
        <w:r w:rsidR="00830685">
          <w:rPr>
            <w:webHidden/>
          </w:rPr>
          <w:fldChar w:fldCharType="begin"/>
        </w:r>
        <w:r w:rsidR="00830685">
          <w:rPr>
            <w:webHidden/>
          </w:rPr>
          <w:instrText xml:space="preserve"> PAGEREF _Toc112064921 \h </w:instrText>
        </w:r>
        <w:r w:rsidR="00830685">
          <w:rPr>
            <w:webHidden/>
          </w:rPr>
        </w:r>
        <w:r w:rsidR="00830685">
          <w:rPr>
            <w:webHidden/>
          </w:rPr>
          <w:fldChar w:fldCharType="separate"/>
        </w:r>
        <w:r w:rsidR="00830685">
          <w:rPr>
            <w:webHidden/>
          </w:rPr>
          <w:t>77</w:t>
        </w:r>
        <w:r w:rsidR="00830685">
          <w:rPr>
            <w:webHidden/>
          </w:rPr>
          <w:fldChar w:fldCharType="end"/>
        </w:r>
      </w:hyperlink>
    </w:p>
    <w:p w14:paraId="64C0B321" w14:textId="65CC4EF1" w:rsidR="00830685" w:rsidRDefault="00C430DF">
      <w:pPr>
        <w:pStyle w:val="TOC3"/>
        <w:tabs>
          <w:tab w:val="left" w:pos="1310"/>
        </w:tabs>
        <w:rPr>
          <w:rFonts w:asciiTheme="minorHAnsi" w:eastAsiaTheme="minorEastAsia" w:hAnsiTheme="minorHAnsi" w:cstheme="minorBidi"/>
          <w:sz w:val="22"/>
          <w:szCs w:val="22"/>
          <w:lang w:eastAsia="zh-CN" w:bidi="ar-SA"/>
        </w:rPr>
      </w:pPr>
      <w:hyperlink w:anchor="_Toc112064922" w:history="1">
        <w:r w:rsidR="00830685" w:rsidRPr="00B97A88">
          <w:rPr>
            <w:rStyle w:val="af8"/>
            <w:lang w:val="en"/>
          </w:rPr>
          <w:t>14.1.1</w:t>
        </w:r>
        <w:r w:rsidR="00830685">
          <w:rPr>
            <w:rFonts w:asciiTheme="minorHAnsi" w:eastAsiaTheme="minorEastAsia" w:hAnsiTheme="minorHAnsi" w:cstheme="minorBidi"/>
            <w:sz w:val="22"/>
            <w:szCs w:val="22"/>
            <w:lang w:eastAsia="zh-CN" w:bidi="ar-SA"/>
          </w:rPr>
          <w:tab/>
        </w:r>
        <w:r w:rsidR="00830685" w:rsidRPr="00B97A88">
          <w:rPr>
            <w:rStyle w:val="af8"/>
            <w:lang w:val="en"/>
          </w:rPr>
          <w:t>Data Collection</w:t>
        </w:r>
        <w:r w:rsidR="00830685">
          <w:rPr>
            <w:webHidden/>
          </w:rPr>
          <w:tab/>
        </w:r>
        <w:r w:rsidR="00830685">
          <w:rPr>
            <w:webHidden/>
          </w:rPr>
          <w:fldChar w:fldCharType="begin"/>
        </w:r>
        <w:r w:rsidR="00830685">
          <w:rPr>
            <w:webHidden/>
          </w:rPr>
          <w:instrText xml:space="preserve"> PAGEREF _Toc112064922 \h </w:instrText>
        </w:r>
        <w:r w:rsidR="00830685">
          <w:rPr>
            <w:webHidden/>
          </w:rPr>
        </w:r>
        <w:r w:rsidR="00830685">
          <w:rPr>
            <w:webHidden/>
          </w:rPr>
          <w:fldChar w:fldCharType="separate"/>
        </w:r>
        <w:r w:rsidR="00830685">
          <w:rPr>
            <w:webHidden/>
          </w:rPr>
          <w:t>77</w:t>
        </w:r>
        <w:r w:rsidR="00830685">
          <w:rPr>
            <w:webHidden/>
          </w:rPr>
          <w:fldChar w:fldCharType="end"/>
        </w:r>
      </w:hyperlink>
    </w:p>
    <w:p w14:paraId="4FA4EA34" w14:textId="05CA744B" w:rsidR="00830685" w:rsidRDefault="00C430DF">
      <w:pPr>
        <w:pStyle w:val="TOC3"/>
        <w:tabs>
          <w:tab w:val="left" w:pos="1310"/>
        </w:tabs>
        <w:rPr>
          <w:rFonts w:asciiTheme="minorHAnsi" w:eastAsiaTheme="minorEastAsia" w:hAnsiTheme="minorHAnsi" w:cstheme="minorBidi"/>
          <w:sz w:val="22"/>
          <w:szCs w:val="22"/>
          <w:lang w:eastAsia="zh-CN" w:bidi="ar-SA"/>
        </w:rPr>
      </w:pPr>
      <w:hyperlink w:anchor="_Toc112064923" w:history="1">
        <w:r w:rsidR="00830685" w:rsidRPr="00B97A88">
          <w:rPr>
            <w:rStyle w:val="af8"/>
            <w:lang w:val="en"/>
          </w:rPr>
          <w:t>14.1.2</w:t>
        </w:r>
        <w:r w:rsidR="00830685">
          <w:rPr>
            <w:rFonts w:asciiTheme="minorHAnsi" w:eastAsiaTheme="minorEastAsia" w:hAnsiTheme="minorHAnsi" w:cstheme="minorBidi"/>
            <w:sz w:val="22"/>
            <w:szCs w:val="22"/>
            <w:lang w:eastAsia="zh-CN" w:bidi="ar-SA"/>
          </w:rPr>
          <w:tab/>
        </w:r>
        <w:r w:rsidR="00830685" w:rsidRPr="00B97A88">
          <w:rPr>
            <w:rStyle w:val="af8"/>
            <w:lang w:val="en"/>
          </w:rPr>
          <w:t>Data Monitoring</w:t>
        </w:r>
        <w:r w:rsidR="00830685">
          <w:rPr>
            <w:webHidden/>
          </w:rPr>
          <w:tab/>
        </w:r>
        <w:r w:rsidR="00830685">
          <w:rPr>
            <w:webHidden/>
          </w:rPr>
          <w:fldChar w:fldCharType="begin"/>
        </w:r>
        <w:r w:rsidR="00830685">
          <w:rPr>
            <w:webHidden/>
          </w:rPr>
          <w:instrText xml:space="preserve"> PAGEREF _Toc112064923 \h </w:instrText>
        </w:r>
        <w:r w:rsidR="00830685">
          <w:rPr>
            <w:webHidden/>
          </w:rPr>
        </w:r>
        <w:r w:rsidR="00830685">
          <w:rPr>
            <w:webHidden/>
          </w:rPr>
          <w:fldChar w:fldCharType="separate"/>
        </w:r>
        <w:r w:rsidR="00830685">
          <w:rPr>
            <w:webHidden/>
          </w:rPr>
          <w:t>77</w:t>
        </w:r>
        <w:r w:rsidR="00830685">
          <w:rPr>
            <w:webHidden/>
          </w:rPr>
          <w:fldChar w:fldCharType="end"/>
        </w:r>
      </w:hyperlink>
    </w:p>
    <w:p w14:paraId="04B9B857" w14:textId="15EAE24F" w:rsidR="00830685" w:rsidRDefault="00C430DF">
      <w:pPr>
        <w:pStyle w:val="TOC3"/>
        <w:tabs>
          <w:tab w:val="left" w:pos="1310"/>
        </w:tabs>
        <w:rPr>
          <w:rFonts w:asciiTheme="minorHAnsi" w:eastAsiaTheme="minorEastAsia" w:hAnsiTheme="minorHAnsi" w:cstheme="minorBidi"/>
          <w:sz w:val="22"/>
          <w:szCs w:val="22"/>
          <w:lang w:eastAsia="zh-CN" w:bidi="ar-SA"/>
        </w:rPr>
      </w:pPr>
      <w:hyperlink w:anchor="_Toc112064924" w:history="1">
        <w:r w:rsidR="00830685" w:rsidRPr="00B97A88">
          <w:rPr>
            <w:rStyle w:val="af8"/>
            <w:lang w:val="en"/>
          </w:rPr>
          <w:t>14.1.3</w:t>
        </w:r>
        <w:r w:rsidR="00830685">
          <w:rPr>
            <w:rFonts w:asciiTheme="minorHAnsi" w:eastAsiaTheme="minorEastAsia" w:hAnsiTheme="minorHAnsi" w:cstheme="minorBidi"/>
            <w:sz w:val="22"/>
            <w:szCs w:val="22"/>
            <w:lang w:eastAsia="zh-CN" w:bidi="ar-SA"/>
          </w:rPr>
          <w:tab/>
        </w:r>
        <w:r w:rsidR="00830685" w:rsidRPr="00B97A88">
          <w:rPr>
            <w:rStyle w:val="af8"/>
            <w:lang w:val="en"/>
          </w:rPr>
          <w:t>Data Entry and Modification</w:t>
        </w:r>
        <w:r w:rsidR="00830685">
          <w:rPr>
            <w:webHidden/>
          </w:rPr>
          <w:tab/>
        </w:r>
        <w:r w:rsidR="00830685">
          <w:rPr>
            <w:webHidden/>
          </w:rPr>
          <w:fldChar w:fldCharType="begin"/>
        </w:r>
        <w:r w:rsidR="00830685">
          <w:rPr>
            <w:webHidden/>
          </w:rPr>
          <w:instrText xml:space="preserve"> PAGEREF _Toc112064924 \h </w:instrText>
        </w:r>
        <w:r w:rsidR="00830685">
          <w:rPr>
            <w:webHidden/>
          </w:rPr>
        </w:r>
        <w:r w:rsidR="00830685">
          <w:rPr>
            <w:webHidden/>
          </w:rPr>
          <w:fldChar w:fldCharType="separate"/>
        </w:r>
        <w:r w:rsidR="00830685">
          <w:rPr>
            <w:webHidden/>
          </w:rPr>
          <w:t>78</w:t>
        </w:r>
        <w:r w:rsidR="00830685">
          <w:rPr>
            <w:webHidden/>
          </w:rPr>
          <w:fldChar w:fldCharType="end"/>
        </w:r>
      </w:hyperlink>
    </w:p>
    <w:p w14:paraId="63E1A736" w14:textId="22D61235" w:rsidR="00830685" w:rsidRDefault="00C430DF">
      <w:pPr>
        <w:pStyle w:val="TOC3"/>
        <w:tabs>
          <w:tab w:val="left" w:pos="1310"/>
        </w:tabs>
        <w:rPr>
          <w:rFonts w:asciiTheme="minorHAnsi" w:eastAsiaTheme="minorEastAsia" w:hAnsiTheme="minorHAnsi" w:cstheme="minorBidi"/>
          <w:sz w:val="22"/>
          <w:szCs w:val="22"/>
          <w:lang w:eastAsia="zh-CN" w:bidi="ar-SA"/>
        </w:rPr>
      </w:pPr>
      <w:hyperlink w:anchor="_Toc112064925" w:history="1">
        <w:r w:rsidR="00830685" w:rsidRPr="00B97A88">
          <w:rPr>
            <w:rStyle w:val="af8"/>
            <w:lang w:val="en"/>
          </w:rPr>
          <w:t>14.1.4</w:t>
        </w:r>
        <w:r w:rsidR="00830685">
          <w:rPr>
            <w:rFonts w:asciiTheme="minorHAnsi" w:eastAsiaTheme="minorEastAsia" w:hAnsiTheme="minorHAnsi" w:cstheme="minorBidi"/>
            <w:sz w:val="22"/>
            <w:szCs w:val="22"/>
            <w:lang w:eastAsia="zh-CN" w:bidi="ar-SA"/>
          </w:rPr>
          <w:tab/>
        </w:r>
        <w:r w:rsidR="00830685" w:rsidRPr="00B97A88">
          <w:rPr>
            <w:rStyle w:val="af8"/>
            <w:lang w:val="en"/>
          </w:rPr>
          <w:t>Database Lock</w:t>
        </w:r>
        <w:r w:rsidR="00830685">
          <w:rPr>
            <w:webHidden/>
          </w:rPr>
          <w:tab/>
        </w:r>
        <w:r w:rsidR="00830685">
          <w:rPr>
            <w:webHidden/>
          </w:rPr>
          <w:fldChar w:fldCharType="begin"/>
        </w:r>
        <w:r w:rsidR="00830685">
          <w:rPr>
            <w:webHidden/>
          </w:rPr>
          <w:instrText xml:space="preserve"> PAGEREF _Toc112064925 \h </w:instrText>
        </w:r>
        <w:r w:rsidR="00830685">
          <w:rPr>
            <w:webHidden/>
          </w:rPr>
        </w:r>
        <w:r w:rsidR="00830685">
          <w:rPr>
            <w:webHidden/>
          </w:rPr>
          <w:fldChar w:fldCharType="separate"/>
        </w:r>
        <w:r w:rsidR="00830685">
          <w:rPr>
            <w:webHidden/>
          </w:rPr>
          <w:t>78</w:t>
        </w:r>
        <w:r w:rsidR="00830685">
          <w:rPr>
            <w:webHidden/>
          </w:rPr>
          <w:fldChar w:fldCharType="end"/>
        </w:r>
      </w:hyperlink>
    </w:p>
    <w:p w14:paraId="62D8B901" w14:textId="73A6A2E6" w:rsidR="00830685" w:rsidRDefault="00C430DF">
      <w:pPr>
        <w:pStyle w:val="TOC3"/>
        <w:tabs>
          <w:tab w:val="left" w:pos="1310"/>
        </w:tabs>
        <w:rPr>
          <w:rFonts w:asciiTheme="minorHAnsi" w:eastAsiaTheme="minorEastAsia" w:hAnsiTheme="minorHAnsi" w:cstheme="minorBidi"/>
          <w:sz w:val="22"/>
          <w:szCs w:val="22"/>
          <w:lang w:eastAsia="zh-CN" w:bidi="ar-SA"/>
        </w:rPr>
      </w:pPr>
      <w:hyperlink w:anchor="_Toc112064926" w:history="1">
        <w:r w:rsidR="00830685" w:rsidRPr="00B97A88">
          <w:rPr>
            <w:rStyle w:val="af8"/>
            <w:lang w:val="en"/>
          </w:rPr>
          <w:t>14.1.5</w:t>
        </w:r>
        <w:r w:rsidR="00830685">
          <w:rPr>
            <w:rFonts w:asciiTheme="minorHAnsi" w:eastAsiaTheme="minorEastAsia" w:hAnsiTheme="minorHAnsi" w:cstheme="minorBidi"/>
            <w:sz w:val="22"/>
            <w:szCs w:val="22"/>
            <w:lang w:eastAsia="zh-CN" w:bidi="ar-SA"/>
          </w:rPr>
          <w:tab/>
        </w:r>
        <w:r w:rsidR="00830685" w:rsidRPr="00B97A88">
          <w:rPr>
            <w:rStyle w:val="af8"/>
            <w:lang w:val="en"/>
          </w:rPr>
          <w:t>Data Transfer</w:t>
        </w:r>
        <w:r w:rsidR="00830685">
          <w:rPr>
            <w:webHidden/>
          </w:rPr>
          <w:tab/>
        </w:r>
        <w:r w:rsidR="00830685">
          <w:rPr>
            <w:webHidden/>
          </w:rPr>
          <w:fldChar w:fldCharType="begin"/>
        </w:r>
        <w:r w:rsidR="00830685">
          <w:rPr>
            <w:webHidden/>
          </w:rPr>
          <w:instrText xml:space="preserve"> PAGEREF _Toc112064926 \h </w:instrText>
        </w:r>
        <w:r w:rsidR="00830685">
          <w:rPr>
            <w:webHidden/>
          </w:rPr>
        </w:r>
        <w:r w:rsidR="00830685">
          <w:rPr>
            <w:webHidden/>
          </w:rPr>
          <w:fldChar w:fldCharType="separate"/>
        </w:r>
        <w:r w:rsidR="00830685">
          <w:rPr>
            <w:webHidden/>
          </w:rPr>
          <w:t>78</w:t>
        </w:r>
        <w:r w:rsidR="00830685">
          <w:rPr>
            <w:webHidden/>
          </w:rPr>
          <w:fldChar w:fldCharType="end"/>
        </w:r>
      </w:hyperlink>
    </w:p>
    <w:p w14:paraId="2F3E34E7" w14:textId="6E8AAD96" w:rsidR="00830685" w:rsidRDefault="00C430DF">
      <w:pPr>
        <w:pStyle w:val="TOC3"/>
        <w:tabs>
          <w:tab w:val="left" w:pos="1310"/>
        </w:tabs>
        <w:rPr>
          <w:rFonts w:asciiTheme="minorHAnsi" w:eastAsiaTheme="minorEastAsia" w:hAnsiTheme="minorHAnsi" w:cstheme="minorBidi"/>
          <w:sz w:val="22"/>
          <w:szCs w:val="22"/>
          <w:lang w:eastAsia="zh-CN" w:bidi="ar-SA"/>
        </w:rPr>
      </w:pPr>
      <w:hyperlink w:anchor="_Toc112064927" w:history="1">
        <w:r w:rsidR="00830685" w:rsidRPr="00B97A88">
          <w:rPr>
            <w:rStyle w:val="af8"/>
            <w:lang w:val="en"/>
          </w:rPr>
          <w:t>14.1.6</w:t>
        </w:r>
        <w:r w:rsidR="00830685">
          <w:rPr>
            <w:rFonts w:asciiTheme="minorHAnsi" w:eastAsiaTheme="minorEastAsia" w:hAnsiTheme="minorHAnsi" w:cstheme="minorBidi"/>
            <w:sz w:val="22"/>
            <w:szCs w:val="22"/>
            <w:lang w:eastAsia="zh-CN" w:bidi="ar-SA"/>
          </w:rPr>
          <w:tab/>
        </w:r>
        <w:r w:rsidR="00830685" w:rsidRPr="00B97A88">
          <w:rPr>
            <w:rStyle w:val="af8"/>
            <w:lang w:val="en"/>
          </w:rPr>
          <w:t>Data Preservation</w:t>
        </w:r>
        <w:r w:rsidR="00830685">
          <w:rPr>
            <w:webHidden/>
          </w:rPr>
          <w:tab/>
        </w:r>
        <w:r w:rsidR="00830685">
          <w:rPr>
            <w:webHidden/>
          </w:rPr>
          <w:fldChar w:fldCharType="begin"/>
        </w:r>
        <w:r w:rsidR="00830685">
          <w:rPr>
            <w:webHidden/>
          </w:rPr>
          <w:instrText xml:space="preserve"> PAGEREF _Toc112064927 \h </w:instrText>
        </w:r>
        <w:r w:rsidR="00830685">
          <w:rPr>
            <w:webHidden/>
          </w:rPr>
        </w:r>
        <w:r w:rsidR="00830685">
          <w:rPr>
            <w:webHidden/>
          </w:rPr>
          <w:fldChar w:fldCharType="separate"/>
        </w:r>
        <w:r w:rsidR="00830685">
          <w:rPr>
            <w:webHidden/>
          </w:rPr>
          <w:t>78</w:t>
        </w:r>
        <w:r w:rsidR="00830685">
          <w:rPr>
            <w:webHidden/>
          </w:rPr>
          <w:fldChar w:fldCharType="end"/>
        </w:r>
      </w:hyperlink>
    </w:p>
    <w:p w14:paraId="00805E15" w14:textId="108DC197" w:rsidR="00830685" w:rsidRDefault="00C430DF">
      <w:pPr>
        <w:pStyle w:val="TOC2"/>
        <w:rPr>
          <w:rFonts w:asciiTheme="minorHAnsi" w:eastAsiaTheme="minorEastAsia" w:hAnsiTheme="minorHAnsi" w:cstheme="minorBidi"/>
          <w:bCs w:val="0"/>
          <w:sz w:val="22"/>
          <w:szCs w:val="22"/>
          <w:lang w:eastAsia="zh-CN" w:bidi="ar-SA"/>
        </w:rPr>
      </w:pPr>
      <w:hyperlink w:anchor="_Toc112064928" w:history="1">
        <w:r w:rsidR="00830685" w:rsidRPr="00B97A88">
          <w:rPr>
            <w:rStyle w:val="af8"/>
            <w:lang w:val="en"/>
          </w:rPr>
          <w:t>14.2</w:t>
        </w:r>
        <w:r w:rsidR="00830685">
          <w:rPr>
            <w:rFonts w:asciiTheme="minorHAnsi" w:eastAsiaTheme="minorEastAsia" w:hAnsiTheme="minorHAnsi" w:cstheme="minorBidi"/>
            <w:bCs w:val="0"/>
            <w:sz w:val="22"/>
            <w:szCs w:val="22"/>
            <w:lang w:eastAsia="zh-CN" w:bidi="ar-SA"/>
          </w:rPr>
          <w:tab/>
        </w:r>
        <w:r w:rsidR="00830685" w:rsidRPr="00B97A88">
          <w:rPr>
            <w:rStyle w:val="af8"/>
            <w:lang w:val="en"/>
          </w:rPr>
          <w:t>Ethical Considerations and Informed Consent</w:t>
        </w:r>
        <w:r w:rsidR="00830685">
          <w:rPr>
            <w:webHidden/>
          </w:rPr>
          <w:tab/>
        </w:r>
        <w:r w:rsidR="00830685">
          <w:rPr>
            <w:webHidden/>
          </w:rPr>
          <w:fldChar w:fldCharType="begin"/>
        </w:r>
        <w:r w:rsidR="00830685">
          <w:rPr>
            <w:webHidden/>
          </w:rPr>
          <w:instrText xml:space="preserve"> PAGEREF _Toc112064928 \h </w:instrText>
        </w:r>
        <w:r w:rsidR="00830685">
          <w:rPr>
            <w:webHidden/>
          </w:rPr>
        </w:r>
        <w:r w:rsidR="00830685">
          <w:rPr>
            <w:webHidden/>
          </w:rPr>
          <w:fldChar w:fldCharType="separate"/>
        </w:r>
        <w:r w:rsidR="00830685">
          <w:rPr>
            <w:webHidden/>
          </w:rPr>
          <w:t>78</w:t>
        </w:r>
        <w:r w:rsidR="00830685">
          <w:rPr>
            <w:webHidden/>
          </w:rPr>
          <w:fldChar w:fldCharType="end"/>
        </w:r>
      </w:hyperlink>
    </w:p>
    <w:p w14:paraId="57A60F23" w14:textId="5F34962D" w:rsidR="00830685" w:rsidRDefault="00C430DF">
      <w:pPr>
        <w:pStyle w:val="TOC2"/>
        <w:rPr>
          <w:rFonts w:asciiTheme="minorHAnsi" w:eastAsiaTheme="minorEastAsia" w:hAnsiTheme="minorHAnsi" w:cstheme="minorBidi"/>
          <w:bCs w:val="0"/>
          <w:sz w:val="22"/>
          <w:szCs w:val="22"/>
          <w:lang w:eastAsia="zh-CN" w:bidi="ar-SA"/>
        </w:rPr>
      </w:pPr>
      <w:hyperlink w:anchor="_Toc112064929" w:history="1">
        <w:r w:rsidR="00830685" w:rsidRPr="00B97A88">
          <w:rPr>
            <w:rStyle w:val="af8"/>
            <w:lang w:val="en"/>
          </w:rPr>
          <w:t>14.3</w:t>
        </w:r>
        <w:r w:rsidR="00830685">
          <w:rPr>
            <w:rFonts w:asciiTheme="minorHAnsi" w:eastAsiaTheme="minorEastAsia" w:hAnsiTheme="minorHAnsi" w:cstheme="minorBidi"/>
            <w:bCs w:val="0"/>
            <w:sz w:val="22"/>
            <w:szCs w:val="22"/>
            <w:lang w:eastAsia="zh-CN" w:bidi="ar-SA"/>
          </w:rPr>
          <w:tab/>
        </w:r>
        <w:r w:rsidR="00830685" w:rsidRPr="00B97A88">
          <w:rPr>
            <w:rStyle w:val="af8"/>
            <w:lang w:val="en"/>
          </w:rPr>
          <w:t>Quality control</w:t>
        </w:r>
        <w:r w:rsidR="00830685">
          <w:rPr>
            <w:webHidden/>
          </w:rPr>
          <w:tab/>
        </w:r>
        <w:r w:rsidR="00830685">
          <w:rPr>
            <w:webHidden/>
          </w:rPr>
          <w:fldChar w:fldCharType="begin"/>
        </w:r>
        <w:r w:rsidR="00830685">
          <w:rPr>
            <w:webHidden/>
          </w:rPr>
          <w:instrText xml:space="preserve"> PAGEREF _Toc112064929 \h </w:instrText>
        </w:r>
        <w:r w:rsidR="00830685">
          <w:rPr>
            <w:webHidden/>
          </w:rPr>
        </w:r>
        <w:r w:rsidR="00830685">
          <w:rPr>
            <w:webHidden/>
          </w:rPr>
          <w:fldChar w:fldCharType="separate"/>
        </w:r>
        <w:r w:rsidR="00830685">
          <w:rPr>
            <w:webHidden/>
          </w:rPr>
          <w:t>79</w:t>
        </w:r>
        <w:r w:rsidR="00830685">
          <w:rPr>
            <w:webHidden/>
          </w:rPr>
          <w:fldChar w:fldCharType="end"/>
        </w:r>
      </w:hyperlink>
    </w:p>
    <w:p w14:paraId="189FA4CF" w14:textId="1AAF0253" w:rsidR="00830685" w:rsidRDefault="00C430DF">
      <w:pPr>
        <w:pStyle w:val="TOC3"/>
        <w:tabs>
          <w:tab w:val="left" w:pos="1310"/>
        </w:tabs>
        <w:rPr>
          <w:rFonts w:asciiTheme="minorHAnsi" w:eastAsiaTheme="minorEastAsia" w:hAnsiTheme="minorHAnsi" w:cstheme="minorBidi"/>
          <w:sz w:val="22"/>
          <w:szCs w:val="22"/>
          <w:lang w:eastAsia="zh-CN" w:bidi="ar-SA"/>
        </w:rPr>
      </w:pPr>
      <w:hyperlink w:anchor="_Toc112064930" w:history="1">
        <w:r w:rsidR="00830685" w:rsidRPr="00B97A88">
          <w:rPr>
            <w:rStyle w:val="af8"/>
            <w:lang w:val="en"/>
          </w:rPr>
          <w:t>14.3.1</w:t>
        </w:r>
        <w:r w:rsidR="00830685">
          <w:rPr>
            <w:rFonts w:asciiTheme="minorHAnsi" w:eastAsiaTheme="minorEastAsia" w:hAnsiTheme="minorHAnsi" w:cstheme="minorBidi"/>
            <w:sz w:val="22"/>
            <w:szCs w:val="22"/>
            <w:lang w:eastAsia="zh-CN" w:bidi="ar-SA"/>
          </w:rPr>
          <w:tab/>
        </w:r>
        <w:r w:rsidR="00830685" w:rsidRPr="00B97A88">
          <w:rPr>
            <w:rStyle w:val="af8"/>
            <w:lang w:val="en"/>
          </w:rPr>
          <w:t>Inspection</w:t>
        </w:r>
        <w:r w:rsidR="00830685">
          <w:rPr>
            <w:webHidden/>
          </w:rPr>
          <w:tab/>
        </w:r>
        <w:r w:rsidR="00830685">
          <w:rPr>
            <w:webHidden/>
          </w:rPr>
          <w:fldChar w:fldCharType="begin"/>
        </w:r>
        <w:r w:rsidR="00830685">
          <w:rPr>
            <w:webHidden/>
          </w:rPr>
          <w:instrText xml:space="preserve"> PAGEREF _Toc112064930 \h </w:instrText>
        </w:r>
        <w:r w:rsidR="00830685">
          <w:rPr>
            <w:webHidden/>
          </w:rPr>
        </w:r>
        <w:r w:rsidR="00830685">
          <w:rPr>
            <w:webHidden/>
          </w:rPr>
          <w:fldChar w:fldCharType="separate"/>
        </w:r>
        <w:r w:rsidR="00830685">
          <w:rPr>
            <w:webHidden/>
          </w:rPr>
          <w:t>79</w:t>
        </w:r>
        <w:r w:rsidR="00830685">
          <w:rPr>
            <w:webHidden/>
          </w:rPr>
          <w:fldChar w:fldCharType="end"/>
        </w:r>
      </w:hyperlink>
    </w:p>
    <w:p w14:paraId="3F825824" w14:textId="6481EE73" w:rsidR="00830685" w:rsidRDefault="00C430DF">
      <w:pPr>
        <w:pStyle w:val="TOC3"/>
        <w:tabs>
          <w:tab w:val="left" w:pos="1310"/>
        </w:tabs>
        <w:rPr>
          <w:rFonts w:asciiTheme="minorHAnsi" w:eastAsiaTheme="minorEastAsia" w:hAnsiTheme="minorHAnsi" w:cstheme="minorBidi"/>
          <w:sz w:val="22"/>
          <w:szCs w:val="22"/>
          <w:lang w:eastAsia="zh-CN" w:bidi="ar-SA"/>
        </w:rPr>
      </w:pPr>
      <w:hyperlink w:anchor="_Toc112064931" w:history="1">
        <w:r w:rsidR="00830685" w:rsidRPr="00B97A88">
          <w:rPr>
            <w:rStyle w:val="af8"/>
            <w:lang w:val="en"/>
          </w:rPr>
          <w:t>14.3.2</w:t>
        </w:r>
        <w:r w:rsidR="00830685">
          <w:rPr>
            <w:rFonts w:asciiTheme="minorHAnsi" w:eastAsiaTheme="minorEastAsia" w:hAnsiTheme="minorHAnsi" w:cstheme="minorBidi"/>
            <w:sz w:val="22"/>
            <w:szCs w:val="22"/>
            <w:lang w:eastAsia="zh-CN" w:bidi="ar-SA"/>
          </w:rPr>
          <w:tab/>
        </w:r>
        <w:r w:rsidR="00830685" w:rsidRPr="00B97A88">
          <w:rPr>
            <w:rStyle w:val="af8"/>
            <w:lang w:val="en"/>
          </w:rPr>
          <w:t>Data Verification</w:t>
        </w:r>
        <w:r w:rsidR="00830685">
          <w:rPr>
            <w:webHidden/>
          </w:rPr>
          <w:tab/>
        </w:r>
        <w:r w:rsidR="00830685">
          <w:rPr>
            <w:webHidden/>
          </w:rPr>
          <w:fldChar w:fldCharType="begin"/>
        </w:r>
        <w:r w:rsidR="00830685">
          <w:rPr>
            <w:webHidden/>
          </w:rPr>
          <w:instrText xml:space="preserve"> PAGEREF _Toc112064931 \h </w:instrText>
        </w:r>
        <w:r w:rsidR="00830685">
          <w:rPr>
            <w:webHidden/>
          </w:rPr>
        </w:r>
        <w:r w:rsidR="00830685">
          <w:rPr>
            <w:webHidden/>
          </w:rPr>
          <w:fldChar w:fldCharType="separate"/>
        </w:r>
        <w:r w:rsidR="00830685">
          <w:rPr>
            <w:webHidden/>
          </w:rPr>
          <w:t>79</w:t>
        </w:r>
        <w:r w:rsidR="00830685">
          <w:rPr>
            <w:webHidden/>
          </w:rPr>
          <w:fldChar w:fldCharType="end"/>
        </w:r>
      </w:hyperlink>
    </w:p>
    <w:p w14:paraId="067C26BD" w14:textId="7BDD846F" w:rsidR="00830685" w:rsidRDefault="00C430DF">
      <w:pPr>
        <w:pStyle w:val="TOC3"/>
        <w:tabs>
          <w:tab w:val="left" w:pos="1310"/>
        </w:tabs>
        <w:rPr>
          <w:rFonts w:asciiTheme="minorHAnsi" w:eastAsiaTheme="minorEastAsia" w:hAnsiTheme="minorHAnsi" w:cstheme="minorBidi"/>
          <w:sz w:val="22"/>
          <w:szCs w:val="22"/>
          <w:lang w:eastAsia="zh-CN" w:bidi="ar-SA"/>
        </w:rPr>
      </w:pPr>
      <w:hyperlink w:anchor="_Toc112064932" w:history="1">
        <w:r w:rsidR="00830685" w:rsidRPr="00B97A88">
          <w:rPr>
            <w:rStyle w:val="af8"/>
            <w:lang w:val="en"/>
          </w:rPr>
          <w:t>14.3.3</w:t>
        </w:r>
        <w:r w:rsidR="00830685">
          <w:rPr>
            <w:rFonts w:asciiTheme="minorHAnsi" w:eastAsiaTheme="minorEastAsia" w:hAnsiTheme="minorHAnsi" w:cstheme="minorBidi"/>
            <w:sz w:val="22"/>
            <w:szCs w:val="22"/>
            <w:lang w:eastAsia="zh-CN" w:bidi="ar-SA"/>
          </w:rPr>
          <w:tab/>
        </w:r>
        <w:r w:rsidR="00830685" w:rsidRPr="00B97A88">
          <w:rPr>
            <w:rStyle w:val="af8"/>
            <w:lang w:val="en"/>
          </w:rPr>
          <w:t>Audit and Inspection</w:t>
        </w:r>
        <w:r w:rsidR="00830685">
          <w:rPr>
            <w:webHidden/>
          </w:rPr>
          <w:tab/>
        </w:r>
        <w:r w:rsidR="00830685">
          <w:rPr>
            <w:webHidden/>
          </w:rPr>
          <w:fldChar w:fldCharType="begin"/>
        </w:r>
        <w:r w:rsidR="00830685">
          <w:rPr>
            <w:webHidden/>
          </w:rPr>
          <w:instrText xml:space="preserve"> PAGEREF _Toc112064932 \h </w:instrText>
        </w:r>
        <w:r w:rsidR="00830685">
          <w:rPr>
            <w:webHidden/>
          </w:rPr>
        </w:r>
        <w:r w:rsidR="00830685">
          <w:rPr>
            <w:webHidden/>
          </w:rPr>
          <w:fldChar w:fldCharType="separate"/>
        </w:r>
        <w:r w:rsidR="00830685">
          <w:rPr>
            <w:webHidden/>
          </w:rPr>
          <w:t>80</w:t>
        </w:r>
        <w:r w:rsidR="00830685">
          <w:rPr>
            <w:webHidden/>
          </w:rPr>
          <w:fldChar w:fldCharType="end"/>
        </w:r>
      </w:hyperlink>
    </w:p>
    <w:p w14:paraId="63E6C2FA" w14:textId="580C1D1B" w:rsidR="00830685" w:rsidRDefault="00C430DF">
      <w:pPr>
        <w:pStyle w:val="TOC3"/>
        <w:tabs>
          <w:tab w:val="left" w:pos="1310"/>
        </w:tabs>
        <w:rPr>
          <w:rFonts w:asciiTheme="minorHAnsi" w:eastAsiaTheme="minorEastAsia" w:hAnsiTheme="minorHAnsi" w:cstheme="minorBidi"/>
          <w:sz w:val="22"/>
          <w:szCs w:val="22"/>
          <w:lang w:eastAsia="zh-CN" w:bidi="ar-SA"/>
        </w:rPr>
      </w:pPr>
      <w:hyperlink w:anchor="_Toc112064933" w:history="1">
        <w:r w:rsidR="00830685" w:rsidRPr="00B97A88">
          <w:rPr>
            <w:rStyle w:val="af8"/>
            <w:lang w:val="en"/>
          </w:rPr>
          <w:t>14.3.4</w:t>
        </w:r>
        <w:r w:rsidR="00830685">
          <w:rPr>
            <w:rFonts w:asciiTheme="minorHAnsi" w:eastAsiaTheme="minorEastAsia" w:hAnsiTheme="minorHAnsi" w:cstheme="minorBidi"/>
            <w:sz w:val="22"/>
            <w:szCs w:val="22"/>
            <w:lang w:eastAsia="zh-CN" w:bidi="ar-SA"/>
          </w:rPr>
          <w:tab/>
        </w:r>
        <w:r w:rsidR="00830685" w:rsidRPr="00B97A88">
          <w:rPr>
            <w:rStyle w:val="af8"/>
            <w:lang w:val="en"/>
          </w:rPr>
          <w:t>Personnel Training</w:t>
        </w:r>
        <w:r w:rsidR="00830685">
          <w:rPr>
            <w:webHidden/>
          </w:rPr>
          <w:tab/>
        </w:r>
        <w:r w:rsidR="00830685">
          <w:rPr>
            <w:webHidden/>
          </w:rPr>
          <w:fldChar w:fldCharType="begin"/>
        </w:r>
        <w:r w:rsidR="00830685">
          <w:rPr>
            <w:webHidden/>
          </w:rPr>
          <w:instrText xml:space="preserve"> PAGEREF _Toc112064933 \h </w:instrText>
        </w:r>
        <w:r w:rsidR="00830685">
          <w:rPr>
            <w:webHidden/>
          </w:rPr>
        </w:r>
        <w:r w:rsidR="00830685">
          <w:rPr>
            <w:webHidden/>
          </w:rPr>
          <w:fldChar w:fldCharType="separate"/>
        </w:r>
        <w:r w:rsidR="00830685">
          <w:rPr>
            <w:webHidden/>
          </w:rPr>
          <w:t>80</w:t>
        </w:r>
        <w:r w:rsidR="00830685">
          <w:rPr>
            <w:webHidden/>
          </w:rPr>
          <w:fldChar w:fldCharType="end"/>
        </w:r>
      </w:hyperlink>
    </w:p>
    <w:p w14:paraId="26D2D201" w14:textId="47DBAFC6" w:rsidR="00830685" w:rsidRDefault="00C430DF">
      <w:pPr>
        <w:pStyle w:val="TOC2"/>
        <w:rPr>
          <w:rFonts w:asciiTheme="minorHAnsi" w:eastAsiaTheme="minorEastAsia" w:hAnsiTheme="minorHAnsi" w:cstheme="minorBidi"/>
          <w:bCs w:val="0"/>
          <w:sz w:val="22"/>
          <w:szCs w:val="22"/>
          <w:lang w:eastAsia="zh-CN" w:bidi="ar-SA"/>
        </w:rPr>
      </w:pPr>
      <w:hyperlink w:anchor="_Toc112064934" w:history="1">
        <w:r w:rsidR="00830685" w:rsidRPr="00B97A88">
          <w:rPr>
            <w:rStyle w:val="af8"/>
            <w:lang w:val="en"/>
          </w:rPr>
          <w:t>14.4</w:t>
        </w:r>
        <w:r w:rsidR="00830685">
          <w:rPr>
            <w:rFonts w:asciiTheme="minorHAnsi" w:eastAsiaTheme="minorEastAsia" w:hAnsiTheme="minorHAnsi" w:cstheme="minorBidi"/>
            <w:bCs w:val="0"/>
            <w:sz w:val="22"/>
            <w:szCs w:val="22"/>
            <w:lang w:eastAsia="zh-CN" w:bidi="ar-SA"/>
          </w:rPr>
          <w:tab/>
        </w:r>
        <w:r w:rsidR="00830685" w:rsidRPr="00B97A88">
          <w:rPr>
            <w:rStyle w:val="af8"/>
            <w:lang w:val="en"/>
          </w:rPr>
          <w:t>Protocol Approval and Amendments</w:t>
        </w:r>
        <w:r w:rsidR="00830685">
          <w:rPr>
            <w:webHidden/>
          </w:rPr>
          <w:tab/>
        </w:r>
        <w:r w:rsidR="00830685">
          <w:rPr>
            <w:webHidden/>
          </w:rPr>
          <w:fldChar w:fldCharType="begin"/>
        </w:r>
        <w:r w:rsidR="00830685">
          <w:rPr>
            <w:webHidden/>
          </w:rPr>
          <w:instrText xml:space="preserve"> PAGEREF _Toc112064934 \h </w:instrText>
        </w:r>
        <w:r w:rsidR="00830685">
          <w:rPr>
            <w:webHidden/>
          </w:rPr>
        </w:r>
        <w:r w:rsidR="00830685">
          <w:rPr>
            <w:webHidden/>
          </w:rPr>
          <w:fldChar w:fldCharType="separate"/>
        </w:r>
        <w:r w:rsidR="00830685">
          <w:rPr>
            <w:webHidden/>
          </w:rPr>
          <w:t>80</w:t>
        </w:r>
        <w:r w:rsidR="00830685">
          <w:rPr>
            <w:webHidden/>
          </w:rPr>
          <w:fldChar w:fldCharType="end"/>
        </w:r>
      </w:hyperlink>
    </w:p>
    <w:p w14:paraId="00CF3A66" w14:textId="037D38BD" w:rsidR="00830685" w:rsidRDefault="00C430DF">
      <w:pPr>
        <w:pStyle w:val="TOC2"/>
        <w:rPr>
          <w:rFonts w:asciiTheme="minorHAnsi" w:eastAsiaTheme="minorEastAsia" w:hAnsiTheme="minorHAnsi" w:cstheme="minorBidi"/>
          <w:bCs w:val="0"/>
          <w:sz w:val="22"/>
          <w:szCs w:val="22"/>
          <w:lang w:eastAsia="zh-CN" w:bidi="ar-SA"/>
        </w:rPr>
      </w:pPr>
      <w:hyperlink w:anchor="_Toc112064935" w:history="1">
        <w:r w:rsidR="00830685" w:rsidRPr="00B97A88">
          <w:rPr>
            <w:rStyle w:val="af8"/>
            <w:lang w:val="en"/>
          </w:rPr>
          <w:t>14.5</w:t>
        </w:r>
        <w:r w:rsidR="00830685">
          <w:rPr>
            <w:rFonts w:asciiTheme="minorHAnsi" w:eastAsiaTheme="minorEastAsia" w:hAnsiTheme="minorHAnsi" w:cstheme="minorBidi"/>
            <w:bCs w:val="0"/>
            <w:sz w:val="22"/>
            <w:szCs w:val="22"/>
            <w:lang w:eastAsia="zh-CN" w:bidi="ar-SA"/>
          </w:rPr>
          <w:tab/>
        </w:r>
        <w:r w:rsidR="00830685" w:rsidRPr="00B97A88">
          <w:rPr>
            <w:rStyle w:val="af8"/>
            <w:lang w:val="en"/>
          </w:rPr>
          <w:t>Duration of Clinical Study</w:t>
        </w:r>
        <w:r w:rsidR="00830685">
          <w:rPr>
            <w:webHidden/>
          </w:rPr>
          <w:tab/>
        </w:r>
        <w:r w:rsidR="00830685">
          <w:rPr>
            <w:webHidden/>
          </w:rPr>
          <w:fldChar w:fldCharType="begin"/>
        </w:r>
        <w:r w:rsidR="00830685">
          <w:rPr>
            <w:webHidden/>
          </w:rPr>
          <w:instrText xml:space="preserve"> PAGEREF _Toc112064935 \h </w:instrText>
        </w:r>
        <w:r w:rsidR="00830685">
          <w:rPr>
            <w:webHidden/>
          </w:rPr>
        </w:r>
        <w:r w:rsidR="00830685">
          <w:rPr>
            <w:webHidden/>
          </w:rPr>
          <w:fldChar w:fldCharType="separate"/>
        </w:r>
        <w:r w:rsidR="00830685">
          <w:rPr>
            <w:webHidden/>
          </w:rPr>
          <w:t>80</w:t>
        </w:r>
        <w:r w:rsidR="00830685">
          <w:rPr>
            <w:webHidden/>
          </w:rPr>
          <w:fldChar w:fldCharType="end"/>
        </w:r>
      </w:hyperlink>
    </w:p>
    <w:p w14:paraId="28FFF9DA" w14:textId="4D69561D" w:rsidR="00830685" w:rsidRDefault="00C430DF">
      <w:pPr>
        <w:pStyle w:val="TOC2"/>
        <w:rPr>
          <w:rFonts w:asciiTheme="minorHAnsi" w:eastAsiaTheme="minorEastAsia" w:hAnsiTheme="minorHAnsi" w:cstheme="minorBidi"/>
          <w:bCs w:val="0"/>
          <w:sz w:val="22"/>
          <w:szCs w:val="22"/>
          <w:lang w:eastAsia="zh-CN" w:bidi="ar-SA"/>
        </w:rPr>
      </w:pPr>
      <w:hyperlink w:anchor="_Toc112064936" w:history="1">
        <w:r w:rsidR="00830685" w:rsidRPr="00B97A88">
          <w:rPr>
            <w:rStyle w:val="af8"/>
            <w:lang w:val="en"/>
          </w:rPr>
          <w:t>14.6</w:t>
        </w:r>
        <w:r w:rsidR="00830685">
          <w:rPr>
            <w:rFonts w:asciiTheme="minorHAnsi" w:eastAsiaTheme="minorEastAsia" w:hAnsiTheme="minorHAnsi" w:cstheme="minorBidi"/>
            <w:bCs w:val="0"/>
            <w:sz w:val="22"/>
            <w:szCs w:val="22"/>
            <w:lang w:eastAsia="zh-CN" w:bidi="ar-SA"/>
          </w:rPr>
          <w:tab/>
        </w:r>
        <w:r w:rsidR="00830685" w:rsidRPr="00B97A88">
          <w:rPr>
            <w:rStyle w:val="af8"/>
            <w:lang w:val="en"/>
          </w:rPr>
          <w:t>Confidential Data Protection</w:t>
        </w:r>
        <w:r w:rsidR="00830685">
          <w:rPr>
            <w:webHidden/>
          </w:rPr>
          <w:tab/>
        </w:r>
        <w:r w:rsidR="00830685">
          <w:rPr>
            <w:webHidden/>
          </w:rPr>
          <w:fldChar w:fldCharType="begin"/>
        </w:r>
        <w:r w:rsidR="00830685">
          <w:rPr>
            <w:webHidden/>
          </w:rPr>
          <w:instrText xml:space="preserve"> PAGEREF _Toc112064936 \h </w:instrText>
        </w:r>
        <w:r w:rsidR="00830685">
          <w:rPr>
            <w:webHidden/>
          </w:rPr>
        </w:r>
        <w:r w:rsidR="00830685">
          <w:rPr>
            <w:webHidden/>
          </w:rPr>
          <w:fldChar w:fldCharType="separate"/>
        </w:r>
        <w:r w:rsidR="00830685">
          <w:rPr>
            <w:webHidden/>
          </w:rPr>
          <w:t>80</w:t>
        </w:r>
        <w:r w:rsidR="00830685">
          <w:rPr>
            <w:webHidden/>
          </w:rPr>
          <w:fldChar w:fldCharType="end"/>
        </w:r>
      </w:hyperlink>
    </w:p>
    <w:p w14:paraId="7F20ECC5" w14:textId="31949986" w:rsidR="00830685" w:rsidRDefault="00C430DF">
      <w:pPr>
        <w:pStyle w:val="TOC2"/>
        <w:rPr>
          <w:rFonts w:asciiTheme="minorHAnsi" w:eastAsiaTheme="minorEastAsia" w:hAnsiTheme="minorHAnsi" w:cstheme="minorBidi"/>
          <w:bCs w:val="0"/>
          <w:sz w:val="22"/>
          <w:szCs w:val="22"/>
          <w:lang w:eastAsia="zh-CN" w:bidi="ar-SA"/>
        </w:rPr>
      </w:pPr>
      <w:hyperlink w:anchor="_Toc112064937" w:history="1">
        <w:r w:rsidR="00830685" w:rsidRPr="00B97A88">
          <w:rPr>
            <w:rStyle w:val="af8"/>
            <w:lang w:val="en"/>
          </w:rPr>
          <w:t>14.7</w:t>
        </w:r>
        <w:r w:rsidR="00830685">
          <w:rPr>
            <w:rFonts w:asciiTheme="minorHAnsi" w:eastAsiaTheme="minorEastAsia" w:hAnsiTheme="minorHAnsi" w:cstheme="minorBidi"/>
            <w:bCs w:val="0"/>
            <w:sz w:val="22"/>
            <w:szCs w:val="22"/>
            <w:lang w:eastAsia="zh-CN" w:bidi="ar-SA"/>
          </w:rPr>
          <w:tab/>
        </w:r>
        <w:r w:rsidR="00830685" w:rsidRPr="00B97A88">
          <w:rPr>
            <w:rStyle w:val="af8"/>
            <w:lang w:val="en"/>
          </w:rPr>
          <w:t>Financing and Insurance</w:t>
        </w:r>
        <w:r w:rsidR="00830685">
          <w:rPr>
            <w:webHidden/>
          </w:rPr>
          <w:tab/>
        </w:r>
        <w:r w:rsidR="00830685">
          <w:rPr>
            <w:webHidden/>
          </w:rPr>
          <w:fldChar w:fldCharType="begin"/>
        </w:r>
        <w:r w:rsidR="00830685">
          <w:rPr>
            <w:webHidden/>
          </w:rPr>
          <w:instrText xml:space="preserve"> PAGEREF _Toc112064937 \h </w:instrText>
        </w:r>
        <w:r w:rsidR="00830685">
          <w:rPr>
            <w:webHidden/>
          </w:rPr>
        </w:r>
        <w:r w:rsidR="00830685">
          <w:rPr>
            <w:webHidden/>
          </w:rPr>
          <w:fldChar w:fldCharType="separate"/>
        </w:r>
        <w:r w:rsidR="00830685">
          <w:rPr>
            <w:webHidden/>
          </w:rPr>
          <w:t>80</w:t>
        </w:r>
        <w:r w:rsidR="00830685">
          <w:rPr>
            <w:webHidden/>
          </w:rPr>
          <w:fldChar w:fldCharType="end"/>
        </w:r>
      </w:hyperlink>
    </w:p>
    <w:p w14:paraId="2D283F56" w14:textId="6CD7EC7A" w:rsidR="00830685" w:rsidRDefault="00C430DF">
      <w:pPr>
        <w:pStyle w:val="TOC1"/>
        <w:rPr>
          <w:rFonts w:asciiTheme="minorHAnsi" w:eastAsiaTheme="minorEastAsia" w:hAnsiTheme="minorHAnsi" w:cstheme="minorBidi"/>
          <w:b w:val="0"/>
          <w:bCs w:val="0"/>
          <w:sz w:val="22"/>
          <w:szCs w:val="22"/>
          <w:lang w:eastAsia="zh-CN" w:bidi="ar-SA"/>
        </w:rPr>
      </w:pPr>
      <w:hyperlink w:anchor="_Toc112064938" w:history="1">
        <w:r w:rsidR="00830685" w:rsidRPr="00B97A88">
          <w:rPr>
            <w:rStyle w:val="af8"/>
          </w:rPr>
          <w:t>15</w:t>
        </w:r>
        <w:r w:rsidR="00830685">
          <w:rPr>
            <w:rFonts w:asciiTheme="minorHAnsi" w:eastAsiaTheme="minorEastAsia" w:hAnsiTheme="minorHAnsi" w:cstheme="minorBidi"/>
            <w:b w:val="0"/>
            <w:bCs w:val="0"/>
            <w:sz w:val="22"/>
            <w:szCs w:val="22"/>
            <w:lang w:eastAsia="zh-CN" w:bidi="ar-SA"/>
          </w:rPr>
          <w:tab/>
        </w:r>
        <w:r w:rsidR="00830685" w:rsidRPr="00B97A88">
          <w:rPr>
            <w:rStyle w:val="af8"/>
          </w:rPr>
          <w:t>REFERENCES</w:t>
        </w:r>
        <w:r w:rsidR="00830685">
          <w:rPr>
            <w:webHidden/>
          </w:rPr>
          <w:tab/>
        </w:r>
        <w:r w:rsidR="00830685">
          <w:rPr>
            <w:webHidden/>
          </w:rPr>
          <w:fldChar w:fldCharType="begin"/>
        </w:r>
        <w:r w:rsidR="00830685">
          <w:rPr>
            <w:webHidden/>
          </w:rPr>
          <w:instrText xml:space="preserve"> PAGEREF _Toc112064938 \h </w:instrText>
        </w:r>
        <w:r w:rsidR="00830685">
          <w:rPr>
            <w:webHidden/>
          </w:rPr>
        </w:r>
        <w:r w:rsidR="00830685">
          <w:rPr>
            <w:webHidden/>
          </w:rPr>
          <w:fldChar w:fldCharType="separate"/>
        </w:r>
        <w:r w:rsidR="00830685">
          <w:rPr>
            <w:webHidden/>
          </w:rPr>
          <w:t>81</w:t>
        </w:r>
        <w:r w:rsidR="00830685">
          <w:rPr>
            <w:webHidden/>
          </w:rPr>
          <w:fldChar w:fldCharType="end"/>
        </w:r>
      </w:hyperlink>
    </w:p>
    <w:p w14:paraId="7C12888D" w14:textId="6BB88A92" w:rsidR="00830685" w:rsidRDefault="00C430DF">
      <w:pPr>
        <w:pStyle w:val="TOC1"/>
        <w:rPr>
          <w:rFonts w:asciiTheme="minorHAnsi" w:eastAsiaTheme="minorEastAsia" w:hAnsiTheme="minorHAnsi" w:cstheme="minorBidi"/>
          <w:b w:val="0"/>
          <w:bCs w:val="0"/>
          <w:sz w:val="22"/>
          <w:szCs w:val="22"/>
          <w:lang w:eastAsia="zh-CN" w:bidi="ar-SA"/>
        </w:rPr>
      </w:pPr>
      <w:hyperlink w:anchor="_Toc112064939" w:history="1">
        <w:r w:rsidR="00830685" w:rsidRPr="00B97A88">
          <w:rPr>
            <w:rStyle w:val="af8"/>
          </w:rPr>
          <w:t>16</w:t>
        </w:r>
        <w:r w:rsidR="00830685">
          <w:rPr>
            <w:rFonts w:asciiTheme="minorHAnsi" w:eastAsiaTheme="minorEastAsia" w:hAnsiTheme="minorHAnsi" w:cstheme="minorBidi"/>
            <w:b w:val="0"/>
            <w:bCs w:val="0"/>
            <w:sz w:val="22"/>
            <w:szCs w:val="22"/>
            <w:lang w:eastAsia="zh-CN" w:bidi="ar-SA"/>
          </w:rPr>
          <w:tab/>
        </w:r>
        <w:r w:rsidR="00830685" w:rsidRPr="00B97A88">
          <w:rPr>
            <w:rStyle w:val="af8"/>
          </w:rPr>
          <w:t>APPENDICES</w:t>
        </w:r>
        <w:r w:rsidR="00830685">
          <w:rPr>
            <w:webHidden/>
          </w:rPr>
          <w:tab/>
        </w:r>
        <w:r w:rsidR="00830685">
          <w:rPr>
            <w:webHidden/>
          </w:rPr>
          <w:fldChar w:fldCharType="begin"/>
        </w:r>
        <w:r w:rsidR="00830685">
          <w:rPr>
            <w:webHidden/>
          </w:rPr>
          <w:instrText xml:space="preserve"> PAGEREF _Toc112064939 \h </w:instrText>
        </w:r>
        <w:r w:rsidR="00830685">
          <w:rPr>
            <w:webHidden/>
          </w:rPr>
        </w:r>
        <w:r w:rsidR="00830685">
          <w:rPr>
            <w:webHidden/>
          </w:rPr>
          <w:fldChar w:fldCharType="separate"/>
        </w:r>
        <w:r w:rsidR="00830685">
          <w:rPr>
            <w:webHidden/>
          </w:rPr>
          <w:t>85</w:t>
        </w:r>
        <w:r w:rsidR="00830685">
          <w:rPr>
            <w:webHidden/>
          </w:rPr>
          <w:fldChar w:fldCharType="end"/>
        </w:r>
      </w:hyperlink>
    </w:p>
    <w:p w14:paraId="14E3C7B9" w14:textId="6E0D7FE8" w:rsidR="006438A2" w:rsidRPr="00C820E8" w:rsidRDefault="00E6257A" w:rsidP="007C6621">
      <w:pPr>
        <w:pStyle w:val="Blankline"/>
      </w:pPr>
      <w:r>
        <w:rPr>
          <w:rFonts w:ascii="Arial" w:eastAsiaTheme="majorEastAsia" w:hAnsi="Arial" w:cs="Arial"/>
          <w:b/>
          <w:color w:val="2B579A"/>
          <w:szCs w:val="20"/>
          <w:shd w:val="clear" w:color="auto" w:fill="E6E6E6"/>
        </w:rPr>
        <w:fldChar w:fldCharType="end"/>
      </w:r>
    </w:p>
    <w:p w14:paraId="6A4FC9C5" w14:textId="22CE5693" w:rsidR="00BC09BE" w:rsidRPr="00C820E8" w:rsidRDefault="00BC09BE" w:rsidP="007C6621">
      <w:pPr>
        <w:pStyle w:val="Blankline"/>
      </w:pPr>
    </w:p>
    <w:p w14:paraId="3E8A1811" w14:textId="2EC354CF" w:rsidR="00133A5B" w:rsidRPr="004F3D64" w:rsidRDefault="00270C9D" w:rsidP="00C16B56">
      <w:pPr>
        <w:pStyle w:val="1"/>
        <w:numPr>
          <w:ilvl w:val="0"/>
          <w:numId w:val="0"/>
        </w:numPr>
        <w:ind w:left="432" w:hanging="432"/>
      </w:pPr>
      <w:bookmarkStart w:id="6" w:name="_Toc112064813"/>
      <w:r w:rsidRPr="004F3D64">
        <w:lastRenderedPageBreak/>
        <w:t>LIST OF ABBREVIATIONS</w:t>
      </w:r>
      <w:bookmarkEnd w:id="6"/>
    </w:p>
    <w:p w14:paraId="1D95D992" w14:textId="6CD968B9" w:rsidR="00BC09BE" w:rsidRDefault="00BC09BE" w:rsidP="004D4C27">
      <w:pPr>
        <w:pStyle w:val="InstructionalText"/>
        <w:keepNext/>
        <w:keepLines/>
      </w:pPr>
    </w:p>
    <w:tbl>
      <w:tblPr>
        <w:tblW w:w="5000" w:type="pct"/>
        <w:tblLayout w:type="fixed"/>
        <w:tblCellMar>
          <w:top w:w="14" w:type="dxa"/>
          <w:bottom w:w="14" w:type="dxa"/>
        </w:tblCellMar>
        <w:tblLook w:val="0000" w:firstRow="0" w:lastRow="0" w:firstColumn="0" w:lastColumn="0" w:noHBand="0" w:noVBand="0"/>
      </w:tblPr>
      <w:tblGrid>
        <w:gridCol w:w="2258"/>
        <w:gridCol w:w="7102"/>
      </w:tblGrid>
      <w:tr w:rsidR="00B47883" w:rsidRPr="001C17C5" w14:paraId="770E2234" w14:textId="77777777" w:rsidTr="00F31A05">
        <w:trPr>
          <w:cantSplit/>
          <w:tblHeader/>
        </w:trPr>
        <w:tc>
          <w:tcPr>
            <w:tcW w:w="1206" w:type="pct"/>
            <w:tcBorders>
              <w:bottom w:val="single" w:sz="4" w:space="0" w:color="auto"/>
            </w:tcBorders>
          </w:tcPr>
          <w:p w14:paraId="26758B6D" w14:textId="77777777" w:rsidR="00B47883" w:rsidRPr="001C17C5" w:rsidRDefault="00B47883" w:rsidP="00F31A05">
            <w:pPr>
              <w:pStyle w:val="TableText"/>
              <w:rPr>
                <w:b/>
                <w:bCs/>
                <w:sz w:val="24"/>
              </w:rPr>
            </w:pPr>
            <w:r w:rsidRPr="001C17C5">
              <w:rPr>
                <w:b/>
                <w:bCs/>
                <w:sz w:val="24"/>
              </w:rPr>
              <w:t>Abbreviation</w:t>
            </w:r>
          </w:p>
        </w:tc>
        <w:tc>
          <w:tcPr>
            <w:tcW w:w="3794" w:type="pct"/>
            <w:tcBorders>
              <w:bottom w:val="single" w:sz="4" w:space="0" w:color="auto"/>
            </w:tcBorders>
          </w:tcPr>
          <w:p w14:paraId="0672A41A" w14:textId="77777777" w:rsidR="00B47883" w:rsidRPr="001C17C5" w:rsidRDefault="00B47883" w:rsidP="00F31A05">
            <w:pPr>
              <w:pStyle w:val="TableText"/>
              <w:rPr>
                <w:b/>
                <w:bCs/>
                <w:sz w:val="24"/>
              </w:rPr>
            </w:pPr>
            <w:r w:rsidRPr="001C17C5">
              <w:rPr>
                <w:b/>
                <w:bCs/>
                <w:sz w:val="24"/>
              </w:rPr>
              <w:t>Definition</w:t>
            </w:r>
          </w:p>
        </w:tc>
      </w:tr>
      <w:tr w:rsidR="00B47883" w:rsidRPr="001C17C5" w14:paraId="7B728F28" w14:textId="77777777" w:rsidTr="00F31A05">
        <w:trPr>
          <w:cantSplit/>
        </w:trPr>
        <w:tc>
          <w:tcPr>
            <w:tcW w:w="1206" w:type="pct"/>
          </w:tcPr>
          <w:p w14:paraId="74431DE6" w14:textId="77777777" w:rsidR="00B47883" w:rsidRPr="00883836" w:rsidRDefault="00B47883" w:rsidP="00F31A05">
            <w:pPr>
              <w:pStyle w:val="TableText"/>
              <w:rPr>
                <w:sz w:val="24"/>
              </w:rPr>
            </w:pPr>
            <w:r w:rsidRPr="00883836">
              <w:rPr>
                <w:sz w:val="24"/>
              </w:rPr>
              <w:t>AE</w:t>
            </w:r>
          </w:p>
        </w:tc>
        <w:tc>
          <w:tcPr>
            <w:tcW w:w="3794" w:type="pct"/>
          </w:tcPr>
          <w:p w14:paraId="4DDEE7E1" w14:textId="77777777" w:rsidR="00B47883" w:rsidRPr="001C17C5" w:rsidRDefault="00B47883" w:rsidP="00F31A05">
            <w:pPr>
              <w:pStyle w:val="TableText"/>
              <w:rPr>
                <w:sz w:val="24"/>
              </w:rPr>
            </w:pPr>
            <w:r w:rsidRPr="001C17C5">
              <w:rPr>
                <w:sz w:val="24"/>
              </w:rPr>
              <w:t>adverse event</w:t>
            </w:r>
          </w:p>
        </w:tc>
      </w:tr>
      <w:tr w:rsidR="00750591" w:rsidRPr="001C17C5" w14:paraId="25803271" w14:textId="77777777" w:rsidTr="00F31A05">
        <w:trPr>
          <w:cantSplit/>
        </w:trPr>
        <w:tc>
          <w:tcPr>
            <w:tcW w:w="1206" w:type="pct"/>
          </w:tcPr>
          <w:p w14:paraId="3527C5D3" w14:textId="57505CC3" w:rsidR="00750591" w:rsidRPr="00883836" w:rsidRDefault="00750591" w:rsidP="00F31A05">
            <w:pPr>
              <w:pStyle w:val="TableText"/>
              <w:rPr>
                <w:sz w:val="24"/>
                <w:lang w:eastAsia="zh-CN"/>
              </w:rPr>
            </w:pPr>
            <w:r>
              <w:rPr>
                <w:rFonts w:hint="eastAsia"/>
                <w:sz w:val="24"/>
                <w:lang w:eastAsia="zh-CN"/>
              </w:rPr>
              <w:t>A</w:t>
            </w:r>
            <w:r>
              <w:rPr>
                <w:sz w:val="24"/>
                <w:lang w:eastAsia="zh-CN"/>
              </w:rPr>
              <w:t>PTT</w:t>
            </w:r>
          </w:p>
        </w:tc>
        <w:tc>
          <w:tcPr>
            <w:tcW w:w="3794" w:type="pct"/>
          </w:tcPr>
          <w:p w14:paraId="51DCFA6E" w14:textId="05A51A61" w:rsidR="00750591" w:rsidRPr="001C17C5" w:rsidRDefault="00750591" w:rsidP="00F31A05">
            <w:pPr>
              <w:pStyle w:val="TableText"/>
              <w:rPr>
                <w:sz w:val="24"/>
              </w:rPr>
            </w:pPr>
            <w:r w:rsidRPr="00750591">
              <w:rPr>
                <w:sz w:val="24"/>
              </w:rPr>
              <w:t>activated partial thromboplastin time</w:t>
            </w:r>
          </w:p>
        </w:tc>
      </w:tr>
      <w:tr w:rsidR="007F27B2" w:rsidRPr="001C17C5" w14:paraId="28772C67" w14:textId="77777777" w:rsidTr="00F31A05">
        <w:trPr>
          <w:cantSplit/>
        </w:trPr>
        <w:tc>
          <w:tcPr>
            <w:tcW w:w="1206" w:type="pct"/>
          </w:tcPr>
          <w:p w14:paraId="7B24B479" w14:textId="7F2222E6" w:rsidR="007F27B2" w:rsidRPr="00883836" w:rsidRDefault="007F27B2" w:rsidP="00F31A05">
            <w:pPr>
              <w:pStyle w:val="TableText"/>
              <w:rPr>
                <w:sz w:val="24"/>
                <w:lang w:eastAsia="zh-CN"/>
              </w:rPr>
            </w:pPr>
            <w:r w:rsidRPr="007F27B2">
              <w:rPr>
                <w:sz w:val="24"/>
                <w:lang w:eastAsia="zh-CN"/>
              </w:rPr>
              <w:t>AUC</w:t>
            </w:r>
            <w:r w:rsidRPr="007F27B2">
              <w:rPr>
                <w:sz w:val="24"/>
                <w:vertAlign w:val="subscript"/>
                <w:lang w:eastAsia="zh-CN"/>
              </w:rPr>
              <w:t>0-28d</w:t>
            </w:r>
          </w:p>
        </w:tc>
        <w:tc>
          <w:tcPr>
            <w:tcW w:w="3794" w:type="pct"/>
          </w:tcPr>
          <w:p w14:paraId="4A2C81AA" w14:textId="22018DAE" w:rsidR="007F27B2" w:rsidRPr="001C17C5" w:rsidRDefault="007F27B2" w:rsidP="00F31A05">
            <w:pPr>
              <w:pStyle w:val="TableText"/>
              <w:rPr>
                <w:sz w:val="24"/>
              </w:rPr>
            </w:pPr>
            <w:r>
              <w:rPr>
                <w:rFonts w:hint="eastAsia"/>
                <w:sz w:val="24"/>
                <w:lang w:eastAsia="zh-CN"/>
              </w:rPr>
              <w:t>a</w:t>
            </w:r>
            <w:r w:rsidRPr="007F27B2">
              <w:rPr>
                <w:sz w:val="24"/>
                <w:lang w:eastAsia="zh-CN"/>
              </w:rPr>
              <w:t>rea under the curve from time zero to Day 28</w:t>
            </w:r>
          </w:p>
        </w:tc>
      </w:tr>
      <w:tr w:rsidR="007F27B2" w:rsidRPr="001C17C5" w14:paraId="15DB6B41" w14:textId="77777777" w:rsidTr="00F31A05">
        <w:trPr>
          <w:cantSplit/>
        </w:trPr>
        <w:tc>
          <w:tcPr>
            <w:tcW w:w="1206" w:type="pct"/>
          </w:tcPr>
          <w:p w14:paraId="690CD405" w14:textId="31FB113D" w:rsidR="007F27B2" w:rsidRPr="007F27B2" w:rsidRDefault="007F27B2" w:rsidP="00F31A05">
            <w:pPr>
              <w:pStyle w:val="TableText"/>
              <w:rPr>
                <w:sz w:val="24"/>
                <w:lang w:eastAsia="zh-CN"/>
              </w:rPr>
            </w:pPr>
            <w:r w:rsidRPr="007F27B2">
              <w:rPr>
                <w:sz w:val="24"/>
                <w:lang w:eastAsia="zh-CN"/>
              </w:rPr>
              <w:t>AUC</w:t>
            </w:r>
            <w:r w:rsidRPr="007F27B2">
              <w:rPr>
                <w:sz w:val="24"/>
                <w:vertAlign w:val="subscript"/>
                <w:lang w:eastAsia="zh-CN"/>
              </w:rPr>
              <w:t>0-</w:t>
            </w:r>
            <w:r>
              <w:rPr>
                <w:sz w:val="24"/>
                <w:vertAlign w:val="subscript"/>
                <w:lang w:eastAsia="zh-CN"/>
              </w:rPr>
              <w:t>90</w:t>
            </w:r>
            <w:r w:rsidRPr="007F27B2">
              <w:rPr>
                <w:sz w:val="24"/>
                <w:vertAlign w:val="subscript"/>
                <w:lang w:eastAsia="zh-CN"/>
              </w:rPr>
              <w:t>d</w:t>
            </w:r>
          </w:p>
        </w:tc>
        <w:tc>
          <w:tcPr>
            <w:tcW w:w="3794" w:type="pct"/>
          </w:tcPr>
          <w:p w14:paraId="2C2EAE24" w14:textId="6FE4AD70" w:rsidR="007F27B2" w:rsidRPr="001C17C5" w:rsidRDefault="007F27B2" w:rsidP="00F31A05">
            <w:pPr>
              <w:pStyle w:val="TableText"/>
              <w:rPr>
                <w:sz w:val="24"/>
              </w:rPr>
            </w:pPr>
            <w:r>
              <w:rPr>
                <w:rFonts w:hint="eastAsia"/>
                <w:sz w:val="24"/>
                <w:lang w:eastAsia="zh-CN"/>
              </w:rPr>
              <w:t>a</w:t>
            </w:r>
            <w:r w:rsidRPr="007F27B2">
              <w:rPr>
                <w:sz w:val="24"/>
                <w:lang w:eastAsia="zh-CN"/>
              </w:rPr>
              <w:t xml:space="preserve">rea under the curve from time zero to Day </w:t>
            </w:r>
            <w:r>
              <w:rPr>
                <w:sz w:val="24"/>
                <w:lang w:eastAsia="zh-CN"/>
              </w:rPr>
              <w:t>90</w:t>
            </w:r>
          </w:p>
        </w:tc>
      </w:tr>
      <w:tr w:rsidR="00B47883" w:rsidRPr="001C17C5" w14:paraId="0911EBF1" w14:textId="77777777" w:rsidTr="00F31A05">
        <w:trPr>
          <w:cantSplit/>
        </w:trPr>
        <w:tc>
          <w:tcPr>
            <w:tcW w:w="1206" w:type="pct"/>
          </w:tcPr>
          <w:p w14:paraId="148B9996" w14:textId="15625AF1" w:rsidR="00B47883" w:rsidRPr="00883836" w:rsidRDefault="00B47883" w:rsidP="00F31A05">
            <w:pPr>
              <w:pStyle w:val="TableText"/>
              <w:rPr>
                <w:sz w:val="24"/>
              </w:rPr>
            </w:pPr>
            <w:r>
              <w:rPr>
                <w:rFonts w:hint="eastAsia"/>
                <w:sz w:val="24"/>
              </w:rPr>
              <w:t>B</w:t>
            </w:r>
            <w:r>
              <w:rPr>
                <w:sz w:val="24"/>
              </w:rPr>
              <w:t>CMA</w:t>
            </w:r>
          </w:p>
        </w:tc>
        <w:tc>
          <w:tcPr>
            <w:tcW w:w="3794" w:type="pct"/>
          </w:tcPr>
          <w:p w14:paraId="4A8FC8AA" w14:textId="7FF97A5D" w:rsidR="00B47883" w:rsidRPr="001C17C5" w:rsidRDefault="00B47883" w:rsidP="00F31A05">
            <w:pPr>
              <w:pStyle w:val="TableText"/>
              <w:rPr>
                <w:sz w:val="24"/>
              </w:rPr>
            </w:pPr>
            <w:r w:rsidRPr="00B47883">
              <w:rPr>
                <w:sz w:val="24"/>
              </w:rPr>
              <w:t>B cell maturation antigen</w:t>
            </w:r>
          </w:p>
        </w:tc>
      </w:tr>
      <w:tr w:rsidR="002C5172" w:rsidRPr="001C17C5" w14:paraId="1E7CE490" w14:textId="77777777" w:rsidTr="00F31A05">
        <w:trPr>
          <w:cantSplit/>
        </w:trPr>
        <w:tc>
          <w:tcPr>
            <w:tcW w:w="1206" w:type="pct"/>
          </w:tcPr>
          <w:p w14:paraId="31D6C305" w14:textId="1423F077" w:rsidR="002C5172" w:rsidRDefault="002C5172" w:rsidP="00F31A05">
            <w:pPr>
              <w:pStyle w:val="TableText"/>
              <w:rPr>
                <w:sz w:val="24"/>
                <w:lang w:eastAsia="zh-CN"/>
              </w:rPr>
            </w:pPr>
            <w:r>
              <w:rPr>
                <w:rFonts w:hint="eastAsia"/>
                <w:sz w:val="24"/>
                <w:lang w:eastAsia="zh-CN"/>
              </w:rPr>
              <w:t>C</w:t>
            </w:r>
            <w:r>
              <w:rPr>
                <w:sz w:val="24"/>
                <w:lang w:eastAsia="zh-CN"/>
              </w:rPr>
              <w:t>T</w:t>
            </w:r>
          </w:p>
        </w:tc>
        <w:tc>
          <w:tcPr>
            <w:tcW w:w="3794" w:type="pct"/>
          </w:tcPr>
          <w:p w14:paraId="170463FF" w14:textId="29574094" w:rsidR="002C5172" w:rsidRPr="00B47883" w:rsidRDefault="002C5172" w:rsidP="00F31A05">
            <w:pPr>
              <w:pStyle w:val="TableText"/>
              <w:rPr>
                <w:sz w:val="24"/>
              </w:rPr>
            </w:pPr>
            <w:bookmarkStart w:id="7" w:name="_Hlk111915042"/>
            <w:r w:rsidRPr="002C5172">
              <w:rPr>
                <w:sz w:val="24"/>
              </w:rPr>
              <w:t>computed tomography</w:t>
            </w:r>
            <w:bookmarkEnd w:id="7"/>
          </w:p>
        </w:tc>
      </w:tr>
      <w:tr w:rsidR="00587B49" w:rsidRPr="001C17C5" w14:paraId="6A777992" w14:textId="77777777" w:rsidTr="00F31A05">
        <w:trPr>
          <w:cantSplit/>
        </w:trPr>
        <w:tc>
          <w:tcPr>
            <w:tcW w:w="1206" w:type="pct"/>
          </w:tcPr>
          <w:p w14:paraId="47B9F0F1" w14:textId="49499B4F" w:rsidR="00587B49" w:rsidRDefault="00587B49" w:rsidP="00F31A05">
            <w:pPr>
              <w:pStyle w:val="TableText"/>
              <w:rPr>
                <w:sz w:val="24"/>
                <w:lang w:eastAsia="zh-CN"/>
              </w:rPr>
            </w:pPr>
            <w:r>
              <w:rPr>
                <w:rFonts w:hint="eastAsia"/>
                <w:sz w:val="24"/>
                <w:lang w:eastAsia="zh-CN"/>
              </w:rPr>
              <w:t>C</w:t>
            </w:r>
            <w:r>
              <w:rPr>
                <w:sz w:val="24"/>
                <w:lang w:eastAsia="zh-CN"/>
              </w:rPr>
              <w:t>TCAE</w:t>
            </w:r>
          </w:p>
        </w:tc>
        <w:tc>
          <w:tcPr>
            <w:tcW w:w="3794" w:type="pct"/>
          </w:tcPr>
          <w:p w14:paraId="435D3999" w14:textId="456F1023" w:rsidR="00587B49" w:rsidRPr="002C5172" w:rsidRDefault="00587B49" w:rsidP="00F31A05">
            <w:pPr>
              <w:pStyle w:val="TableText"/>
              <w:rPr>
                <w:sz w:val="24"/>
              </w:rPr>
            </w:pPr>
            <w:r w:rsidRPr="00587B49">
              <w:rPr>
                <w:sz w:val="24"/>
              </w:rPr>
              <w:t>Common Terminology Criteria for Adverse Reactions</w:t>
            </w:r>
          </w:p>
        </w:tc>
      </w:tr>
      <w:tr w:rsidR="007F27B2" w:rsidRPr="001C17C5" w14:paraId="1177E002" w14:textId="77777777" w:rsidTr="00F31A05">
        <w:trPr>
          <w:cantSplit/>
        </w:trPr>
        <w:tc>
          <w:tcPr>
            <w:tcW w:w="1206" w:type="pct"/>
          </w:tcPr>
          <w:p w14:paraId="1711EB19" w14:textId="0D812D8C" w:rsidR="007F27B2" w:rsidRDefault="007F27B2" w:rsidP="00F31A05">
            <w:pPr>
              <w:pStyle w:val="TableText"/>
              <w:rPr>
                <w:sz w:val="24"/>
              </w:rPr>
            </w:pPr>
            <w:proofErr w:type="spellStart"/>
            <w:r>
              <w:rPr>
                <w:rFonts w:hint="eastAsia"/>
                <w:sz w:val="24"/>
              </w:rPr>
              <w:t>C</w:t>
            </w:r>
            <w:r w:rsidRPr="007F27B2">
              <w:rPr>
                <w:sz w:val="24"/>
                <w:vertAlign w:val="subscript"/>
              </w:rPr>
              <w:t>max</w:t>
            </w:r>
            <w:proofErr w:type="spellEnd"/>
          </w:p>
        </w:tc>
        <w:tc>
          <w:tcPr>
            <w:tcW w:w="3794" w:type="pct"/>
          </w:tcPr>
          <w:p w14:paraId="2574EB69" w14:textId="1B0359D6" w:rsidR="007F27B2" w:rsidRPr="00B47883" w:rsidRDefault="007F27B2" w:rsidP="00F31A05">
            <w:pPr>
              <w:pStyle w:val="TableText"/>
              <w:rPr>
                <w:sz w:val="24"/>
              </w:rPr>
            </w:pPr>
            <w:r w:rsidRPr="007F27B2">
              <w:rPr>
                <w:sz w:val="24"/>
              </w:rPr>
              <w:t>maximum plasma concentration</w:t>
            </w:r>
          </w:p>
        </w:tc>
      </w:tr>
      <w:tr w:rsidR="00662C37" w:rsidRPr="001C17C5" w14:paraId="6BEB2B54" w14:textId="77777777" w:rsidTr="00F31A05">
        <w:trPr>
          <w:cantSplit/>
        </w:trPr>
        <w:tc>
          <w:tcPr>
            <w:tcW w:w="1206" w:type="pct"/>
          </w:tcPr>
          <w:p w14:paraId="32A62AC0" w14:textId="0AE2D4FC" w:rsidR="00662C37" w:rsidRPr="00C33FAC" w:rsidRDefault="00662C37" w:rsidP="00F31A05">
            <w:pPr>
              <w:pStyle w:val="TableText"/>
              <w:rPr>
                <w:sz w:val="24"/>
                <w:lang w:eastAsia="zh-CN"/>
              </w:rPr>
            </w:pPr>
            <w:r>
              <w:rPr>
                <w:rFonts w:hint="eastAsia"/>
                <w:sz w:val="24"/>
                <w:lang w:eastAsia="zh-CN"/>
              </w:rPr>
              <w:t>C</w:t>
            </w:r>
            <w:r>
              <w:rPr>
                <w:sz w:val="24"/>
                <w:lang w:eastAsia="zh-CN"/>
              </w:rPr>
              <w:t>R</w:t>
            </w:r>
          </w:p>
        </w:tc>
        <w:tc>
          <w:tcPr>
            <w:tcW w:w="3794" w:type="pct"/>
          </w:tcPr>
          <w:p w14:paraId="2BC2D17B" w14:textId="6E8F71F4" w:rsidR="00662C37" w:rsidRPr="00C33FAC" w:rsidRDefault="00662C37" w:rsidP="00F31A05">
            <w:pPr>
              <w:pStyle w:val="TableText"/>
              <w:rPr>
                <w:sz w:val="24"/>
              </w:rPr>
            </w:pPr>
            <w:r w:rsidRPr="00662C37">
              <w:rPr>
                <w:sz w:val="24"/>
              </w:rPr>
              <w:t>complete response</w:t>
            </w:r>
          </w:p>
        </w:tc>
      </w:tr>
      <w:tr w:rsidR="00C3075E" w:rsidRPr="001C17C5" w14:paraId="5373BB05" w14:textId="77777777" w:rsidTr="00F31A05">
        <w:trPr>
          <w:cantSplit/>
        </w:trPr>
        <w:tc>
          <w:tcPr>
            <w:tcW w:w="1206" w:type="pct"/>
          </w:tcPr>
          <w:p w14:paraId="076BB280" w14:textId="151F00B0" w:rsidR="00C3075E" w:rsidRDefault="00C3075E" w:rsidP="00F31A05">
            <w:pPr>
              <w:pStyle w:val="TableText"/>
              <w:rPr>
                <w:sz w:val="24"/>
                <w:lang w:eastAsia="zh-CN"/>
              </w:rPr>
            </w:pPr>
            <w:r>
              <w:rPr>
                <w:rFonts w:hint="eastAsia"/>
                <w:sz w:val="24"/>
                <w:lang w:eastAsia="zh-CN"/>
              </w:rPr>
              <w:t>C</w:t>
            </w:r>
            <w:r>
              <w:rPr>
                <w:sz w:val="24"/>
                <w:lang w:eastAsia="zh-CN"/>
              </w:rPr>
              <w:t>RA</w:t>
            </w:r>
          </w:p>
        </w:tc>
        <w:tc>
          <w:tcPr>
            <w:tcW w:w="3794" w:type="pct"/>
          </w:tcPr>
          <w:p w14:paraId="49AB80A9" w14:textId="07C1C1C0" w:rsidR="00C3075E" w:rsidRPr="00662C37" w:rsidRDefault="00C3075E" w:rsidP="00F31A05">
            <w:pPr>
              <w:pStyle w:val="TableText"/>
              <w:rPr>
                <w:sz w:val="24"/>
              </w:rPr>
            </w:pPr>
            <w:r w:rsidRPr="00C3075E">
              <w:rPr>
                <w:sz w:val="24"/>
              </w:rPr>
              <w:t>clinical research associate</w:t>
            </w:r>
          </w:p>
        </w:tc>
      </w:tr>
      <w:tr w:rsidR="00B7729A" w:rsidRPr="001C17C5" w14:paraId="42438E91" w14:textId="77777777" w:rsidTr="00F31A05">
        <w:trPr>
          <w:cantSplit/>
        </w:trPr>
        <w:tc>
          <w:tcPr>
            <w:tcW w:w="1206" w:type="pct"/>
          </w:tcPr>
          <w:p w14:paraId="5A2B338D" w14:textId="2672C196" w:rsidR="00B7729A" w:rsidRDefault="00B7729A" w:rsidP="00F31A05">
            <w:pPr>
              <w:pStyle w:val="TableText"/>
              <w:rPr>
                <w:sz w:val="24"/>
                <w:lang w:eastAsia="zh-CN"/>
              </w:rPr>
            </w:pPr>
            <w:r>
              <w:rPr>
                <w:rFonts w:hint="eastAsia"/>
                <w:sz w:val="24"/>
                <w:lang w:eastAsia="zh-CN"/>
              </w:rPr>
              <w:t>C</w:t>
            </w:r>
            <w:r>
              <w:rPr>
                <w:sz w:val="24"/>
                <w:lang w:eastAsia="zh-CN"/>
              </w:rPr>
              <w:t>RES</w:t>
            </w:r>
          </w:p>
        </w:tc>
        <w:tc>
          <w:tcPr>
            <w:tcW w:w="3794" w:type="pct"/>
          </w:tcPr>
          <w:p w14:paraId="4665964B" w14:textId="40007449" w:rsidR="00B7729A" w:rsidRPr="00C3075E" w:rsidRDefault="00B7729A" w:rsidP="00F31A05">
            <w:pPr>
              <w:pStyle w:val="TableText"/>
              <w:rPr>
                <w:sz w:val="24"/>
              </w:rPr>
            </w:pPr>
            <w:r w:rsidRPr="00B7729A">
              <w:rPr>
                <w:sz w:val="24"/>
              </w:rPr>
              <w:t>cell relevant encephalopathy syndrome</w:t>
            </w:r>
          </w:p>
        </w:tc>
      </w:tr>
      <w:tr w:rsidR="00C33FAC" w:rsidRPr="001C17C5" w14:paraId="075CB07F" w14:textId="77777777" w:rsidTr="00F31A05">
        <w:trPr>
          <w:cantSplit/>
        </w:trPr>
        <w:tc>
          <w:tcPr>
            <w:tcW w:w="1206" w:type="pct"/>
          </w:tcPr>
          <w:p w14:paraId="1872E794" w14:textId="5079C447" w:rsidR="00C33FAC" w:rsidRPr="00C33FAC" w:rsidRDefault="00C33FAC" w:rsidP="00F31A05">
            <w:pPr>
              <w:pStyle w:val="TableText"/>
              <w:rPr>
                <w:sz w:val="24"/>
              </w:rPr>
            </w:pPr>
            <w:r>
              <w:rPr>
                <w:rFonts w:hint="eastAsia"/>
                <w:sz w:val="24"/>
              </w:rPr>
              <w:t>C</w:t>
            </w:r>
            <w:r>
              <w:rPr>
                <w:sz w:val="24"/>
              </w:rPr>
              <w:t>RS</w:t>
            </w:r>
          </w:p>
        </w:tc>
        <w:tc>
          <w:tcPr>
            <w:tcW w:w="3794" w:type="pct"/>
          </w:tcPr>
          <w:p w14:paraId="0B2AE33F" w14:textId="6542DFC2" w:rsidR="00C33FAC" w:rsidRPr="00C33FAC" w:rsidRDefault="00C33FAC" w:rsidP="00F31A05">
            <w:pPr>
              <w:pStyle w:val="TableText"/>
              <w:rPr>
                <w:sz w:val="24"/>
              </w:rPr>
            </w:pPr>
            <w:bookmarkStart w:id="8" w:name="_Hlk112058971"/>
            <w:r>
              <w:rPr>
                <w:sz w:val="24"/>
              </w:rPr>
              <w:t>c</w:t>
            </w:r>
            <w:r w:rsidRPr="00C33FAC">
              <w:rPr>
                <w:sz w:val="24"/>
              </w:rPr>
              <w:t xml:space="preserve">ytokine </w:t>
            </w:r>
            <w:r>
              <w:rPr>
                <w:sz w:val="24"/>
              </w:rPr>
              <w:t>r</w:t>
            </w:r>
            <w:r w:rsidRPr="00C33FAC">
              <w:rPr>
                <w:sz w:val="24"/>
              </w:rPr>
              <w:t xml:space="preserve">elease </w:t>
            </w:r>
            <w:r>
              <w:rPr>
                <w:sz w:val="24"/>
              </w:rPr>
              <w:t>s</w:t>
            </w:r>
            <w:r w:rsidRPr="00C33FAC">
              <w:rPr>
                <w:sz w:val="24"/>
              </w:rPr>
              <w:t>yndrome</w:t>
            </w:r>
            <w:bookmarkEnd w:id="8"/>
          </w:p>
        </w:tc>
      </w:tr>
      <w:tr w:rsidR="00662C37" w:rsidRPr="001C17C5" w14:paraId="252FA403" w14:textId="77777777" w:rsidTr="00F31A05">
        <w:trPr>
          <w:cantSplit/>
        </w:trPr>
        <w:tc>
          <w:tcPr>
            <w:tcW w:w="1206" w:type="pct"/>
          </w:tcPr>
          <w:p w14:paraId="4BE26458" w14:textId="47503137" w:rsidR="00662C37" w:rsidRDefault="00662C37" w:rsidP="00F31A05">
            <w:pPr>
              <w:pStyle w:val="TableText"/>
              <w:rPr>
                <w:sz w:val="24"/>
                <w:lang w:eastAsia="zh-CN"/>
              </w:rPr>
            </w:pPr>
            <w:r>
              <w:rPr>
                <w:rFonts w:hint="eastAsia"/>
                <w:sz w:val="24"/>
                <w:lang w:eastAsia="zh-CN"/>
              </w:rPr>
              <w:t>D</w:t>
            </w:r>
            <w:r>
              <w:rPr>
                <w:sz w:val="24"/>
                <w:lang w:eastAsia="zh-CN"/>
              </w:rPr>
              <w:t>OR</w:t>
            </w:r>
          </w:p>
        </w:tc>
        <w:tc>
          <w:tcPr>
            <w:tcW w:w="3794" w:type="pct"/>
          </w:tcPr>
          <w:p w14:paraId="47305B69" w14:textId="7E6D8782" w:rsidR="00662C37" w:rsidRDefault="00662C37" w:rsidP="00F31A05">
            <w:pPr>
              <w:pStyle w:val="TableText"/>
              <w:rPr>
                <w:sz w:val="24"/>
                <w:lang w:eastAsia="zh-CN"/>
              </w:rPr>
            </w:pPr>
            <w:r>
              <w:rPr>
                <w:rFonts w:hint="eastAsia"/>
                <w:sz w:val="24"/>
                <w:lang w:eastAsia="zh-CN"/>
              </w:rPr>
              <w:t>d</w:t>
            </w:r>
            <w:r>
              <w:rPr>
                <w:sz w:val="24"/>
                <w:lang w:eastAsia="zh-CN"/>
              </w:rPr>
              <w:t>uration of response</w:t>
            </w:r>
          </w:p>
        </w:tc>
      </w:tr>
      <w:tr w:rsidR="0048556E" w:rsidRPr="001C17C5" w14:paraId="599FD27D" w14:textId="77777777" w:rsidTr="00F31A05">
        <w:trPr>
          <w:cantSplit/>
        </w:trPr>
        <w:tc>
          <w:tcPr>
            <w:tcW w:w="1206" w:type="pct"/>
          </w:tcPr>
          <w:p w14:paraId="24237029" w14:textId="4E0541D6" w:rsidR="0048556E" w:rsidRDefault="0048556E" w:rsidP="00F31A05">
            <w:pPr>
              <w:pStyle w:val="TableText"/>
              <w:rPr>
                <w:sz w:val="24"/>
                <w:lang w:eastAsia="zh-CN"/>
              </w:rPr>
            </w:pPr>
            <w:r>
              <w:rPr>
                <w:rFonts w:hint="eastAsia"/>
                <w:sz w:val="24"/>
                <w:lang w:eastAsia="zh-CN"/>
              </w:rPr>
              <w:t>E</w:t>
            </w:r>
            <w:r>
              <w:rPr>
                <w:sz w:val="24"/>
                <w:lang w:eastAsia="zh-CN"/>
              </w:rPr>
              <w:t>CG</w:t>
            </w:r>
          </w:p>
        </w:tc>
        <w:tc>
          <w:tcPr>
            <w:tcW w:w="3794" w:type="pct"/>
          </w:tcPr>
          <w:p w14:paraId="7E929D0C" w14:textId="36DB4606" w:rsidR="0048556E" w:rsidRDefault="0048556E" w:rsidP="00F31A05">
            <w:pPr>
              <w:pStyle w:val="TableText"/>
              <w:rPr>
                <w:sz w:val="24"/>
                <w:lang w:eastAsia="zh-CN"/>
              </w:rPr>
            </w:pPr>
            <w:r w:rsidRPr="0048556E">
              <w:rPr>
                <w:sz w:val="24"/>
                <w:lang w:eastAsia="zh-CN"/>
              </w:rPr>
              <w:t>electrocardiogram</w:t>
            </w:r>
          </w:p>
        </w:tc>
      </w:tr>
      <w:tr w:rsidR="00750591" w:rsidRPr="001C17C5" w14:paraId="12D4A2C1" w14:textId="77777777" w:rsidTr="00F31A05">
        <w:trPr>
          <w:cantSplit/>
        </w:trPr>
        <w:tc>
          <w:tcPr>
            <w:tcW w:w="1206" w:type="pct"/>
          </w:tcPr>
          <w:p w14:paraId="3FBA8043" w14:textId="5F639D11" w:rsidR="00750591" w:rsidRDefault="00750591" w:rsidP="00F31A05">
            <w:pPr>
              <w:pStyle w:val="TableText"/>
              <w:rPr>
                <w:sz w:val="24"/>
                <w:lang w:eastAsia="zh-CN"/>
              </w:rPr>
            </w:pPr>
            <w:r>
              <w:rPr>
                <w:rFonts w:hint="eastAsia"/>
                <w:sz w:val="24"/>
                <w:lang w:eastAsia="zh-CN"/>
              </w:rPr>
              <w:t>E</w:t>
            </w:r>
            <w:r>
              <w:rPr>
                <w:sz w:val="24"/>
                <w:lang w:eastAsia="zh-CN"/>
              </w:rPr>
              <w:t>COG</w:t>
            </w:r>
          </w:p>
        </w:tc>
        <w:tc>
          <w:tcPr>
            <w:tcW w:w="3794" w:type="pct"/>
          </w:tcPr>
          <w:p w14:paraId="70D76899" w14:textId="79919EEF" w:rsidR="00750591" w:rsidRDefault="00750591" w:rsidP="00F31A05">
            <w:pPr>
              <w:pStyle w:val="TableText"/>
              <w:rPr>
                <w:sz w:val="24"/>
                <w:lang w:eastAsia="zh-CN"/>
              </w:rPr>
            </w:pPr>
            <w:r w:rsidRPr="00750591">
              <w:rPr>
                <w:sz w:val="24"/>
                <w:lang w:eastAsia="zh-CN"/>
              </w:rPr>
              <w:t>Eastern Cooperative Oncology Group</w:t>
            </w:r>
          </w:p>
        </w:tc>
      </w:tr>
      <w:tr w:rsidR="001822A0" w:rsidRPr="001C17C5" w14:paraId="460C1EAD" w14:textId="77777777" w:rsidTr="00F31A05">
        <w:trPr>
          <w:cantSplit/>
        </w:trPr>
        <w:tc>
          <w:tcPr>
            <w:tcW w:w="1206" w:type="pct"/>
          </w:tcPr>
          <w:p w14:paraId="03A87C8E" w14:textId="5E10F5DA" w:rsidR="001822A0" w:rsidRDefault="001822A0" w:rsidP="00F31A05">
            <w:pPr>
              <w:pStyle w:val="TableText"/>
              <w:rPr>
                <w:sz w:val="24"/>
                <w:lang w:eastAsia="zh-CN"/>
              </w:rPr>
            </w:pPr>
            <w:r>
              <w:rPr>
                <w:rFonts w:hint="eastAsia"/>
                <w:sz w:val="24"/>
                <w:lang w:eastAsia="zh-CN"/>
              </w:rPr>
              <w:t>e</w:t>
            </w:r>
            <w:r>
              <w:rPr>
                <w:sz w:val="24"/>
                <w:lang w:eastAsia="zh-CN"/>
              </w:rPr>
              <w:t>CRF</w:t>
            </w:r>
          </w:p>
        </w:tc>
        <w:tc>
          <w:tcPr>
            <w:tcW w:w="3794" w:type="pct"/>
          </w:tcPr>
          <w:p w14:paraId="71BEF6B9" w14:textId="1F07BD0B" w:rsidR="001822A0" w:rsidRPr="00750591" w:rsidRDefault="001822A0" w:rsidP="00F31A05">
            <w:pPr>
              <w:pStyle w:val="TableText"/>
              <w:rPr>
                <w:sz w:val="24"/>
                <w:lang w:eastAsia="zh-CN"/>
              </w:rPr>
            </w:pPr>
            <w:r w:rsidRPr="001822A0">
              <w:rPr>
                <w:sz w:val="24"/>
                <w:lang w:eastAsia="zh-CN"/>
              </w:rPr>
              <w:t>electronic case report form</w:t>
            </w:r>
          </w:p>
        </w:tc>
      </w:tr>
      <w:tr w:rsidR="00B47883" w:rsidRPr="001C17C5" w14:paraId="26CDE02D" w14:textId="77777777" w:rsidTr="00F31A05">
        <w:trPr>
          <w:cantSplit/>
        </w:trPr>
        <w:tc>
          <w:tcPr>
            <w:tcW w:w="1206" w:type="pct"/>
          </w:tcPr>
          <w:p w14:paraId="2C838A66" w14:textId="5F1654FC" w:rsidR="00B47883" w:rsidRPr="00883836" w:rsidRDefault="00B47883" w:rsidP="00F31A05">
            <w:pPr>
              <w:pStyle w:val="TableText"/>
              <w:rPr>
                <w:sz w:val="24"/>
              </w:rPr>
            </w:pPr>
            <w:r>
              <w:rPr>
                <w:rFonts w:hint="eastAsia"/>
                <w:sz w:val="24"/>
              </w:rPr>
              <w:t>E</w:t>
            </w:r>
            <w:r>
              <w:rPr>
                <w:sz w:val="24"/>
              </w:rPr>
              <w:t>MM</w:t>
            </w:r>
          </w:p>
        </w:tc>
        <w:tc>
          <w:tcPr>
            <w:tcW w:w="3794" w:type="pct"/>
          </w:tcPr>
          <w:p w14:paraId="4D613F80" w14:textId="5A2D4D64" w:rsidR="00B47883" w:rsidRPr="001C17C5" w:rsidRDefault="00B47883" w:rsidP="00F31A05">
            <w:pPr>
              <w:pStyle w:val="TableText"/>
              <w:rPr>
                <w:sz w:val="24"/>
              </w:rPr>
            </w:pPr>
            <w:r>
              <w:rPr>
                <w:sz w:val="24"/>
              </w:rPr>
              <w:t>e</w:t>
            </w:r>
            <w:r w:rsidRPr="00B47883">
              <w:rPr>
                <w:sz w:val="24"/>
              </w:rPr>
              <w:t>xtramedullary multiple myeloma</w:t>
            </w:r>
          </w:p>
        </w:tc>
      </w:tr>
      <w:tr w:rsidR="00C3075E" w:rsidRPr="001C17C5" w14:paraId="3CED799D" w14:textId="77777777" w:rsidTr="00F31A05">
        <w:trPr>
          <w:cantSplit/>
        </w:trPr>
        <w:tc>
          <w:tcPr>
            <w:tcW w:w="1206" w:type="pct"/>
          </w:tcPr>
          <w:p w14:paraId="33459E69" w14:textId="3CE57F36" w:rsidR="00C3075E" w:rsidRDefault="00C3075E" w:rsidP="00F31A05">
            <w:pPr>
              <w:pStyle w:val="TableText"/>
              <w:rPr>
                <w:sz w:val="24"/>
                <w:lang w:eastAsia="zh-CN"/>
              </w:rPr>
            </w:pPr>
            <w:r>
              <w:rPr>
                <w:rFonts w:hint="eastAsia"/>
                <w:sz w:val="24"/>
                <w:lang w:eastAsia="zh-CN"/>
              </w:rPr>
              <w:t>G</w:t>
            </w:r>
            <w:r>
              <w:rPr>
                <w:sz w:val="24"/>
                <w:lang w:eastAsia="zh-CN"/>
              </w:rPr>
              <w:t>CP</w:t>
            </w:r>
          </w:p>
        </w:tc>
        <w:tc>
          <w:tcPr>
            <w:tcW w:w="3794" w:type="pct"/>
          </w:tcPr>
          <w:p w14:paraId="10DB0222" w14:textId="58281C15" w:rsidR="00C3075E" w:rsidRDefault="00C3075E" w:rsidP="00F31A05">
            <w:pPr>
              <w:pStyle w:val="TableText"/>
              <w:rPr>
                <w:sz w:val="24"/>
              </w:rPr>
            </w:pPr>
            <w:r w:rsidRPr="00C3075E">
              <w:rPr>
                <w:sz w:val="24"/>
              </w:rPr>
              <w:t>Good Clinical Practice</w:t>
            </w:r>
          </w:p>
        </w:tc>
      </w:tr>
      <w:tr w:rsidR="00C3075E" w:rsidRPr="001C17C5" w14:paraId="50D3AB0A" w14:textId="77777777" w:rsidTr="00F31A05">
        <w:trPr>
          <w:cantSplit/>
        </w:trPr>
        <w:tc>
          <w:tcPr>
            <w:tcW w:w="1206" w:type="pct"/>
          </w:tcPr>
          <w:p w14:paraId="3360D816" w14:textId="1E5C762D" w:rsidR="00C3075E" w:rsidRDefault="00C3075E" w:rsidP="00F31A05">
            <w:pPr>
              <w:pStyle w:val="TableText"/>
              <w:rPr>
                <w:sz w:val="24"/>
                <w:lang w:eastAsia="zh-CN"/>
              </w:rPr>
            </w:pPr>
            <w:r>
              <w:rPr>
                <w:rFonts w:hint="eastAsia"/>
                <w:sz w:val="24"/>
                <w:lang w:eastAsia="zh-CN"/>
              </w:rPr>
              <w:t>I</w:t>
            </w:r>
            <w:r>
              <w:rPr>
                <w:sz w:val="24"/>
                <w:lang w:eastAsia="zh-CN"/>
              </w:rPr>
              <w:t>EC</w:t>
            </w:r>
          </w:p>
        </w:tc>
        <w:tc>
          <w:tcPr>
            <w:tcW w:w="3794" w:type="pct"/>
          </w:tcPr>
          <w:p w14:paraId="254E8867" w14:textId="08423E95" w:rsidR="00C3075E" w:rsidRPr="00C3075E" w:rsidRDefault="00C3075E" w:rsidP="00F31A05">
            <w:pPr>
              <w:pStyle w:val="TableText"/>
              <w:rPr>
                <w:sz w:val="24"/>
              </w:rPr>
            </w:pPr>
            <w:r w:rsidRPr="00C3075E">
              <w:rPr>
                <w:sz w:val="24"/>
              </w:rPr>
              <w:t>independent ethics committee</w:t>
            </w:r>
          </w:p>
        </w:tc>
      </w:tr>
      <w:tr w:rsidR="00750591" w:rsidRPr="001C17C5" w14:paraId="3D67A33E" w14:textId="77777777" w:rsidTr="00F31A05">
        <w:trPr>
          <w:cantSplit/>
        </w:trPr>
        <w:tc>
          <w:tcPr>
            <w:tcW w:w="1206" w:type="pct"/>
          </w:tcPr>
          <w:p w14:paraId="1C2FFCD8" w14:textId="0F62EB56" w:rsidR="00750591" w:rsidRDefault="00750591" w:rsidP="00F31A05">
            <w:pPr>
              <w:pStyle w:val="TableText"/>
              <w:rPr>
                <w:sz w:val="24"/>
                <w:lang w:eastAsia="zh-CN"/>
              </w:rPr>
            </w:pPr>
            <w:r>
              <w:rPr>
                <w:rFonts w:hint="eastAsia"/>
                <w:sz w:val="24"/>
                <w:lang w:eastAsia="zh-CN"/>
              </w:rPr>
              <w:t>H</w:t>
            </w:r>
            <w:r>
              <w:rPr>
                <w:sz w:val="24"/>
                <w:lang w:eastAsia="zh-CN"/>
              </w:rPr>
              <w:t>BV</w:t>
            </w:r>
          </w:p>
        </w:tc>
        <w:tc>
          <w:tcPr>
            <w:tcW w:w="3794" w:type="pct"/>
          </w:tcPr>
          <w:p w14:paraId="78039B3E" w14:textId="42878D11" w:rsidR="00750591" w:rsidRDefault="00750591" w:rsidP="00F31A05">
            <w:pPr>
              <w:pStyle w:val="TableText"/>
              <w:rPr>
                <w:sz w:val="24"/>
              </w:rPr>
            </w:pPr>
            <w:r w:rsidRPr="00750591">
              <w:rPr>
                <w:sz w:val="24"/>
              </w:rPr>
              <w:t>hepatitis B virus</w:t>
            </w:r>
          </w:p>
        </w:tc>
      </w:tr>
      <w:tr w:rsidR="001822A0" w:rsidRPr="001C17C5" w14:paraId="12D118B2" w14:textId="77777777" w:rsidTr="00F31A05">
        <w:trPr>
          <w:cantSplit/>
        </w:trPr>
        <w:tc>
          <w:tcPr>
            <w:tcW w:w="1206" w:type="pct"/>
          </w:tcPr>
          <w:p w14:paraId="7751BF1E" w14:textId="4913FA16" w:rsidR="001822A0" w:rsidRDefault="001822A0" w:rsidP="00F31A05">
            <w:pPr>
              <w:pStyle w:val="TableText"/>
              <w:rPr>
                <w:sz w:val="24"/>
                <w:lang w:eastAsia="zh-CN"/>
              </w:rPr>
            </w:pPr>
            <w:r>
              <w:rPr>
                <w:rFonts w:hint="eastAsia"/>
                <w:sz w:val="24"/>
                <w:lang w:eastAsia="zh-CN"/>
              </w:rPr>
              <w:t>H</w:t>
            </w:r>
            <w:r>
              <w:rPr>
                <w:sz w:val="24"/>
                <w:lang w:eastAsia="zh-CN"/>
              </w:rPr>
              <w:t>CV</w:t>
            </w:r>
          </w:p>
        </w:tc>
        <w:tc>
          <w:tcPr>
            <w:tcW w:w="3794" w:type="pct"/>
          </w:tcPr>
          <w:p w14:paraId="161DDDC2" w14:textId="194359F1" w:rsidR="001822A0" w:rsidRPr="00750591" w:rsidRDefault="001822A0" w:rsidP="00F31A05">
            <w:pPr>
              <w:pStyle w:val="TableText"/>
              <w:rPr>
                <w:sz w:val="24"/>
              </w:rPr>
            </w:pPr>
            <w:r w:rsidRPr="001822A0">
              <w:rPr>
                <w:sz w:val="24"/>
              </w:rPr>
              <w:t>hepatitis C virus</w:t>
            </w:r>
          </w:p>
        </w:tc>
      </w:tr>
      <w:tr w:rsidR="00587B49" w:rsidRPr="001C17C5" w14:paraId="5807D264" w14:textId="77777777" w:rsidTr="00F31A05">
        <w:trPr>
          <w:cantSplit/>
        </w:trPr>
        <w:tc>
          <w:tcPr>
            <w:tcW w:w="1206" w:type="pct"/>
          </w:tcPr>
          <w:p w14:paraId="5017A7CB" w14:textId="58485D70" w:rsidR="00587B49" w:rsidRDefault="00587B49" w:rsidP="00F31A05">
            <w:pPr>
              <w:pStyle w:val="TableText"/>
              <w:rPr>
                <w:sz w:val="24"/>
                <w:lang w:eastAsia="zh-CN"/>
              </w:rPr>
            </w:pPr>
            <w:r>
              <w:rPr>
                <w:rFonts w:hint="eastAsia"/>
                <w:sz w:val="24"/>
                <w:lang w:eastAsia="zh-CN"/>
              </w:rPr>
              <w:t>I</w:t>
            </w:r>
            <w:r>
              <w:rPr>
                <w:sz w:val="24"/>
                <w:lang w:eastAsia="zh-CN"/>
              </w:rPr>
              <w:t>CANS</w:t>
            </w:r>
          </w:p>
        </w:tc>
        <w:tc>
          <w:tcPr>
            <w:tcW w:w="3794" w:type="pct"/>
          </w:tcPr>
          <w:p w14:paraId="368CF10A" w14:textId="522DFA30" w:rsidR="00587B49" w:rsidRPr="001822A0" w:rsidRDefault="00587B49" w:rsidP="00F31A05">
            <w:pPr>
              <w:pStyle w:val="TableText"/>
              <w:rPr>
                <w:sz w:val="24"/>
              </w:rPr>
            </w:pPr>
            <w:r>
              <w:rPr>
                <w:sz w:val="24"/>
              </w:rPr>
              <w:t>i</w:t>
            </w:r>
            <w:r w:rsidRPr="00587B49">
              <w:rPr>
                <w:sz w:val="24"/>
              </w:rPr>
              <w:t xml:space="preserve">mmune </w:t>
            </w:r>
            <w:r>
              <w:rPr>
                <w:sz w:val="24"/>
              </w:rPr>
              <w:t>e</w:t>
            </w:r>
            <w:r w:rsidRPr="00587B49">
              <w:rPr>
                <w:sz w:val="24"/>
              </w:rPr>
              <w:t>ffector cell-associated neurotoxicity syndrome</w:t>
            </w:r>
          </w:p>
        </w:tc>
      </w:tr>
      <w:tr w:rsidR="001822A0" w:rsidRPr="001C17C5" w14:paraId="0B4848B6" w14:textId="77777777" w:rsidTr="00F31A05">
        <w:trPr>
          <w:cantSplit/>
        </w:trPr>
        <w:tc>
          <w:tcPr>
            <w:tcW w:w="1206" w:type="pct"/>
          </w:tcPr>
          <w:p w14:paraId="30FCEFBB" w14:textId="65801A1C" w:rsidR="001822A0" w:rsidRDefault="001822A0" w:rsidP="00F31A05">
            <w:pPr>
              <w:pStyle w:val="TableText"/>
              <w:rPr>
                <w:sz w:val="24"/>
                <w:lang w:eastAsia="zh-CN"/>
              </w:rPr>
            </w:pPr>
            <w:r>
              <w:rPr>
                <w:rFonts w:hint="eastAsia"/>
                <w:sz w:val="24"/>
                <w:lang w:eastAsia="zh-CN"/>
              </w:rPr>
              <w:t>I</w:t>
            </w:r>
            <w:r>
              <w:rPr>
                <w:sz w:val="24"/>
                <w:lang w:eastAsia="zh-CN"/>
              </w:rPr>
              <w:t>CF</w:t>
            </w:r>
          </w:p>
        </w:tc>
        <w:tc>
          <w:tcPr>
            <w:tcW w:w="3794" w:type="pct"/>
          </w:tcPr>
          <w:p w14:paraId="72859F97" w14:textId="3FC921F0" w:rsidR="001822A0" w:rsidRPr="001822A0" w:rsidRDefault="001822A0" w:rsidP="00F31A05">
            <w:pPr>
              <w:pStyle w:val="TableText"/>
              <w:rPr>
                <w:sz w:val="24"/>
              </w:rPr>
            </w:pPr>
            <w:r w:rsidRPr="001822A0">
              <w:rPr>
                <w:sz w:val="24"/>
              </w:rPr>
              <w:t>informed consent form</w:t>
            </w:r>
          </w:p>
        </w:tc>
      </w:tr>
      <w:tr w:rsidR="00662C37" w:rsidRPr="001C17C5" w14:paraId="16D62F5F" w14:textId="77777777" w:rsidTr="00F31A05">
        <w:trPr>
          <w:cantSplit/>
        </w:trPr>
        <w:tc>
          <w:tcPr>
            <w:tcW w:w="1206" w:type="pct"/>
          </w:tcPr>
          <w:p w14:paraId="31323B70" w14:textId="5C59B521" w:rsidR="00662C37" w:rsidRDefault="00662C37" w:rsidP="00F31A05">
            <w:pPr>
              <w:pStyle w:val="TableText"/>
              <w:rPr>
                <w:sz w:val="24"/>
                <w:lang w:eastAsia="zh-CN"/>
              </w:rPr>
            </w:pPr>
            <w:r>
              <w:rPr>
                <w:rFonts w:hint="eastAsia"/>
                <w:sz w:val="24"/>
                <w:lang w:eastAsia="zh-CN"/>
              </w:rPr>
              <w:t>I</w:t>
            </w:r>
            <w:r>
              <w:rPr>
                <w:sz w:val="24"/>
                <w:lang w:eastAsia="zh-CN"/>
              </w:rPr>
              <w:t>L-6</w:t>
            </w:r>
          </w:p>
        </w:tc>
        <w:tc>
          <w:tcPr>
            <w:tcW w:w="3794" w:type="pct"/>
          </w:tcPr>
          <w:p w14:paraId="6F1F1785" w14:textId="2B8F9BB2" w:rsidR="00662C37" w:rsidRDefault="00662C37" w:rsidP="00F31A05">
            <w:pPr>
              <w:pStyle w:val="TableText"/>
              <w:rPr>
                <w:sz w:val="24"/>
              </w:rPr>
            </w:pPr>
            <w:r w:rsidRPr="00662C37">
              <w:rPr>
                <w:sz w:val="24"/>
              </w:rPr>
              <w:t>interleukin-6</w:t>
            </w:r>
          </w:p>
        </w:tc>
      </w:tr>
      <w:tr w:rsidR="00ED46D3" w:rsidRPr="001C17C5" w14:paraId="0EBD05BA" w14:textId="77777777" w:rsidTr="00F31A05">
        <w:trPr>
          <w:cantSplit/>
        </w:trPr>
        <w:tc>
          <w:tcPr>
            <w:tcW w:w="1206" w:type="pct"/>
          </w:tcPr>
          <w:p w14:paraId="58601EC7" w14:textId="5C8AAF39" w:rsidR="00ED46D3" w:rsidRDefault="00ED46D3" w:rsidP="00F31A05">
            <w:pPr>
              <w:pStyle w:val="TableText"/>
              <w:rPr>
                <w:sz w:val="24"/>
                <w:lang w:eastAsia="zh-CN"/>
              </w:rPr>
            </w:pPr>
            <w:r>
              <w:rPr>
                <w:rFonts w:hint="eastAsia"/>
                <w:sz w:val="24"/>
                <w:lang w:eastAsia="zh-CN"/>
              </w:rPr>
              <w:t>I</w:t>
            </w:r>
            <w:r>
              <w:rPr>
                <w:sz w:val="24"/>
                <w:lang w:eastAsia="zh-CN"/>
              </w:rPr>
              <w:t>MWG</w:t>
            </w:r>
          </w:p>
        </w:tc>
        <w:tc>
          <w:tcPr>
            <w:tcW w:w="3794" w:type="pct"/>
          </w:tcPr>
          <w:p w14:paraId="7A89ACF4" w14:textId="1B6855B2" w:rsidR="00ED46D3" w:rsidRDefault="00ED46D3" w:rsidP="00F31A05">
            <w:pPr>
              <w:pStyle w:val="TableText"/>
              <w:rPr>
                <w:sz w:val="24"/>
              </w:rPr>
            </w:pPr>
            <w:bookmarkStart w:id="9" w:name="_Hlk111915018"/>
            <w:r w:rsidRPr="00ED46D3">
              <w:rPr>
                <w:sz w:val="24"/>
              </w:rPr>
              <w:t>International Myeloma Working Group</w:t>
            </w:r>
            <w:bookmarkEnd w:id="9"/>
          </w:p>
        </w:tc>
      </w:tr>
      <w:tr w:rsidR="00B47883" w:rsidRPr="001C17C5" w14:paraId="4B3A03B6" w14:textId="77777777" w:rsidTr="00F31A05">
        <w:trPr>
          <w:cantSplit/>
        </w:trPr>
        <w:tc>
          <w:tcPr>
            <w:tcW w:w="1206" w:type="pct"/>
          </w:tcPr>
          <w:p w14:paraId="1A3D2AAD" w14:textId="46D2E1A5" w:rsidR="00B47883" w:rsidRPr="00883836" w:rsidRDefault="00B47883" w:rsidP="00F31A05">
            <w:pPr>
              <w:pStyle w:val="TableText"/>
              <w:rPr>
                <w:sz w:val="24"/>
              </w:rPr>
            </w:pPr>
            <w:r>
              <w:rPr>
                <w:rFonts w:hint="eastAsia"/>
                <w:sz w:val="24"/>
              </w:rPr>
              <w:t>M</w:t>
            </w:r>
            <w:r>
              <w:rPr>
                <w:sz w:val="24"/>
              </w:rPr>
              <w:t>M</w:t>
            </w:r>
          </w:p>
        </w:tc>
        <w:tc>
          <w:tcPr>
            <w:tcW w:w="3794" w:type="pct"/>
          </w:tcPr>
          <w:p w14:paraId="379ADDC1" w14:textId="245F167C" w:rsidR="00B47883" w:rsidRPr="001C17C5" w:rsidRDefault="00B47883" w:rsidP="00F31A05">
            <w:pPr>
              <w:pStyle w:val="TableText"/>
              <w:rPr>
                <w:sz w:val="24"/>
              </w:rPr>
            </w:pPr>
            <w:r>
              <w:rPr>
                <w:sz w:val="24"/>
              </w:rPr>
              <w:t>multiple myeloma</w:t>
            </w:r>
          </w:p>
        </w:tc>
      </w:tr>
      <w:tr w:rsidR="007F27B2" w:rsidRPr="001C17C5" w14:paraId="558820DE" w14:textId="77777777" w:rsidTr="00F31A05">
        <w:trPr>
          <w:cantSplit/>
        </w:trPr>
        <w:tc>
          <w:tcPr>
            <w:tcW w:w="1206" w:type="pct"/>
          </w:tcPr>
          <w:p w14:paraId="0DFE342F" w14:textId="5A75D5C7" w:rsidR="007F27B2" w:rsidRDefault="007F27B2" w:rsidP="00F31A05">
            <w:pPr>
              <w:pStyle w:val="TableText"/>
              <w:rPr>
                <w:sz w:val="24"/>
                <w:lang w:eastAsia="zh-CN"/>
              </w:rPr>
            </w:pPr>
            <w:r>
              <w:rPr>
                <w:rFonts w:hint="eastAsia"/>
                <w:sz w:val="24"/>
                <w:lang w:eastAsia="zh-CN"/>
              </w:rPr>
              <w:t>M</w:t>
            </w:r>
            <w:r>
              <w:rPr>
                <w:sz w:val="24"/>
                <w:lang w:eastAsia="zh-CN"/>
              </w:rPr>
              <w:t>RD</w:t>
            </w:r>
          </w:p>
        </w:tc>
        <w:tc>
          <w:tcPr>
            <w:tcW w:w="3794" w:type="pct"/>
          </w:tcPr>
          <w:p w14:paraId="6C24A984" w14:textId="665E941A" w:rsidR="007F27B2" w:rsidRDefault="007F27B2" w:rsidP="00F31A05">
            <w:pPr>
              <w:pStyle w:val="TableText"/>
              <w:rPr>
                <w:sz w:val="24"/>
              </w:rPr>
            </w:pPr>
            <w:r w:rsidRPr="007F27B2">
              <w:rPr>
                <w:sz w:val="24"/>
              </w:rPr>
              <w:t>minimal residual disease</w:t>
            </w:r>
          </w:p>
        </w:tc>
      </w:tr>
      <w:tr w:rsidR="002C5172" w:rsidRPr="001C17C5" w14:paraId="4C44766B" w14:textId="77777777" w:rsidTr="00F31A05">
        <w:trPr>
          <w:cantSplit/>
        </w:trPr>
        <w:tc>
          <w:tcPr>
            <w:tcW w:w="1206" w:type="pct"/>
          </w:tcPr>
          <w:p w14:paraId="6087E2E8" w14:textId="6EA46C8C" w:rsidR="002C5172" w:rsidRDefault="002C5172" w:rsidP="00F31A05">
            <w:pPr>
              <w:pStyle w:val="TableText"/>
              <w:rPr>
                <w:sz w:val="24"/>
                <w:lang w:eastAsia="zh-CN"/>
              </w:rPr>
            </w:pPr>
            <w:r>
              <w:rPr>
                <w:rFonts w:hint="eastAsia"/>
                <w:sz w:val="24"/>
                <w:lang w:eastAsia="zh-CN"/>
              </w:rPr>
              <w:t>M</w:t>
            </w:r>
            <w:r>
              <w:rPr>
                <w:sz w:val="24"/>
                <w:lang w:eastAsia="zh-CN"/>
              </w:rPr>
              <w:t>RI</w:t>
            </w:r>
          </w:p>
        </w:tc>
        <w:tc>
          <w:tcPr>
            <w:tcW w:w="3794" w:type="pct"/>
          </w:tcPr>
          <w:p w14:paraId="5818D8DD" w14:textId="0113793B" w:rsidR="002C5172" w:rsidRPr="007F27B2" w:rsidRDefault="002C5172" w:rsidP="00F31A05">
            <w:pPr>
              <w:pStyle w:val="TableText"/>
              <w:rPr>
                <w:sz w:val="24"/>
              </w:rPr>
            </w:pPr>
            <w:r w:rsidRPr="002C5172">
              <w:rPr>
                <w:sz w:val="24"/>
              </w:rPr>
              <w:t>magnetic resonance imaging</w:t>
            </w:r>
          </w:p>
        </w:tc>
      </w:tr>
      <w:tr w:rsidR="00587B49" w:rsidRPr="001C17C5" w14:paraId="35B4C454" w14:textId="77777777" w:rsidTr="00F31A05">
        <w:trPr>
          <w:cantSplit/>
        </w:trPr>
        <w:tc>
          <w:tcPr>
            <w:tcW w:w="1206" w:type="pct"/>
          </w:tcPr>
          <w:p w14:paraId="6BEFFE98" w14:textId="6B0BD8FA" w:rsidR="00587B49" w:rsidRDefault="00587B49" w:rsidP="00F31A05">
            <w:pPr>
              <w:pStyle w:val="TableText"/>
              <w:rPr>
                <w:sz w:val="24"/>
                <w:lang w:eastAsia="zh-CN"/>
              </w:rPr>
            </w:pPr>
            <w:r>
              <w:rPr>
                <w:rFonts w:hint="eastAsia"/>
                <w:sz w:val="24"/>
                <w:lang w:eastAsia="zh-CN"/>
              </w:rPr>
              <w:t>N</w:t>
            </w:r>
            <w:r>
              <w:rPr>
                <w:sz w:val="24"/>
                <w:lang w:eastAsia="zh-CN"/>
              </w:rPr>
              <w:t>CI</w:t>
            </w:r>
          </w:p>
        </w:tc>
        <w:tc>
          <w:tcPr>
            <w:tcW w:w="3794" w:type="pct"/>
          </w:tcPr>
          <w:p w14:paraId="7107076D" w14:textId="7700156F" w:rsidR="00587B49" w:rsidRPr="002C5172" w:rsidRDefault="00587B49" w:rsidP="00F31A05">
            <w:pPr>
              <w:pStyle w:val="TableText"/>
              <w:rPr>
                <w:sz w:val="24"/>
              </w:rPr>
            </w:pPr>
            <w:r w:rsidRPr="00587B49">
              <w:rPr>
                <w:sz w:val="24"/>
              </w:rPr>
              <w:t>National Cancer Institute</w:t>
            </w:r>
          </w:p>
        </w:tc>
      </w:tr>
      <w:tr w:rsidR="00B47883" w:rsidRPr="001C17C5" w14:paraId="78ADC81A" w14:textId="77777777" w:rsidTr="00F31A05">
        <w:trPr>
          <w:cantSplit/>
        </w:trPr>
        <w:tc>
          <w:tcPr>
            <w:tcW w:w="1206" w:type="pct"/>
          </w:tcPr>
          <w:p w14:paraId="6BAA22FA" w14:textId="31AC8BDB" w:rsidR="00B47883" w:rsidRDefault="00B47883" w:rsidP="00F31A05">
            <w:pPr>
              <w:pStyle w:val="TableText"/>
              <w:rPr>
                <w:sz w:val="24"/>
              </w:rPr>
            </w:pPr>
            <w:r>
              <w:rPr>
                <w:rFonts w:hint="eastAsia"/>
                <w:sz w:val="24"/>
              </w:rPr>
              <w:t>O</w:t>
            </w:r>
            <w:r>
              <w:rPr>
                <w:sz w:val="24"/>
              </w:rPr>
              <w:t>RR</w:t>
            </w:r>
          </w:p>
        </w:tc>
        <w:tc>
          <w:tcPr>
            <w:tcW w:w="3794" w:type="pct"/>
          </w:tcPr>
          <w:p w14:paraId="790CBCA4" w14:textId="0611906E" w:rsidR="00B47883" w:rsidRDefault="00B47883" w:rsidP="00F31A05">
            <w:pPr>
              <w:pStyle w:val="TableText"/>
              <w:rPr>
                <w:sz w:val="24"/>
              </w:rPr>
            </w:pPr>
            <w:r w:rsidRPr="00B47883">
              <w:rPr>
                <w:sz w:val="24"/>
              </w:rPr>
              <w:t>objective response rate</w:t>
            </w:r>
          </w:p>
        </w:tc>
      </w:tr>
      <w:tr w:rsidR="00B47883" w:rsidRPr="001C17C5" w14:paraId="2BEA6B92" w14:textId="77777777" w:rsidTr="00F31A05">
        <w:trPr>
          <w:cantSplit/>
        </w:trPr>
        <w:tc>
          <w:tcPr>
            <w:tcW w:w="1206" w:type="pct"/>
          </w:tcPr>
          <w:p w14:paraId="76FDAA7C" w14:textId="64CC4111" w:rsidR="00B47883" w:rsidRDefault="00B47883" w:rsidP="00F31A05">
            <w:pPr>
              <w:pStyle w:val="TableText"/>
              <w:rPr>
                <w:sz w:val="24"/>
              </w:rPr>
            </w:pPr>
            <w:r>
              <w:rPr>
                <w:rFonts w:hint="eastAsia"/>
                <w:sz w:val="24"/>
              </w:rPr>
              <w:t>O</w:t>
            </w:r>
            <w:r>
              <w:rPr>
                <w:sz w:val="24"/>
              </w:rPr>
              <w:t>S</w:t>
            </w:r>
          </w:p>
        </w:tc>
        <w:tc>
          <w:tcPr>
            <w:tcW w:w="3794" w:type="pct"/>
          </w:tcPr>
          <w:p w14:paraId="7C824051" w14:textId="1F2B85DC" w:rsidR="00B47883" w:rsidRDefault="00B47883" w:rsidP="00F31A05">
            <w:pPr>
              <w:pStyle w:val="TableText"/>
              <w:rPr>
                <w:sz w:val="24"/>
              </w:rPr>
            </w:pPr>
            <w:r w:rsidRPr="00B47883">
              <w:rPr>
                <w:sz w:val="24"/>
              </w:rPr>
              <w:t>overall survival</w:t>
            </w:r>
          </w:p>
        </w:tc>
      </w:tr>
      <w:tr w:rsidR="00657324" w:rsidRPr="001C17C5" w14:paraId="6C31361A" w14:textId="77777777" w:rsidTr="00F31A05">
        <w:trPr>
          <w:cantSplit/>
        </w:trPr>
        <w:tc>
          <w:tcPr>
            <w:tcW w:w="1206" w:type="pct"/>
          </w:tcPr>
          <w:p w14:paraId="4C93F6FD" w14:textId="715AFF74" w:rsidR="00657324" w:rsidRDefault="00657324" w:rsidP="00F31A05">
            <w:pPr>
              <w:pStyle w:val="TableText"/>
              <w:rPr>
                <w:sz w:val="24"/>
                <w:lang w:eastAsia="zh-CN"/>
              </w:rPr>
            </w:pPr>
            <w:r>
              <w:rPr>
                <w:rFonts w:hint="eastAsia"/>
                <w:sz w:val="24"/>
                <w:lang w:eastAsia="zh-CN"/>
              </w:rPr>
              <w:t>P</w:t>
            </w:r>
            <w:r>
              <w:rPr>
                <w:sz w:val="24"/>
                <w:lang w:eastAsia="zh-CN"/>
              </w:rPr>
              <w:t>BMC</w:t>
            </w:r>
          </w:p>
        </w:tc>
        <w:tc>
          <w:tcPr>
            <w:tcW w:w="3794" w:type="pct"/>
          </w:tcPr>
          <w:p w14:paraId="637720C6" w14:textId="2DBFEEF7" w:rsidR="00657324" w:rsidRPr="00B47883" w:rsidRDefault="00657324" w:rsidP="00F31A05">
            <w:pPr>
              <w:pStyle w:val="TableText"/>
              <w:rPr>
                <w:sz w:val="24"/>
              </w:rPr>
            </w:pPr>
            <w:r w:rsidRPr="00657324">
              <w:rPr>
                <w:sz w:val="24"/>
              </w:rPr>
              <w:t>peripheral blood mononuclear cell</w:t>
            </w:r>
          </w:p>
        </w:tc>
      </w:tr>
      <w:tr w:rsidR="00ED46D3" w:rsidRPr="001C17C5" w14:paraId="666AF151" w14:textId="77777777" w:rsidTr="00F31A05">
        <w:trPr>
          <w:cantSplit/>
        </w:trPr>
        <w:tc>
          <w:tcPr>
            <w:tcW w:w="1206" w:type="pct"/>
          </w:tcPr>
          <w:p w14:paraId="3BB74FDA" w14:textId="03B7F77E" w:rsidR="00ED46D3" w:rsidRDefault="00ED46D3" w:rsidP="00F31A05">
            <w:pPr>
              <w:pStyle w:val="TableText"/>
              <w:rPr>
                <w:sz w:val="24"/>
                <w:lang w:eastAsia="zh-CN"/>
              </w:rPr>
            </w:pPr>
            <w:r>
              <w:rPr>
                <w:rFonts w:hint="eastAsia"/>
                <w:sz w:val="24"/>
                <w:lang w:eastAsia="zh-CN"/>
              </w:rPr>
              <w:t>P</w:t>
            </w:r>
            <w:r>
              <w:rPr>
                <w:sz w:val="24"/>
                <w:lang w:eastAsia="zh-CN"/>
              </w:rPr>
              <w:t>D</w:t>
            </w:r>
          </w:p>
        </w:tc>
        <w:tc>
          <w:tcPr>
            <w:tcW w:w="3794" w:type="pct"/>
          </w:tcPr>
          <w:p w14:paraId="027F3D9A" w14:textId="5C57AC72" w:rsidR="00ED46D3" w:rsidRPr="00B47883" w:rsidRDefault="00ED46D3" w:rsidP="00F31A05">
            <w:pPr>
              <w:pStyle w:val="TableText"/>
              <w:rPr>
                <w:sz w:val="24"/>
              </w:rPr>
            </w:pPr>
            <w:r w:rsidRPr="00ED46D3">
              <w:rPr>
                <w:sz w:val="24"/>
              </w:rPr>
              <w:t>pharmacodynamic</w:t>
            </w:r>
            <w:r>
              <w:rPr>
                <w:sz w:val="24"/>
              </w:rPr>
              <w:t>(s)</w:t>
            </w:r>
          </w:p>
        </w:tc>
      </w:tr>
      <w:tr w:rsidR="002C5172" w:rsidRPr="001C17C5" w14:paraId="30BA7B45" w14:textId="77777777" w:rsidTr="00F31A05">
        <w:trPr>
          <w:cantSplit/>
        </w:trPr>
        <w:tc>
          <w:tcPr>
            <w:tcW w:w="1206" w:type="pct"/>
          </w:tcPr>
          <w:p w14:paraId="278A2F0A" w14:textId="0DA4F037" w:rsidR="002C5172" w:rsidRDefault="002C5172" w:rsidP="00F31A05">
            <w:pPr>
              <w:pStyle w:val="TableText"/>
              <w:rPr>
                <w:sz w:val="24"/>
                <w:lang w:eastAsia="zh-CN"/>
              </w:rPr>
            </w:pPr>
            <w:r>
              <w:rPr>
                <w:rFonts w:hint="eastAsia"/>
                <w:sz w:val="24"/>
                <w:lang w:eastAsia="zh-CN"/>
              </w:rPr>
              <w:t>P</w:t>
            </w:r>
            <w:r>
              <w:rPr>
                <w:sz w:val="24"/>
                <w:lang w:eastAsia="zh-CN"/>
              </w:rPr>
              <w:t>ET</w:t>
            </w:r>
          </w:p>
        </w:tc>
        <w:tc>
          <w:tcPr>
            <w:tcW w:w="3794" w:type="pct"/>
          </w:tcPr>
          <w:p w14:paraId="7B3B65BA" w14:textId="3F921189" w:rsidR="002C5172" w:rsidRPr="00ED46D3" w:rsidRDefault="002C5172" w:rsidP="00F31A05">
            <w:pPr>
              <w:pStyle w:val="TableText"/>
              <w:rPr>
                <w:sz w:val="24"/>
              </w:rPr>
            </w:pPr>
            <w:r w:rsidRPr="002C5172">
              <w:rPr>
                <w:sz w:val="24"/>
              </w:rPr>
              <w:t>positron emission tomography</w:t>
            </w:r>
          </w:p>
        </w:tc>
      </w:tr>
      <w:tr w:rsidR="00B47883" w:rsidRPr="001C17C5" w14:paraId="36AD1F42" w14:textId="77777777" w:rsidTr="00F31A05">
        <w:trPr>
          <w:cantSplit/>
        </w:trPr>
        <w:tc>
          <w:tcPr>
            <w:tcW w:w="1206" w:type="pct"/>
          </w:tcPr>
          <w:p w14:paraId="676E07A5" w14:textId="3E39B335" w:rsidR="00B47883" w:rsidRDefault="00B47883" w:rsidP="00F31A05">
            <w:pPr>
              <w:pStyle w:val="TableText"/>
              <w:rPr>
                <w:sz w:val="24"/>
                <w:lang w:eastAsia="zh-CN"/>
              </w:rPr>
            </w:pPr>
            <w:r>
              <w:rPr>
                <w:rFonts w:hint="eastAsia"/>
                <w:sz w:val="24"/>
                <w:lang w:eastAsia="zh-CN"/>
              </w:rPr>
              <w:t>PFS</w:t>
            </w:r>
          </w:p>
        </w:tc>
        <w:tc>
          <w:tcPr>
            <w:tcW w:w="3794" w:type="pct"/>
          </w:tcPr>
          <w:p w14:paraId="032828AD" w14:textId="49114613" w:rsidR="00B47883" w:rsidRPr="00B47883" w:rsidRDefault="00B47883" w:rsidP="00F31A05">
            <w:pPr>
              <w:pStyle w:val="TableText"/>
              <w:rPr>
                <w:sz w:val="24"/>
              </w:rPr>
            </w:pPr>
            <w:bookmarkStart w:id="10" w:name="_Hlk111915058"/>
            <w:r w:rsidRPr="00B47883">
              <w:rPr>
                <w:sz w:val="24"/>
              </w:rPr>
              <w:t>progression-free survival</w:t>
            </w:r>
            <w:bookmarkEnd w:id="10"/>
          </w:p>
        </w:tc>
      </w:tr>
      <w:tr w:rsidR="00C33FAC" w:rsidRPr="001C17C5" w14:paraId="40A5158E" w14:textId="77777777" w:rsidTr="00F31A05">
        <w:trPr>
          <w:cantSplit/>
        </w:trPr>
        <w:tc>
          <w:tcPr>
            <w:tcW w:w="1206" w:type="pct"/>
          </w:tcPr>
          <w:p w14:paraId="3892C081" w14:textId="79945DF0" w:rsidR="00C33FAC" w:rsidRDefault="00C33FAC" w:rsidP="00F31A05">
            <w:pPr>
              <w:pStyle w:val="TableText"/>
              <w:rPr>
                <w:sz w:val="24"/>
                <w:lang w:eastAsia="zh-CN"/>
              </w:rPr>
            </w:pPr>
            <w:r>
              <w:rPr>
                <w:rFonts w:hint="eastAsia"/>
                <w:sz w:val="24"/>
                <w:lang w:eastAsia="zh-CN"/>
              </w:rPr>
              <w:t>P</w:t>
            </w:r>
            <w:r>
              <w:rPr>
                <w:sz w:val="24"/>
                <w:lang w:eastAsia="zh-CN"/>
              </w:rPr>
              <w:t>K</w:t>
            </w:r>
          </w:p>
        </w:tc>
        <w:tc>
          <w:tcPr>
            <w:tcW w:w="3794" w:type="pct"/>
          </w:tcPr>
          <w:p w14:paraId="70EFF55E" w14:textId="6DF3909B" w:rsidR="00C33FAC" w:rsidRPr="00B47883" w:rsidRDefault="00C33FAC" w:rsidP="00F31A05">
            <w:pPr>
              <w:pStyle w:val="TableText"/>
              <w:rPr>
                <w:sz w:val="24"/>
              </w:rPr>
            </w:pPr>
            <w:r w:rsidRPr="00C33FAC">
              <w:rPr>
                <w:sz w:val="24"/>
              </w:rPr>
              <w:t>pharmacokinetic</w:t>
            </w:r>
            <w:r>
              <w:rPr>
                <w:sz w:val="24"/>
              </w:rPr>
              <w:t>(s)</w:t>
            </w:r>
          </w:p>
        </w:tc>
      </w:tr>
      <w:tr w:rsidR="00662C37" w:rsidRPr="001C17C5" w14:paraId="5EC90BCE" w14:textId="77777777" w:rsidTr="00F31A05">
        <w:trPr>
          <w:cantSplit/>
        </w:trPr>
        <w:tc>
          <w:tcPr>
            <w:tcW w:w="1206" w:type="pct"/>
          </w:tcPr>
          <w:p w14:paraId="7913014B" w14:textId="05B3BF67" w:rsidR="00662C37" w:rsidRDefault="00662C37" w:rsidP="00F31A05">
            <w:pPr>
              <w:pStyle w:val="TableText"/>
              <w:rPr>
                <w:sz w:val="24"/>
                <w:lang w:eastAsia="zh-CN"/>
              </w:rPr>
            </w:pPr>
            <w:r>
              <w:rPr>
                <w:rFonts w:hint="eastAsia"/>
                <w:sz w:val="24"/>
                <w:lang w:eastAsia="zh-CN"/>
              </w:rPr>
              <w:lastRenderedPageBreak/>
              <w:t>P</w:t>
            </w:r>
            <w:r>
              <w:rPr>
                <w:sz w:val="24"/>
                <w:lang w:eastAsia="zh-CN"/>
              </w:rPr>
              <w:t>R</w:t>
            </w:r>
          </w:p>
        </w:tc>
        <w:tc>
          <w:tcPr>
            <w:tcW w:w="3794" w:type="pct"/>
          </w:tcPr>
          <w:p w14:paraId="692580BF" w14:textId="7E23E3D7" w:rsidR="00662C37" w:rsidRPr="00C33FAC" w:rsidRDefault="00662C37" w:rsidP="00F31A05">
            <w:pPr>
              <w:pStyle w:val="TableText"/>
              <w:rPr>
                <w:sz w:val="24"/>
              </w:rPr>
            </w:pPr>
            <w:r w:rsidRPr="00662C37">
              <w:rPr>
                <w:sz w:val="24"/>
              </w:rPr>
              <w:t>partial response</w:t>
            </w:r>
          </w:p>
        </w:tc>
      </w:tr>
      <w:tr w:rsidR="00587B49" w:rsidRPr="001C17C5" w14:paraId="57FA22A5" w14:textId="77777777" w:rsidTr="00F31A05">
        <w:trPr>
          <w:cantSplit/>
        </w:trPr>
        <w:tc>
          <w:tcPr>
            <w:tcW w:w="1206" w:type="pct"/>
          </w:tcPr>
          <w:p w14:paraId="3B2C2E05" w14:textId="5E2EE33D" w:rsidR="00587B49" w:rsidRDefault="00587B49" w:rsidP="00F31A05">
            <w:pPr>
              <w:pStyle w:val="TableText"/>
              <w:rPr>
                <w:sz w:val="24"/>
                <w:lang w:eastAsia="zh-CN"/>
              </w:rPr>
            </w:pPr>
            <w:r>
              <w:rPr>
                <w:rFonts w:hint="eastAsia"/>
                <w:sz w:val="24"/>
                <w:lang w:eastAsia="zh-CN"/>
              </w:rPr>
              <w:t>P</w:t>
            </w:r>
            <w:r>
              <w:rPr>
                <w:sz w:val="24"/>
                <w:lang w:eastAsia="zh-CN"/>
              </w:rPr>
              <w:t>T</w:t>
            </w:r>
          </w:p>
        </w:tc>
        <w:tc>
          <w:tcPr>
            <w:tcW w:w="3794" w:type="pct"/>
          </w:tcPr>
          <w:p w14:paraId="28EE45D7" w14:textId="3A5F607D" w:rsidR="00587B49" w:rsidRPr="00662C37" w:rsidRDefault="00587B49" w:rsidP="00F31A05">
            <w:pPr>
              <w:pStyle w:val="TableText"/>
              <w:rPr>
                <w:sz w:val="24"/>
                <w:lang w:eastAsia="zh-CN"/>
              </w:rPr>
            </w:pPr>
            <w:r>
              <w:rPr>
                <w:rFonts w:hint="eastAsia"/>
                <w:sz w:val="24"/>
                <w:lang w:eastAsia="zh-CN"/>
              </w:rPr>
              <w:t>p</w:t>
            </w:r>
            <w:r>
              <w:rPr>
                <w:sz w:val="24"/>
                <w:lang w:eastAsia="zh-CN"/>
              </w:rPr>
              <w:t>referred term</w:t>
            </w:r>
          </w:p>
        </w:tc>
      </w:tr>
      <w:tr w:rsidR="00B47883" w:rsidRPr="001C17C5" w14:paraId="0720DF1D" w14:textId="77777777" w:rsidTr="00F31A05">
        <w:trPr>
          <w:cantSplit/>
        </w:trPr>
        <w:tc>
          <w:tcPr>
            <w:tcW w:w="1206" w:type="pct"/>
          </w:tcPr>
          <w:p w14:paraId="16244DE2" w14:textId="3D6D3CD3" w:rsidR="00B47883" w:rsidRPr="00B47883" w:rsidRDefault="00B47883" w:rsidP="00F31A05">
            <w:pPr>
              <w:pStyle w:val="TableText"/>
              <w:rPr>
                <w:sz w:val="24"/>
                <w:lang w:eastAsia="zh-CN"/>
              </w:rPr>
            </w:pPr>
            <w:r>
              <w:rPr>
                <w:rFonts w:hint="eastAsia"/>
                <w:sz w:val="24"/>
                <w:lang w:eastAsia="zh-CN"/>
              </w:rPr>
              <w:t>R</w:t>
            </w:r>
            <w:r>
              <w:rPr>
                <w:sz w:val="24"/>
                <w:lang w:eastAsia="zh-CN"/>
              </w:rPr>
              <w:t>R/MM</w:t>
            </w:r>
          </w:p>
        </w:tc>
        <w:tc>
          <w:tcPr>
            <w:tcW w:w="3794" w:type="pct"/>
          </w:tcPr>
          <w:p w14:paraId="09CC8BEE" w14:textId="331B96EE" w:rsidR="00B47883" w:rsidRPr="00B47883" w:rsidRDefault="00B47883" w:rsidP="00F31A05">
            <w:pPr>
              <w:pStyle w:val="TableText"/>
              <w:rPr>
                <w:sz w:val="24"/>
              </w:rPr>
            </w:pPr>
            <w:r w:rsidRPr="00B47883">
              <w:rPr>
                <w:sz w:val="24"/>
              </w:rPr>
              <w:t>relapsed/refractory multiple myeloma</w:t>
            </w:r>
          </w:p>
        </w:tc>
      </w:tr>
      <w:tr w:rsidR="00C33FAC" w:rsidRPr="001C17C5" w14:paraId="1E421F28" w14:textId="77777777" w:rsidTr="00F31A05">
        <w:trPr>
          <w:cantSplit/>
        </w:trPr>
        <w:tc>
          <w:tcPr>
            <w:tcW w:w="1206" w:type="pct"/>
          </w:tcPr>
          <w:p w14:paraId="47CA3B73" w14:textId="3A263E35" w:rsidR="00C33FAC" w:rsidRDefault="00C33FAC" w:rsidP="00F31A05">
            <w:pPr>
              <w:pStyle w:val="TableText"/>
              <w:rPr>
                <w:sz w:val="24"/>
                <w:lang w:eastAsia="zh-CN"/>
              </w:rPr>
            </w:pPr>
            <w:r w:rsidRPr="00C33FAC">
              <w:rPr>
                <w:sz w:val="24"/>
                <w:lang w:eastAsia="zh-CN"/>
              </w:rPr>
              <w:t>SAE</w:t>
            </w:r>
          </w:p>
        </w:tc>
        <w:tc>
          <w:tcPr>
            <w:tcW w:w="3794" w:type="pct"/>
          </w:tcPr>
          <w:p w14:paraId="34579028" w14:textId="7FF9C8E8" w:rsidR="00C33FAC" w:rsidRPr="00B47883" w:rsidRDefault="00C33FAC" w:rsidP="00F31A05">
            <w:pPr>
              <w:pStyle w:val="TableText"/>
              <w:rPr>
                <w:sz w:val="24"/>
              </w:rPr>
            </w:pPr>
            <w:r>
              <w:rPr>
                <w:rFonts w:hint="eastAsia"/>
                <w:sz w:val="24"/>
              </w:rPr>
              <w:t>s</w:t>
            </w:r>
            <w:r>
              <w:rPr>
                <w:sz w:val="24"/>
              </w:rPr>
              <w:t>erious adverse event</w:t>
            </w:r>
          </w:p>
        </w:tc>
      </w:tr>
      <w:tr w:rsidR="009E2C4D" w:rsidRPr="001C17C5" w14:paraId="1D81F148" w14:textId="77777777" w:rsidTr="00F31A05">
        <w:trPr>
          <w:cantSplit/>
        </w:trPr>
        <w:tc>
          <w:tcPr>
            <w:tcW w:w="1206" w:type="pct"/>
          </w:tcPr>
          <w:p w14:paraId="41EA7A11" w14:textId="280F47D1" w:rsidR="009E2C4D" w:rsidRPr="00C33FAC" w:rsidRDefault="009E2C4D" w:rsidP="00F31A05">
            <w:pPr>
              <w:pStyle w:val="TableText"/>
              <w:rPr>
                <w:sz w:val="24"/>
                <w:lang w:eastAsia="zh-CN"/>
              </w:rPr>
            </w:pPr>
            <w:r>
              <w:rPr>
                <w:rFonts w:hint="eastAsia"/>
                <w:sz w:val="24"/>
                <w:lang w:eastAsia="zh-CN"/>
              </w:rPr>
              <w:t>S</w:t>
            </w:r>
            <w:r>
              <w:rPr>
                <w:sz w:val="24"/>
                <w:lang w:eastAsia="zh-CN"/>
              </w:rPr>
              <w:t>AP</w:t>
            </w:r>
          </w:p>
        </w:tc>
        <w:tc>
          <w:tcPr>
            <w:tcW w:w="3794" w:type="pct"/>
          </w:tcPr>
          <w:p w14:paraId="5B59C25B" w14:textId="457B140D" w:rsidR="009E2C4D" w:rsidRDefault="009E2C4D" w:rsidP="00F31A05">
            <w:pPr>
              <w:pStyle w:val="TableText"/>
              <w:rPr>
                <w:sz w:val="24"/>
              </w:rPr>
            </w:pPr>
            <w:r>
              <w:rPr>
                <w:sz w:val="24"/>
              </w:rPr>
              <w:t>s</w:t>
            </w:r>
            <w:r w:rsidRPr="009E2C4D">
              <w:rPr>
                <w:sz w:val="24"/>
              </w:rPr>
              <w:t xml:space="preserve">tatistical </w:t>
            </w:r>
            <w:r>
              <w:rPr>
                <w:sz w:val="24"/>
              </w:rPr>
              <w:t>a</w:t>
            </w:r>
            <w:r w:rsidRPr="009E2C4D">
              <w:rPr>
                <w:sz w:val="24"/>
              </w:rPr>
              <w:t xml:space="preserve">nalysis </w:t>
            </w:r>
            <w:r>
              <w:rPr>
                <w:sz w:val="24"/>
              </w:rPr>
              <w:t>p</w:t>
            </w:r>
            <w:r w:rsidRPr="009E2C4D">
              <w:rPr>
                <w:sz w:val="24"/>
              </w:rPr>
              <w:t>lan</w:t>
            </w:r>
          </w:p>
        </w:tc>
      </w:tr>
      <w:tr w:rsidR="00662C37" w:rsidRPr="001C17C5" w14:paraId="107EC357" w14:textId="77777777" w:rsidTr="00F31A05">
        <w:trPr>
          <w:cantSplit/>
        </w:trPr>
        <w:tc>
          <w:tcPr>
            <w:tcW w:w="1206" w:type="pct"/>
          </w:tcPr>
          <w:p w14:paraId="17EB70CC" w14:textId="211FBD0B" w:rsidR="00662C37" w:rsidRPr="00C33FAC" w:rsidRDefault="00662C37" w:rsidP="00F31A05">
            <w:pPr>
              <w:pStyle w:val="TableText"/>
              <w:rPr>
                <w:sz w:val="24"/>
                <w:lang w:eastAsia="zh-CN"/>
              </w:rPr>
            </w:pPr>
            <w:proofErr w:type="spellStart"/>
            <w:r>
              <w:rPr>
                <w:rFonts w:hint="eastAsia"/>
                <w:sz w:val="24"/>
                <w:lang w:eastAsia="zh-CN"/>
              </w:rPr>
              <w:t>s</w:t>
            </w:r>
            <w:r>
              <w:rPr>
                <w:sz w:val="24"/>
                <w:lang w:eastAsia="zh-CN"/>
              </w:rPr>
              <w:t>CR</w:t>
            </w:r>
            <w:proofErr w:type="spellEnd"/>
          </w:p>
        </w:tc>
        <w:tc>
          <w:tcPr>
            <w:tcW w:w="3794" w:type="pct"/>
          </w:tcPr>
          <w:p w14:paraId="3E52FB48" w14:textId="1ECEFE44" w:rsidR="00662C37" w:rsidRDefault="00662C37" w:rsidP="00F31A05">
            <w:pPr>
              <w:pStyle w:val="TableText"/>
              <w:rPr>
                <w:sz w:val="24"/>
              </w:rPr>
            </w:pPr>
            <w:r w:rsidRPr="00662C37">
              <w:rPr>
                <w:sz w:val="24"/>
              </w:rPr>
              <w:t>stringent complete response</w:t>
            </w:r>
          </w:p>
        </w:tc>
      </w:tr>
      <w:tr w:rsidR="00587B49" w:rsidRPr="001C17C5" w14:paraId="39C5B572" w14:textId="77777777" w:rsidTr="00F31A05">
        <w:trPr>
          <w:cantSplit/>
        </w:trPr>
        <w:tc>
          <w:tcPr>
            <w:tcW w:w="1206" w:type="pct"/>
          </w:tcPr>
          <w:p w14:paraId="43C4ED2B" w14:textId="5C1CB737" w:rsidR="00587B49" w:rsidRDefault="00587B49" w:rsidP="00F31A05">
            <w:pPr>
              <w:pStyle w:val="TableText"/>
              <w:rPr>
                <w:sz w:val="24"/>
                <w:lang w:eastAsia="zh-CN"/>
              </w:rPr>
            </w:pPr>
            <w:r>
              <w:rPr>
                <w:rFonts w:hint="eastAsia"/>
                <w:sz w:val="24"/>
                <w:lang w:eastAsia="zh-CN"/>
              </w:rPr>
              <w:t>S</w:t>
            </w:r>
            <w:r>
              <w:rPr>
                <w:sz w:val="24"/>
                <w:lang w:eastAsia="zh-CN"/>
              </w:rPr>
              <w:t>OC</w:t>
            </w:r>
          </w:p>
        </w:tc>
        <w:tc>
          <w:tcPr>
            <w:tcW w:w="3794" w:type="pct"/>
          </w:tcPr>
          <w:p w14:paraId="74CB63EF" w14:textId="64AE0A4C" w:rsidR="00587B49" w:rsidRPr="00662C37" w:rsidRDefault="00587B49" w:rsidP="00F31A05">
            <w:pPr>
              <w:pStyle w:val="TableText"/>
              <w:rPr>
                <w:sz w:val="24"/>
              </w:rPr>
            </w:pPr>
            <w:r>
              <w:rPr>
                <w:sz w:val="24"/>
              </w:rPr>
              <w:t>s</w:t>
            </w:r>
            <w:r w:rsidRPr="00587B49">
              <w:rPr>
                <w:sz w:val="24"/>
              </w:rPr>
              <w:t xml:space="preserve">ystematic </w:t>
            </w:r>
            <w:r>
              <w:rPr>
                <w:sz w:val="24"/>
              </w:rPr>
              <w:t>o</w:t>
            </w:r>
            <w:r w:rsidRPr="00587B49">
              <w:rPr>
                <w:sz w:val="24"/>
              </w:rPr>
              <w:t xml:space="preserve">rgan </w:t>
            </w:r>
            <w:r>
              <w:rPr>
                <w:sz w:val="24"/>
              </w:rPr>
              <w:t>c</w:t>
            </w:r>
            <w:r w:rsidRPr="00587B49">
              <w:rPr>
                <w:sz w:val="24"/>
              </w:rPr>
              <w:t>lassification</w:t>
            </w:r>
          </w:p>
        </w:tc>
      </w:tr>
      <w:tr w:rsidR="001822A0" w:rsidRPr="001C17C5" w14:paraId="02385820" w14:textId="77777777" w:rsidTr="00F31A05">
        <w:trPr>
          <w:cantSplit/>
        </w:trPr>
        <w:tc>
          <w:tcPr>
            <w:tcW w:w="1206" w:type="pct"/>
          </w:tcPr>
          <w:p w14:paraId="7CD3F13D" w14:textId="27E8E459" w:rsidR="001822A0" w:rsidRDefault="001822A0" w:rsidP="00F31A05">
            <w:pPr>
              <w:pStyle w:val="TableText"/>
              <w:rPr>
                <w:sz w:val="24"/>
                <w:lang w:eastAsia="zh-CN"/>
              </w:rPr>
            </w:pPr>
            <w:r>
              <w:rPr>
                <w:rFonts w:hint="eastAsia"/>
                <w:sz w:val="24"/>
                <w:lang w:eastAsia="zh-CN"/>
              </w:rPr>
              <w:t>S</w:t>
            </w:r>
            <w:r>
              <w:rPr>
                <w:sz w:val="24"/>
                <w:lang w:eastAsia="zh-CN"/>
              </w:rPr>
              <w:t>OP</w:t>
            </w:r>
          </w:p>
        </w:tc>
        <w:tc>
          <w:tcPr>
            <w:tcW w:w="3794" w:type="pct"/>
          </w:tcPr>
          <w:p w14:paraId="69DA994F" w14:textId="42E93A74" w:rsidR="001822A0" w:rsidRPr="00662C37" w:rsidRDefault="001822A0" w:rsidP="00F31A05">
            <w:pPr>
              <w:pStyle w:val="TableText"/>
              <w:rPr>
                <w:sz w:val="24"/>
              </w:rPr>
            </w:pPr>
            <w:r w:rsidRPr="001822A0">
              <w:rPr>
                <w:sz w:val="24"/>
              </w:rPr>
              <w:t>standard operating procedure</w:t>
            </w:r>
          </w:p>
        </w:tc>
      </w:tr>
      <w:tr w:rsidR="00C33FAC" w:rsidRPr="001C17C5" w14:paraId="27D4C3B1" w14:textId="77777777" w:rsidTr="00F31A05">
        <w:trPr>
          <w:cantSplit/>
        </w:trPr>
        <w:tc>
          <w:tcPr>
            <w:tcW w:w="1206" w:type="pct"/>
          </w:tcPr>
          <w:p w14:paraId="26EB0839" w14:textId="703F690E" w:rsidR="00C33FAC" w:rsidRPr="00C33FAC" w:rsidRDefault="00C33FAC" w:rsidP="00F31A05">
            <w:pPr>
              <w:pStyle w:val="TableText"/>
              <w:rPr>
                <w:sz w:val="24"/>
                <w:lang w:eastAsia="zh-CN"/>
              </w:rPr>
            </w:pPr>
            <w:proofErr w:type="spellStart"/>
            <w:r>
              <w:rPr>
                <w:rFonts w:hint="eastAsia"/>
                <w:sz w:val="24"/>
                <w:lang w:eastAsia="zh-CN"/>
              </w:rPr>
              <w:t>T</w:t>
            </w:r>
            <w:r w:rsidRPr="00C33FAC">
              <w:rPr>
                <w:sz w:val="24"/>
                <w:vertAlign w:val="subscript"/>
                <w:lang w:eastAsia="zh-CN"/>
              </w:rPr>
              <w:t>max</w:t>
            </w:r>
            <w:proofErr w:type="spellEnd"/>
          </w:p>
        </w:tc>
        <w:tc>
          <w:tcPr>
            <w:tcW w:w="3794" w:type="pct"/>
          </w:tcPr>
          <w:p w14:paraId="21A73CD0" w14:textId="5838AF5C" w:rsidR="00C33FAC" w:rsidRDefault="00C33FAC" w:rsidP="00F31A05">
            <w:pPr>
              <w:pStyle w:val="TableText"/>
              <w:rPr>
                <w:sz w:val="24"/>
              </w:rPr>
            </w:pPr>
            <w:r>
              <w:rPr>
                <w:sz w:val="24"/>
              </w:rPr>
              <w:t>t</w:t>
            </w:r>
            <w:r w:rsidRPr="00C33FAC">
              <w:rPr>
                <w:sz w:val="24"/>
              </w:rPr>
              <w:t>ime to maximum plasma concentration</w:t>
            </w:r>
          </w:p>
        </w:tc>
      </w:tr>
      <w:tr w:rsidR="00C33FAC" w:rsidRPr="001C17C5" w14:paraId="59E34D2E" w14:textId="77777777" w:rsidTr="00F31A05">
        <w:trPr>
          <w:cantSplit/>
        </w:trPr>
        <w:tc>
          <w:tcPr>
            <w:tcW w:w="1206" w:type="pct"/>
          </w:tcPr>
          <w:p w14:paraId="412C886F" w14:textId="389B316E" w:rsidR="00C33FAC" w:rsidRDefault="00C33FAC" w:rsidP="00F31A05">
            <w:pPr>
              <w:pStyle w:val="TableText"/>
              <w:rPr>
                <w:sz w:val="24"/>
                <w:lang w:eastAsia="zh-CN"/>
              </w:rPr>
            </w:pPr>
            <w:r>
              <w:rPr>
                <w:rFonts w:hint="eastAsia"/>
                <w:sz w:val="24"/>
                <w:lang w:eastAsia="zh-CN"/>
              </w:rPr>
              <w:t>T</w:t>
            </w:r>
            <w:r>
              <w:rPr>
                <w:sz w:val="24"/>
                <w:lang w:eastAsia="zh-CN"/>
              </w:rPr>
              <w:t>RAE</w:t>
            </w:r>
          </w:p>
        </w:tc>
        <w:tc>
          <w:tcPr>
            <w:tcW w:w="3794" w:type="pct"/>
          </w:tcPr>
          <w:p w14:paraId="647AE656" w14:textId="6AAB37AA" w:rsidR="00C33FAC" w:rsidRPr="00B47883" w:rsidRDefault="00C33FAC" w:rsidP="00F31A05">
            <w:pPr>
              <w:pStyle w:val="TableText"/>
              <w:rPr>
                <w:sz w:val="24"/>
              </w:rPr>
            </w:pPr>
            <w:r w:rsidRPr="00C33FAC">
              <w:rPr>
                <w:sz w:val="24"/>
              </w:rPr>
              <w:t>treatment-related adverse event</w:t>
            </w:r>
          </w:p>
        </w:tc>
      </w:tr>
      <w:tr w:rsidR="00750591" w:rsidRPr="001C17C5" w14:paraId="49631DF1" w14:textId="77777777" w:rsidTr="00F31A05">
        <w:trPr>
          <w:cantSplit/>
        </w:trPr>
        <w:tc>
          <w:tcPr>
            <w:tcW w:w="1206" w:type="pct"/>
          </w:tcPr>
          <w:p w14:paraId="71838DDE" w14:textId="0FE1613C" w:rsidR="00750591" w:rsidRDefault="00750591" w:rsidP="00F31A05">
            <w:pPr>
              <w:pStyle w:val="TableText"/>
              <w:rPr>
                <w:sz w:val="24"/>
                <w:lang w:eastAsia="zh-CN"/>
              </w:rPr>
            </w:pPr>
            <w:r>
              <w:rPr>
                <w:rFonts w:hint="eastAsia"/>
                <w:sz w:val="24"/>
                <w:lang w:eastAsia="zh-CN"/>
              </w:rPr>
              <w:t>U</w:t>
            </w:r>
            <w:r>
              <w:rPr>
                <w:sz w:val="24"/>
                <w:lang w:eastAsia="zh-CN"/>
              </w:rPr>
              <w:t>LN</w:t>
            </w:r>
          </w:p>
        </w:tc>
        <w:tc>
          <w:tcPr>
            <w:tcW w:w="3794" w:type="pct"/>
          </w:tcPr>
          <w:p w14:paraId="5EE66FFD" w14:textId="26E83FCF" w:rsidR="00750591" w:rsidRPr="00C33FAC" w:rsidRDefault="00750591" w:rsidP="00F31A05">
            <w:pPr>
              <w:pStyle w:val="TableText"/>
              <w:rPr>
                <w:sz w:val="24"/>
              </w:rPr>
            </w:pPr>
            <w:r w:rsidRPr="00750591">
              <w:rPr>
                <w:sz w:val="24"/>
              </w:rPr>
              <w:t>upper limit of normal</w:t>
            </w:r>
          </w:p>
        </w:tc>
      </w:tr>
      <w:tr w:rsidR="00C33FAC" w:rsidRPr="001C17C5" w14:paraId="2C4FB36A" w14:textId="77777777" w:rsidTr="00F31A05">
        <w:trPr>
          <w:cantSplit/>
        </w:trPr>
        <w:tc>
          <w:tcPr>
            <w:tcW w:w="1206" w:type="pct"/>
          </w:tcPr>
          <w:p w14:paraId="3B6B7093" w14:textId="1020ADC9" w:rsidR="00C33FAC" w:rsidRDefault="00C33FAC" w:rsidP="00F31A05">
            <w:pPr>
              <w:pStyle w:val="TableText"/>
              <w:rPr>
                <w:sz w:val="24"/>
                <w:lang w:eastAsia="zh-CN"/>
              </w:rPr>
            </w:pPr>
            <w:r>
              <w:rPr>
                <w:rFonts w:hint="eastAsia"/>
                <w:sz w:val="24"/>
                <w:lang w:eastAsia="zh-CN"/>
              </w:rPr>
              <w:t>V</w:t>
            </w:r>
            <w:r>
              <w:rPr>
                <w:sz w:val="24"/>
                <w:lang w:eastAsia="zh-CN"/>
              </w:rPr>
              <w:t>CN</w:t>
            </w:r>
          </w:p>
        </w:tc>
        <w:tc>
          <w:tcPr>
            <w:tcW w:w="3794" w:type="pct"/>
          </w:tcPr>
          <w:p w14:paraId="23CA8B53" w14:textId="56B73B00" w:rsidR="00C33FAC" w:rsidRPr="00C33FAC" w:rsidRDefault="00C33FAC" w:rsidP="00F31A05">
            <w:pPr>
              <w:pStyle w:val="TableText"/>
              <w:rPr>
                <w:sz w:val="24"/>
              </w:rPr>
            </w:pPr>
            <w:r w:rsidRPr="00C33FAC">
              <w:rPr>
                <w:sz w:val="24"/>
              </w:rPr>
              <w:t>vector copy number</w:t>
            </w:r>
          </w:p>
        </w:tc>
      </w:tr>
      <w:tr w:rsidR="00662C37" w:rsidRPr="001C17C5" w14:paraId="64AB106F" w14:textId="77777777" w:rsidTr="00F31A05">
        <w:trPr>
          <w:cantSplit/>
        </w:trPr>
        <w:tc>
          <w:tcPr>
            <w:tcW w:w="1206" w:type="pct"/>
          </w:tcPr>
          <w:p w14:paraId="6B7952F1" w14:textId="66F30677" w:rsidR="00662C37" w:rsidRDefault="00662C37" w:rsidP="00F31A05">
            <w:pPr>
              <w:pStyle w:val="TableText"/>
              <w:rPr>
                <w:sz w:val="24"/>
                <w:lang w:eastAsia="zh-CN"/>
              </w:rPr>
            </w:pPr>
            <w:r>
              <w:rPr>
                <w:rFonts w:hint="eastAsia"/>
                <w:sz w:val="24"/>
                <w:lang w:eastAsia="zh-CN"/>
              </w:rPr>
              <w:t>V</w:t>
            </w:r>
            <w:r>
              <w:rPr>
                <w:sz w:val="24"/>
                <w:lang w:eastAsia="zh-CN"/>
              </w:rPr>
              <w:t>GPR</w:t>
            </w:r>
          </w:p>
        </w:tc>
        <w:tc>
          <w:tcPr>
            <w:tcW w:w="3794" w:type="pct"/>
          </w:tcPr>
          <w:p w14:paraId="286FD0D4" w14:textId="0A6C1892" w:rsidR="00662C37" w:rsidRPr="00C33FAC" w:rsidRDefault="00662C37" w:rsidP="00F31A05">
            <w:pPr>
              <w:pStyle w:val="TableText"/>
              <w:rPr>
                <w:sz w:val="24"/>
              </w:rPr>
            </w:pPr>
            <w:r w:rsidRPr="00662C37">
              <w:rPr>
                <w:sz w:val="24"/>
              </w:rPr>
              <w:t>very good partial response</w:t>
            </w:r>
          </w:p>
        </w:tc>
      </w:tr>
      <w:tr w:rsidR="00ED46D3" w:rsidRPr="001C17C5" w14:paraId="0B2ADA95" w14:textId="77777777" w:rsidTr="00F31A05">
        <w:trPr>
          <w:cantSplit/>
        </w:trPr>
        <w:tc>
          <w:tcPr>
            <w:tcW w:w="1206" w:type="pct"/>
          </w:tcPr>
          <w:p w14:paraId="35A5E486" w14:textId="1FE9EDBE" w:rsidR="00ED46D3" w:rsidRDefault="00ED46D3" w:rsidP="00F31A05">
            <w:pPr>
              <w:pStyle w:val="TableText"/>
              <w:rPr>
                <w:sz w:val="24"/>
                <w:lang w:eastAsia="zh-CN"/>
              </w:rPr>
            </w:pPr>
            <w:r>
              <w:rPr>
                <w:rFonts w:hint="eastAsia"/>
                <w:sz w:val="24"/>
                <w:lang w:eastAsia="zh-CN"/>
              </w:rPr>
              <w:t>X</w:t>
            </w:r>
            <w:r>
              <w:rPr>
                <w:sz w:val="24"/>
                <w:lang w:eastAsia="zh-CN"/>
              </w:rPr>
              <w:t>PO1</w:t>
            </w:r>
          </w:p>
        </w:tc>
        <w:tc>
          <w:tcPr>
            <w:tcW w:w="3794" w:type="pct"/>
          </w:tcPr>
          <w:p w14:paraId="383CAFA3" w14:textId="47F43E07" w:rsidR="00ED46D3" w:rsidRPr="00C33FAC" w:rsidRDefault="00ED46D3" w:rsidP="00F31A05">
            <w:pPr>
              <w:pStyle w:val="TableText"/>
              <w:rPr>
                <w:sz w:val="24"/>
              </w:rPr>
            </w:pPr>
            <w:r w:rsidRPr="00ED46D3">
              <w:rPr>
                <w:sz w:val="24"/>
              </w:rPr>
              <w:t>nuclear export protein</w:t>
            </w:r>
            <w:r w:rsidR="00505EE4">
              <w:rPr>
                <w:sz w:val="24"/>
              </w:rPr>
              <w:t xml:space="preserve"> 1</w:t>
            </w:r>
          </w:p>
        </w:tc>
      </w:tr>
    </w:tbl>
    <w:p w14:paraId="6B93745F" w14:textId="12E44166" w:rsidR="00B47883" w:rsidRDefault="00B47883" w:rsidP="004D4C27">
      <w:pPr>
        <w:pStyle w:val="InstructionalText"/>
        <w:keepNext/>
        <w:keepLines/>
      </w:pPr>
    </w:p>
    <w:p w14:paraId="59AD9449" w14:textId="77777777" w:rsidR="00B47883" w:rsidRPr="00C820E8" w:rsidRDefault="00B47883" w:rsidP="004D4C27">
      <w:pPr>
        <w:pStyle w:val="InstructionalText"/>
        <w:keepNext/>
        <w:keepLines/>
      </w:pPr>
    </w:p>
    <w:p w14:paraId="29B02A72" w14:textId="55FCE3D1" w:rsidR="00FC7470" w:rsidRPr="00C820E8" w:rsidRDefault="00270C9D" w:rsidP="00FE0C5C">
      <w:pPr>
        <w:pStyle w:val="1"/>
      </w:pPr>
      <w:bookmarkStart w:id="11" w:name="_Toc111916928"/>
      <w:bookmarkStart w:id="12" w:name="_Toc112064814"/>
      <w:bookmarkEnd w:id="11"/>
      <w:r w:rsidRPr="00C820E8">
        <w:lastRenderedPageBreak/>
        <w:t>INTRODUCTION</w:t>
      </w:r>
      <w:bookmarkEnd w:id="12"/>
    </w:p>
    <w:p w14:paraId="66591D3F" w14:textId="7F9FE6F2" w:rsidR="00FC7470" w:rsidRDefault="7E261FD0" w:rsidP="006F53AF">
      <w:pPr>
        <w:pStyle w:val="20"/>
      </w:pPr>
      <w:bookmarkStart w:id="13" w:name="_Toc112064815"/>
      <w:r>
        <w:t xml:space="preserve">Background on </w:t>
      </w:r>
      <w:r w:rsidR="00985292">
        <w:t>Disease</w:t>
      </w:r>
      <w:bookmarkEnd w:id="13"/>
    </w:p>
    <w:p w14:paraId="0E15B9A9" w14:textId="209C4678" w:rsidR="00985292" w:rsidRDefault="00985292" w:rsidP="004D2B89">
      <w:pPr>
        <w:tabs>
          <w:tab w:val="left" w:pos="709"/>
        </w:tabs>
        <w:suppressAutoHyphens/>
        <w:snapToGrid w:val="0"/>
        <w:jc w:val="both"/>
      </w:pPr>
      <w:r>
        <w:rPr>
          <w:lang w:val="en"/>
        </w:rPr>
        <w:t>Multiple myeloma (MM) is the second most common hematologic malignant tumor</w:t>
      </w:r>
      <w:r w:rsidR="00EA599D">
        <w:rPr>
          <w:lang w:val="en"/>
        </w:rPr>
        <w:t>,</w:t>
      </w:r>
      <w:r>
        <w:rPr>
          <w:lang w:val="en"/>
        </w:rPr>
        <w:t xml:space="preserve"> which </w:t>
      </w:r>
      <w:r w:rsidR="00EA599D">
        <w:rPr>
          <w:lang w:val="en"/>
        </w:rPr>
        <w:t>frequently occurs</w:t>
      </w:r>
      <w:r>
        <w:rPr>
          <w:lang w:val="en"/>
        </w:rPr>
        <w:t xml:space="preserve"> in the elderly [1, 2]. Extramedullary multiple myeloma (EMM) is an aggressive subtype of MM that can involve multiple organs such as the central nervous system, liver, pleura, lymphatic system, and skin [3, 4]. EMM may present either at </w:t>
      </w:r>
      <w:r w:rsidR="00EA599D">
        <w:rPr>
          <w:lang w:val="en"/>
        </w:rPr>
        <w:t xml:space="preserve">the </w:t>
      </w:r>
      <w:r>
        <w:rPr>
          <w:lang w:val="en"/>
        </w:rPr>
        <w:t xml:space="preserve">initial diagnosis (primary EMM) or at the time of relapse (secondary EMM) in MM patients. </w:t>
      </w:r>
      <w:r w:rsidRPr="00AE2519">
        <w:rPr>
          <w:lang w:val="en"/>
        </w:rPr>
        <w:t xml:space="preserve">Most of the studies suggest that EMM can be </w:t>
      </w:r>
      <w:r w:rsidR="00F16C20" w:rsidRPr="00AE2519">
        <w:rPr>
          <w:lang w:val="en"/>
        </w:rPr>
        <w:t>cat</w:t>
      </w:r>
      <w:r w:rsidR="00AE2519" w:rsidRPr="00AE2519">
        <w:rPr>
          <w:lang w:val="en"/>
        </w:rPr>
        <w:t>egorized</w:t>
      </w:r>
      <w:r w:rsidR="00F16C20" w:rsidRPr="00AE2519">
        <w:rPr>
          <w:lang w:val="en"/>
        </w:rPr>
        <w:t xml:space="preserve"> </w:t>
      </w:r>
      <w:r w:rsidR="00AE2519" w:rsidRPr="00AE2519">
        <w:rPr>
          <w:lang w:val="en"/>
        </w:rPr>
        <w:t>as</w:t>
      </w:r>
      <w:r w:rsidR="00AE2519" w:rsidRPr="00EA599D">
        <w:rPr>
          <w:lang w:val="en"/>
        </w:rPr>
        <w:t xml:space="preserve"> </w:t>
      </w:r>
      <w:r w:rsidR="00B61DC8" w:rsidRPr="00EA599D">
        <w:rPr>
          <w:lang w:val="en"/>
        </w:rPr>
        <w:t>extramedullary extraosseous</w:t>
      </w:r>
      <w:r w:rsidRPr="00EA599D">
        <w:rPr>
          <w:lang w:val="en"/>
        </w:rPr>
        <w:t xml:space="preserve"> type</w:t>
      </w:r>
      <w:r w:rsidR="00C20D65" w:rsidRPr="00EA599D">
        <w:rPr>
          <w:lang w:val="en"/>
        </w:rPr>
        <w:t xml:space="preserve"> </w:t>
      </w:r>
      <w:r w:rsidR="00B61DC8" w:rsidRPr="00EA599D">
        <w:rPr>
          <w:lang w:val="en"/>
        </w:rPr>
        <w:t>(resulting from hematogenous spread)</w:t>
      </w:r>
      <w:r w:rsidRPr="00EA599D">
        <w:rPr>
          <w:lang w:val="en"/>
        </w:rPr>
        <w:t xml:space="preserve"> and</w:t>
      </w:r>
      <w:r w:rsidR="00B61DC8" w:rsidRPr="00EA599D">
        <w:rPr>
          <w:lang w:val="en"/>
        </w:rPr>
        <w:t xml:space="preserve"> extramedullary-bone related</w:t>
      </w:r>
      <w:r w:rsidRPr="00EA599D">
        <w:rPr>
          <w:lang w:val="en"/>
        </w:rPr>
        <w:t xml:space="preserve"> typ</w:t>
      </w:r>
      <w:r w:rsidR="00B61DC8" w:rsidRPr="00EA599D">
        <w:rPr>
          <w:lang w:val="en"/>
        </w:rPr>
        <w:t>e</w:t>
      </w:r>
      <w:r w:rsidR="00C20D65" w:rsidRPr="00EA599D">
        <w:rPr>
          <w:lang w:val="en"/>
        </w:rPr>
        <w:t xml:space="preserve"> </w:t>
      </w:r>
      <w:r w:rsidR="00B61DC8" w:rsidRPr="00EA599D">
        <w:rPr>
          <w:rFonts w:hint="eastAsia"/>
          <w:lang w:val="en" w:eastAsia="zh-CN"/>
        </w:rPr>
        <w:t>(</w:t>
      </w:r>
      <w:r w:rsidR="00B61DC8" w:rsidRPr="00EA599D">
        <w:rPr>
          <w:lang w:val="en" w:eastAsia="zh-CN"/>
        </w:rPr>
        <w:t>from bone to contiguous soft</w:t>
      </w:r>
      <w:r w:rsidR="00EA599D">
        <w:rPr>
          <w:lang w:val="en" w:eastAsia="zh-CN"/>
        </w:rPr>
        <w:t xml:space="preserve"> </w:t>
      </w:r>
      <w:r w:rsidR="00B61DC8" w:rsidRPr="00EA599D">
        <w:rPr>
          <w:lang w:val="en" w:eastAsia="zh-CN"/>
        </w:rPr>
        <w:t>Tissues)</w:t>
      </w:r>
      <w:r w:rsidR="00650029">
        <w:rPr>
          <w:color w:val="FF0000"/>
          <w:lang w:val="en" w:eastAsia="zh-CN"/>
        </w:rPr>
        <w:t xml:space="preserve"> </w:t>
      </w:r>
      <w:r>
        <w:rPr>
          <w:lang w:val="en"/>
        </w:rPr>
        <w:t>[5, 6]. Extramedullary lesions</w:t>
      </w:r>
      <w:r w:rsidR="002E12B9" w:rsidRPr="002E12B9">
        <w:rPr>
          <w:lang w:val="en"/>
        </w:rPr>
        <w:t xml:space="preserve"> </w:t>
      </w:r>
      <w:r w:rsidR="002E12B9">
        <w:rPr>
          <w:lang w:val="en"/>
        </w:rPr>
        <w:t>are more commonly detected during the course of treatment</w:t>
      </w:r>
      <w:r w:rsidR="002E12B9" w:rsidRPr="002E12B9">
        <w:rPr>
          <w:lang w:val="en"/>
        </w:rPr>
        <w:t xml:space="preserve"> </w:t>
      </w:r>
      <w:r w:rsidR="002E12B9">
        <w:rPr>
          <w:lang w:val="en"/>
        </w:rPr>
        <w:t>than in the initial stage of the disease</w:t>
      </w:r>
      <w:r>
        <w:rPr>
          <w:lang w:val="en"/>
        </w:rPr>
        <w:t xml:space="preserve">, </w:t>
      </w:r>
      <w:r w:rsidR="002E12B9">
        <w:rPr>
          <w:lang w:val="en"/>
        </w:rPr>
        <w:t xml:space="preserve">which can be </w:t>
      </w:r>
      <w:r>
        <w:rPr>
          <w:lang w:val="en"/>
        </w:rPr>
        <w:t>up to 34.2</w:t>
      </w:r>
      <w:proofErr w:type="gramStart"/>
      <w:r>
        <w:rPr>
          <w:lang w:val="en"/>
        </w:rPr>
        <w:t>%[</w:t>
      </w:r>
      <w:proofErr w:type="gramEnd"/>
      <w:r>
        <w:rPr>
          <w:lang w:val="en"/>
        </w:rPr>
        <w:t>7]. In recent years, with the application of proteasome inhibitors, immunomodulators, autologous hematopoietic stem cell transplantation, and monoclonal antibodies, the overall survival (OS) of myeloma patients has been greatly prolonged</w:t>
      </w:r>
      <w:r w:rsidR="002E12B9">
        <w:rPr>
          <w:lang w:val="en"/>
        </w:rPr>
        <w:t>. W</w:t>
      </w:r>
      <w:r>
        <w:rPr>
          <w:lang w:val="en"/>
        </w:rPr>
        <w:t xml:space="preserve">ith the popularization of </w:t>
      </w:r>
      <w:r w:rsidR="00EA599D">
        <w:rPr>
          <w:lang w:val="en"/>
        </w:rPr>
        <w:t>several</w:t>
      </w:r>
      <w:r>
        <w:rPr>
          <w:lang w:val="en"/>
        </w:rPr>
        <w:t xml:space="preserve"> highly sensitive detection methods, the detection rate of EMM further</w:t>
      </w:r>
      <w:r w:rsidR="002E12B9">
        <w:rPr>
          <w:lang w:val="en"/>
        </w:rPr>
        <w:t xml:space="preserve"> rises</w:t>
      </w:r>
      <w:r>
        <w:rPr>
          <w:lang w:val="en"/>
        </w:rPr>
        <w:t xml:space="preserve">. Previous reports have shown that the incidence of </w:t>
      </w:r>
      <w:r w:rsidR="00AE2519">
        <w:rPr>
          <w:lang w:val="en"/>
        </w:rPr>
        <w:t>e</w:t>
      </w:r>
      <w:r w:rsidR="00AE2519" w:rsidRPr="00AE2519">
        <w:rPr>
          <w:lang w:val="en"/>
        </w:rPr>
        <w:t xml:space="preserve">xtramedullary </w:t>
      </w:r>
      <w:r w:rsidR="00AE2519">
        <w:rPr>
          <w:lang w:val="en"/>
        </w:rPr>
        <w:t>d</w:t>
      </w:r>
      <w:r w:rsidR="00AE2519" w:rsidRPr="00AE2519">
        <w:rPr>
          <w:lang w:val="en"/>
        </w:rPr>
        <w:t xml:space="preserve">isease </w:t>
      </w:r>
      <w:r>
        <w:rPr>
          <w:lang w:val="en"/>
        </w:rPr>
        <w:t xml:space="preserve">can be as high as 70% in autopsy [8], suggesting that extramedullary lesions may be a natural outcome of </w:t>
      </w:r>
      <w:r w:rsidRPr="00056AE4">
        <w:rPr>
          <w:rFonts w:hint="eastAsia"/>
        </w:rPr>
        <w:t>progression in myeloma patients</w:t>
      </w:r>
      <w:r>
        <w:rPr>
          <w:lang w:val="en"/>
        </w:rPr>
        <w:t xml:space="preserve">. </w:t>
      </w:r>
    </w:p>
    <w:p w14:paraId="72804D40" w14:textId="49804DFD" w:rsidR="00985292" w:rsidRDefault="00985292" w:rsidP="004D2B89">
      <w:pPr>
        <w:tabs>
          <w:tab w:val="left" w:pos="709"/>
        </w:tabs>
        <w:suppressAutoHyphens/>
        <w:snapToGrid w:val="0"/>
        <w:jc w:val="both"/>
      </w:pPr>
      <w:r>
        <w:rPr>
          <w:lang w:val="en"/>
        </w:rPr>
        <w:t xml:space="preserve">As the survival of extramedullary tumor cells is not dependent on the bone marrow microenvironment, </w:t>
      </w:r>
      <w:r w:rsidRPr="00A41B3F">
        <w:rPr>
          <w:lang w:val="en"/>
        </w:rPr>
        <w:t>they are more often associated with adverse cytogenetic features than intramedullary tumor cells, resulting in a poor survival outcome for the patient.</w:t>
      </w:r>
      <w:r>
        <w:rPr>
          <w:lang w:val="en"/>
        </w:rPr>
        <w:t xml:space="preserve"> Several studies in China and abroad have suggested that extramedullary disease </w:t>
      </w:r>
      <w:r w:rsidR="002E12B9">
        <w:rPr>
          <w:lang w:val="en"/>
        </w:rPr>
        <w:t>is</w:t>
      </w:r>
      <w:r>
        <w:rPr>
          <w:lang w:val="en"/>
        </w:rPr>
        <w:t xml:space="preserve"> a risk</w:t>
      </w:r>
      <w:r w:rsidR="002E12B9">
        <w:rPr>
          <w:lang w:val="en"/>
        </w:rPr>
        <w:t xml:space="preserve"> factor </w:t>
      </w:r>
      <w:r>
        <w:rPr>
          <w:lang w:val="en"/>
        </w:rPr>
        <w:t xml:space="preserve">for MM </w:t>
      </w:r>
      <w:r w:rsidR="002E12B9">
        <w:rPr>
          <w:lang w:val="en"/>
        </w:rPr>
        <w:t xml:space="preserve">patients </w:t>
      </w:r>
      <w:r>
        <w:rPr>
          <w:lang w:val="en"/>
        </w:rPr>
        <w:t xml:space="preserve">[9-11]. To date, there are no prospective studies specifically targeting extramedullary myeloma, and </w:t>
      </w:r>
      <w:r w:rsidR="00EA599D">
        <w:rPr>
          <w:lang w:val="en"/>
        </w:rPr>
        <w:t>no standard treatment regimen is</w:t>
      </w:r>
      <w:r>
        <w:rPr>
          <w:lang w:val="en"/>
        </w:rPr>
        <w:t xml:space="preserve"> recommended by guidelines, suggesting that t</w:t>
      </w:r>
      <w:r w:rsidR="00EA599D">
        <w:rPr>
          <w:lang w:val="en"/>
        </w:rPr>
        <w:t>reating</w:t>
      </w:r>
      <w:r>
        <w:rPr>
          <w:lang w:val="en"/>
        </w:rPr>
        <w:t xml:space="preserve"> extramedullary myeloma is extremely difficult. Results from several retrospective studies have shown that conventional chemotherapeutic agents and novel agents, alone or in combination, have limited efficacy in patients with EMM [5, 6, 12, 13]. For example, in a study of 357 patients with MM (24 with secondary EMM), the median progression-free survival (PFS) and OS of patients with secondary EMM were approximately </w:t>
      </w:r>
      <w:r w:rsidR="00EA599D">
        <w:rPr>
          <w:lang w:val="en"/>
        </w:rPr>
        <w:t>two</w:t>
      </w:r>
      <w:r>
        <w:rPr>
          <w:lang w:val="en"/>
        </w:rPr>
        <w:t xml:space="preserve"> months and </w:t>
      </w:r>
      <w:r w:rsidR="00EA599D">
        <w:rPr>
          <w:lang w:val="en"/>
        </w:rPr>
        <w:t>seven</w:t>
      </w:r>
      <w:r>
        <w:rPr>
          <w:lang w:val="en"/>
        </w:rPr>
        <w:t xml:space="preserve"> months, respectively [14]. A retrospective study of carfilzomib monotherapy or combination therapy for the treatment of relapsed/refractory multiple myeloma (RR/MM) showed that patients with extramedullary infiltration had a shorter duration of response than those without extramedullary infiltration (3.9</w:t>
      </w:r>
      <w:r>
        <w:t> </w:t>
      </w:r>
      <w:r>
        <w:rPr>
          <w:lang w:val="en"/>
        </w:rPr>
        <w:t xml:space="preserve">months and 9.3 months, respectively) [15]. PFS and OS in patients with EMM treated with a daratumumab-based regimen were only 69 and 198 days, respectively [16]. Another Phase I/II study of daratumumab monotherapy or combination therapy for relapsed and refractory myeloma showed that the overall response rate of patients with EMM was significantly lower than that of patients without EMM (16.7% versus 33.1%) [17]. Although autologous hematopoietic stem cell transplantation has been used in many sites </w:t>
      </w:r>
      <w:r w:rsidR="00EA599D">
        <w:rPr>
          <w:lang w:val="en"/>
        </w:rPr>
        <w:t>to treat EMM patients, most</w:t>
      </w:r>
      <w:r>
        <w:rPr>
          <w:lang w:val="en"/>
        </w:rPr>
        <w:t xml:space="preserve"> studies have </w:t>
      </w:r>
      <w:r>
        <w:t xml:space="preserve">shown </w:t>
      </w:r>
      <w:r>
        <w:rPr>
          <w:lang w:val="en"/>
        </w:rPr>
        <w:t xml:space="preserve">poor efficacy. </w:t>
      </w:r>
    </w:p>
    <w:p w14:paraId="407CE6A4" w14:textId="79844682" w:rsidR="3E45A9EA" w:rsidRDefault="00985292" w:rsidP="004D2B89">
      <w:pPr>
        <w:pStyle w:val="20"/>
        <w:jc w:val="both"/>
      </w:pPr>
      <w:bookmarkStart w:id="14" w:name="_Toc112064816"/>
      <w:r w:rsidRPr="00985292">
        <w:lastRenderedPageBreak/>
        <w:t>Anti-BCMA CAR-T for Extramedullary Multiple Myeloma</w:t>
      </w:r>
      <w:bookmarkEnd w:id="14"/>
    </w:p>
    <w:p w14:paraId="64480116" w14:textId="11E351B8" w:rsidR="00985292" w:rsidRDefault="00985292" w:rsidP="004D2B89">
      <w:pPr>
        <w:tabs>
          <w:tab w:val="left" w:pos="709"/>
        </w:tabs>
        <w:suppressAutoHyphens/>
        <w:snapToGrid w:val="0"/>
        <w:jc w:val="both"/>
      </w:pPr>
      <w:bookmarkStart w:id="15" w:name="_Toc342484061"/>
      <w:bookmarkStart w:id="16" w:name="_Hlk110870243"/>
      <w:bookmarkEnd w:id="15"/>
      <w:r>
        <w:rPr>
          <w:lang w:val="en"/>
        </w:rPr>
        <w:t>The efficacy of anti-B cell maturation antigen (BCMA) CAR-T cell therapy is well</w:t>
      </w:r>
      <w:r>
        <w:rPr>
          <w:lang w:val="en"/>
        </w:rPr>
        <w:noBreakHyphen/>
        <w:t>established in patients with RR/MM</w:t>
      </w:r>
      <w:r w:rsidR="00EA599D">
        <w:rPr>
          <w:lang w:val="en"/>
        </w:rPr>
        <w:t>. Still,</w:t>
      </w:r>
      <w:r>
        <w:rPr>
          <w:lang w:val="en"/>
        </w:rPr>
        <w:t xml:space="preserve"> the efficacy is </w:t>
      </w:r>
      <w:r w:rsidR="00EA599D">
        <w:rPr>
          <w:lang w:val="en"/>
        </w:rPr>
        <w:t>un</w:t>
      </w:r>
      <w:r>
        <w:rPr>
          <w:lang w:val="en"/>
        </w:rPr>
        <w:t>satisfactory in patients with EMM [18-25]. The efficacy data of patients with EMM were summarized from 2 previous anti-BCMA CAR-T clinical trials</w:t>
      </w:r>
      <w:r w:rsidR="00EA599D">
        <w:rPr>
          <w:lang w:val="en"/>
        </w:rPr>
        <w:t>,</w:t>
      </w:r>
      <w:r>
        <w:rPr>
          <w:lang w:val="en"/>
        </w:rPr>
        <w:t xml:space="preserve"> which were conducted by our center “A single-center, open-label, single-arm clinical study of the safety and efficacy of anti-BCMA CAR-T infusion (mouse</w:t>
      </w:r>
      <w:r w:rsidR="00EA599D">
        <w:rPr>
          <w:lang w:val="en"/>
        </w:rPr>
        <w:t>-</w:t>
      </w:r>
      <w:r>
        <w:rPr>
          <w:lang w:val="en"/>
        </w:rPr>
        <w:t xml:space="preserve">derived) in the treatment of relapsed/refractory/high-risk BCMA+ cell tumors” (Chinese Clinical Trial Registry No.: ChiCTR-OPC-16009113) and “A Phase I, single-center, open-label clinical study of the safety and efficacy of </w:t>
      </w:r>
      <w:r w:rsidR="00F31A05">
        <w:rPr>
          <w:lang w:val="en"/>
        </w:rPr>
        <w:t>fully human</w:t>
      </w:r>
      <w:r>
        <w:rPr>
          <w:lang w:val="en"/>
        </w:rPr>
        <w:t xml:space="preserve"> anti-BCMA CAR-T (CT103A) cell infusion in the treatment of relapsed/refractory plasma cell tumors” (Chinese Clinical Trial Registry No.: ChiCTR1800018137).</w:t>
      </w:r>
    </w:p>
    <w:bookmarkEnd w:id="16"/>
    <w:p w14:paraId="395E9663" w14:textId="65BF1A77" w:rsidR="00985292" w:rsidRDefault="00985292" w:rsidP="004D2B89">
      <w:pPr>
        <w:tabs>
          <w:tab w:val="left" w:pos="709"/>
        </w:tabs>
        <w:suppressAutoHyphens/>
        <w:snapToGrid w:val="0"/>
        <w:jc w:val="both"/>
      </w:pPr>
      <w:r>
        <w:rPr>
          <w:lang w:val="en"/>
        </w:rPr>
        <w:t>Results showed that among the 38 patients who received mouse-derived anti-BCMA CAR</w:t>
      </w:r>
      <w:r>
        <w:rPr>
          <w:lang w:val="en"/>
        </w:rPr>
        <w:noBreakHyphen/>
        <w:t>T infusion, the objective response rate (ORR) and complete response rate (</w:t>
      </w:r>
      <w:r w:rsidR="00F458B7">
        <w:rPr>
          <w:lang w:val="en"/>
        </w:rPr>
        <w:t>≥</w:t>
      </w:r>
      <w:r w:rsidR="00EA599D">
        <w:rPr>
          <w:lang w:val="en"/>
        </w:rPr>
        <w:t xml:space="preserve"> </w:t>
      </w:r>
      <w:r>
        <w:rPr>
          <w:lang w:val="en"/>
        </w:rPr>
        <w:t xml:space="preserve">CR) in </w:t>
      </w:r>
      <w:r w:rsidR="00EA599D">
        <w:rPr>
          <w:lang w:val="en"/>
        </w:rPr>
        <w:t xml:space="preserve">the </w:t>
      </w:r>
      <w:r>
        <w:rPr>
          <w:lang w:val="en"/>
        </w:rPr>
        <w:t xml:space="preserve">EMM group (n = 18) were lower than those in </w:t>
      </w:r>
      <w:r w:rsidR="00EA599D">
        <w:rPr>
          <w:lang w:val="en"/>
        </w:rPr>
        <w:t xml:space="preserve">the </w:t>
      </w:r>
      <w:r>
        <w:rPr>
          <w:lang w:val="en"/>
        </w:rPr>
        <w:t xml:space="preserve">non-EMM group (n = 20), although the difference was not statistically significant (ORR:  77.8% versus 90%, p = 0.395; </w:t>
      </w:r>
      <w:r w:rsidR="00F458B7">
        <w:rPr>
          <w:lang w:val="en"/>
        </w:rPr>
        <w:t>≥</w:t>
      </w:r>
      <w:r>
        <w:rPr>
          <w:lang w:val="en"/>
        </w:rPr>
        <w:t xml:space="preserve">CR: 38.89% versus 45%, p = 0.752), OS in </w:t>
      </w:r>
      <w:r w:rsidR="00EA599D">
        <w:rPr>
          <w:lang w:val="en"/>
        </w:rPr>
        <w:t xml:space="preserve">the </w:t>
      </w:r>
      <w:r>
        <w:rPr>
          <w:lang w:val="en"/>
        </w:rPr>
        <w:t xml:space="preserve">EMM group was significantly shorter than that in </w:t>
      </w:r>
      <w:r w:rsidR="00EA599D">
        <w:rPr>
          <w:lang w:val="en"/>
        </w:rPr>
        <w:t xml:space="preserve">the </w:t>
      </w:r>
      <w:r>
        <w:rPr>
          <w:lang w:val="en"/>
        </w:rPr>
        <w:t xml:space="preserve">non-EMM group (248 days versus 640 days, p = 0.007); among the 25 patients who received </w:t>
      </w:r>
      <w:r w:rsidR="00F31A05">
        <w:rPr>
          <w:lang w:val="en"/>
        </w:rPr>
        <w:t>fully human</w:t>
      </w:r>
      <w:r>
        <w:rPr>
          <w:lang w:val="en"/>
        </w:rPr>
        <w:t xml:space="preserve"> anti-BCMA CAR-T infusion, there was no significant difference in ORR between </w:t>
      </w:r>
      <w:r w:rsidR="00EA599D">
        <w:rPr>
          <w:lang w:val="en"/>
        </w:rPr>
        <w:t xml:space="preserve">the </w:t>
      </w:r>
      <w:r>
        <w:rPr>
          <w:lang w:val="en"/>
        </w:rPr>
        <w:t>EMM group (n = 7) and non</w:t>
      </w:r>
      <w:r w:rsidR="00EA599D">
        <w:rPr>
          <w:lang w:val="en"/>
        </w:rPr>
        <w:t>-</w:t>
      </w:r>
      <w:r>
        <w:rPr>
          <w:lang w:val="en"/>
        </w:rPr>
        <w:t xml:space="preserve">EMM group (n = 16) (100% versus 100%), but </w:t>
      </w:r>
      <w:r w:rsidR="00F458B7">
        <w:rPr>
          <w:lang w:val="en"/>
        </w:rPr>
        <w:t>≥</w:t>
      </w:r>
      <w:r>
        <w:rPr>
          <w:lang w:val="en"/>
        </w:rPr>
        <w:t xml:space="preserve">CR in EMM group was significantly lower than that in </w:t>
      </w:r>
      <w:r w:rsidR="00EA599D">
        <w:rPr>
          <w:lang w:val="en"/>
        </w:rPr>
        <w:t xml:space="preserve">the </w:t>
      </w:r>
      <w:r>
        <w:rPr>
          <w:lang w:val="en"/>
        </w:rPr>
        <w:t xml:space="preserve">non-EMM group (28.57% versus 81.25%, p = 0.026), PFS in EMM group was significantly shorter than that in </w:t>
      </w:r>
      <w:r w:rsidR="00EA599D">
        <w:rPr>
          <w:lang w:val="en"/>
        </w:rPr>
        <w:t xml:space="preserve">the </w:t>
      </w:r>
      <w:r>
        <w:rPr>
          <w:lang w:val="en"/>
        </w:rPr>
        <w:t>non-EMM group (121 versus not reached, p = 0.005), median OS was not reached in both groups. However, the 1-year OS rates for patients in the EMM and non-EMM groups were 57.14% (4/7) and 75% (12/16), respectively (</w:t>
      </w:r>
      <w:r w:rsidR="00974C81">
        <w:rPr>
          <w:lang w:val="en"/>
        </w:rPr>
        <w:t>D</w:t>
      </w:r>
      <w:r>
        <w:rPr>
          <w:lang w:val="en"/>
        </w:rPr>
        <w:t>etails see the article published on Front Immunol. 2021 Oct 29). Similar results have been observed in the published literature and international conference reports on the efficacy of other anti</w:t>
      </w:r>
      <w:r w:rsidR="00EA599D">
        <w:rPr>
          <w:lang w:val="en"/>
        </w:rPr>
        <w:t>-</w:t>
      </w:r>
      <w:r>
        <w:rPr>
          <w:lang w:val="en"/>
        </w:rPr>
        <w:t xml:space="preserve">BCMA CAR-T </w:t>
      </w:r>
      <w:r w:rsidR="00C33FAC">
        <w:rPr>
          <w:lang w:val="en"/>
        </w:rPr>
        <w:t xml:space="preserve">products </w:t>
      </w:r>
      <w:r>
        <w:rPr>
          <w:lang w:val="en"/>
        </w:rPr>
        <w:t xml:space="preserve">[26-32]. </w:t>
      </w:r>
    </w:p>
    <w:p w14:paraId="7CBC354B" w14:textId="6796C5B8" w:rsidR="00985292" w:rsidRDefault="00985292" w:rsidP="004D2B89">
      <w:pPr>
        <w:tabs>
          <w:tab w:val="left" w:pos="709"/>
        </w:tabs>
        <w:suppressAutoHyphens/>
        <w:snapToGrid w:val="0"/>
        <w:jc w:val="both"/>
        <w:rPr>
          <w:b/>
          <w:bCs/>
          <w:sz w:val="32"/>
          <w:szCs w:val="32"/>
        </w:rPr>
      </w:pPr>
      <w:r>
        <w:rPr>
          <w:lang w:val="en"/>
        </w:rPr>
        <w:t>These results indicate that anti-BCMA CAR-T is significantly superior to existing medications in terms of response rate, depth of remission, and survival rate in EMM patients</w:t>
      </w:r>
      <w:r w:rsidR="00EA599D">
        <w:rPr>
          <w:lang w:val="en"/>
        </w:rPr>
        <w:t>. H</w:t>
      </w:r>
      <w:r>
        <w:rPr>
          <w:lang w:val="en"/>
        </w:rPr>
        <w:t xml:space="preserve">owever, the overall efficacy of EMM patients is still inferior to that of non-EMM patients. As the efficacy and safety of </w:t>
      </w:r>
      <w:r w:rsidR="00F31A05">
        <w:rPr>
          <w:lang w:val="en"/>
        </w:rPr>
        <w:t>fully human</w:t>
      </w:r>
      <w:r>
        <w:rPr>
          <w:lang w:val="en"/>
        </w:rPr>
        <w:t xml:space="preserve"> anti-BCMA CAR-T used in our site are superior to that of the mouse-derived anti-BCMA CAR-T, </w:t>
      </w:r>
      <w:r w:rsidR="00F31A05">
        <w:rPr>
          <w:lang w:val="en"/>
        </w:rPr>
        <w:t>fully human</w:t>
      </w:r>
      <w:r>
        <w:rPr>
          <w:lang w:val="en"/>
        </w:rPr>
        <w:t xml:space="preserve"> anti-BCMA CAR-T (CT103A) in combination with </w:t>
      </w:r>
      <w:r w:rsidR="00F31A05">
        <w:rPr>
          <w:lang w:val="en"/>
        </w:rPr>
        <w:t>Selinexor</w:t>
      </w:r>
      <w:r>
        <w:rPr>
          <w:lang w:val="en"/>
        </w:rPr>
        <w:t xml:space="preserve"> will be used for the treatment of patients with extramedullary myeloma in this study.</w:t>
      </w:r>
    </w:p>
    <w:p w14:paraId="26AE3E5B" w14:textId="2780B782" w:rsidR="00FC7470" w:rsidRPr="000541C8" w:rsidRDefault="00985292" w:rsidP="004D2B89">
      <w:pPr>
        <w:pStyle w:val="20"/>
        <w:jc w:val="both"/>
      </w:pPr>
      <w:bookmarkStart w:id="17" w:name="_Toc112064817"/>
      <w:r w:rsidRPr="00985292">
        <w:t>CT103A</w:t>
      </w:r>
      <w:bookmarkEnd w:id="17"/>
      <w:r w:rsidRPr="00985292">
        <w:t xml:space="preserve"> </w:t>
      </w:r>
    </w:p>
    <w:p w14:paraId="53FC0BDA" w14:textId="32A45DEA" w:rsidR="00985292" w:rsidRDefault="00985292" w:rsidP="004D2B89">
      <w:pPr>
        <w:tabs>
          <w:tab w:val="left" w:pos="709"/>
        </w:tabs>
        <w:suppressAutoHyphens/>
        <w:snapToGrid w:val="0"/>
        <w:jc w:val="both"/>
      </w:pPr>
      <w:bookmarkStart w:id="18" w:name="_Ref99650250"/>
      <w:r>
        <w:rPr>
          <w:lang w:val="en"/>
        </w:rPr>
        <w:t xml:space="preserve">CT103A is an individualized, BCMA-targeted, gene-modified autologous T-cell immunotherapy </w:t>
      </w:r>
      <w:r w:rsidR="00EA599D">
        <w:rPr>
          <w:lang w:val="en"/>
        </w:rPr>
        <w:t>that</w:t>
      </w:r>
      <w:r>
        <w:rPr>
          <w:lang w:val="en"/>
        </w:rPr>
        <w:t xml:space="preserve"> can identify and eliminate </w:t>
      </w:r>
      <w:r w:rsidRPr="00F75120">
        <w:rPr>
          <w:lang w:val="en"/>
        </w:rPr>
        <w:t xml:space="preserve">malignant and normal </w:t>
      </w:r>
      <w:r>
        <w:rPr>
          <w:lang w:val="en"/>
        </w:rPr>
        <w:t>cells expressing BCMA. CAR specifically recognizes BCMA as a single chain fragment variable (</w:t>
      </w:r>
      <w:proofErr w:type="spellStart"/>
      <w:r>
        <w:rPr>
          <w:lang w:val="en"/>
        </w:rPr>
        <w:t>ScFv</w:t>
      </w:r>
      <w:proofErr w:type="spellEnd"/>
      <w:r>
        <w:rPr>
          <w:lang w:val="en"/>
        </w:rPr>
        <w:t xml:space="preserve">) of </w:t>
      </w:r>
      <w:r w:rsidR="00F31A05">
        <w:rPr>
          <w:lang w:val="en"/>
        </w:rPr>
        <w:t>fully human</w:t>
      </w:r>
      <w:r>
        <w:rPr>
          <w:lang w:val="en"/>
        </w:rPr>
        <w:t xml:space="preserve"> origin with low immunogenicity, and promotes the activation, proliferation, cytokine secretion, and target</w:t>
      </w:r>
      <w:r w:rsidR="004D2B89">
        <w:rPr>
          <w:lang w:val="en"/>
        </w:rPr>
        <w:t>ed</w:t>
      </w:r>
      <w:r>
        <w:rPr>
          <w:lang w:val="en"/>
        </w:rPr>
        <w:t xml:space="preserve"> cell killing of CAR-T through the CD3ζ domain, and enhances the amplification and persistence of </w:t>
      </w:r>
      <w:r>
        <w:rPr>
          <w:lang w:val="en"/>
        </w:rPr>
        <w:lastRenderedPageBreak/>
        <w:t xml:space="preserve">CAR-T with a 4-1BB costimulatory signal. CT103A cells have a high affinity to BCMA antigen and high killing efficacy against antigen-loaded cells </w:t>
      </w:r>
      <w:r w:rsidRPr="006F30D3">
        <w:rPr>
          <w:lang w:val="en"/>
        </w:rPr>
        <w:t>in vitro and in vivo.</w:t>
      </w:r>
      <w:r>
        <w:rPr>
          <w:lang w:val="en"/>
        </w:rPr>
        <w:t xml:space="preserve"> </w:t>
      </w:r>
    </w:p>
    <w:p w14:paraId="56835928" w14:textId="7A638E52" w:rsidR="00F36714" w:rsidRDefault="00F36714" w:rsidP="004D2B89">
      <w:pPr>
        <w:pStyle w:val="30"/>
        <w:jc w:val="both"/>
        <w:rPr>
          <w:rFonts w:ascii="Times New Roman" w:eastAsia="宋体" w:hAnsi="Times New Roman"/>
          <w:szCs w:val="24"/>
          <w:lang w:val="en"/>
        </w:rPr>
      </w:pPr>
      <w:bookmarkStart w:id="19" w:name="_Toc112052819"/>
      <w:bookmarkStart w:id="20" w:name="_Toc112052956"/>
      <w:bookmarkStart w:id="21" w:name="_Toc112052820"/>
      <w:bookmarkStart w:id="22" w:name="_Toc112052957"/>
      <w:bookmarkStart w:id="23" w:name="_Toc112064818"/>
      <w:bookmarkEnd w:id="18"/>
      <w:bookmarkEnd w:id="19"/>
      <w:bookmarkEnd w:id="20"/>
      <w:bookmarkEnd w:id="21"/>
      <w:bookmarkEnd w:id="22"/>
      <w:r>
        <w:rPr>
          <w:rFonts w:ascii="Times New Roman" w:eastAsia="宋体" w:hAnsi="Times New Roman"/>
          <w:szCs w:val="24"/>
          <w:lang w:val="en"/>
        </w:rPr>
        <w:t>Clinical Evidence</w:t>
      </w:r>
      <w:bookmarkEnd w:id="23"/>
    </w:p>
    <w:p w14:paraId="401132EF" w14:textId="0AC25E6F" w:rsidR="00F36714" w:rsidRDefault="00F36714" w:rsidP="004D2B89">
      <w:pPr>
        <w:tabs>
          <w:tab w:val="left" w:pos="709"/>
        </w:tabs>
        <w:suppressAutoHyphens/>
        <w:snapToGrid w:val="0"/>
        <w:jc w:val="both"/>
      </w:pPr>
      <w:r>
        <w:rPr>
          <w:lang w:val="en"/>
        </w:rPr>
        <w:t>Th</w:t>
      </w:r>
      <w:r w:rsidR="004D2B89">
        <w:rPr>
          <w:lang w:val="en"/>
        </w:rPr>
        <w:t>e previous</w:t>
      </w:r>
      <w:r>
        <w:rPr>
          <w:lang w:val="en"/>
        </w:rPr>
        <w:t xml:space="preserve"> single-center, dose-escalation, single-arm, open-label, </w:t>
      </w:r>
      <w:r>
        <w:t>standard 3+3 design stud</w:t>
      </w:r>
      <w:r w:rsidRPr="00551F9F">
        <w:t>y</w:t>
      </w:r>
      <w:r w:rsidR="004D2B89">
        <w:rPr>
          <w:lang w:val="en"/>
        </w:rPr>
        <w:t>, with cut-off at</w:t>
      </w:r>
      <w:r>
        <w:rPr>
          <w:lang w:val="en"/>
        </w:rPr>
        <w:t xml:space="preserve"> 30 June 2020, </w:t>
      </w:r>
      <w:r w:rsidR="004D2B89">
        <w:rPr>
          <w:lang w:val="en"/>
        </w:rPr>
        <w:t xml:space="preserve">screened </w:t>
      </w:r>
      <w:r>
        <w:rPr>
          <w:lang w:val="en"/>
        </w:rPr>
        <w:t>37 patients with RR/MM</w:t>
      </w:r>
      <w:r w:rsidR="004D2B89">
        <w:rPr>
          <w:lang w:val="en"/>
        </w:rPr>
        <w:t>.</w:t>
      </w:r>
      <w:r>
        <w:rPr>
          <w:lang w:val="en"/>
        </w:rPr>
        <w:t xml:space="preserve"> </w:t>
      </w:r>
      <w:r w:rsidR="004D2B89">
        <w:rPr>
          <w:lang w:val="en"/>
        </w:rPr>
        <w:t>T</w:t>
      </w:r>
      <w:r>
        <w:rPr>
          <w:lang w:val="en"/>
        </w:rPr>
        <w:t>reatment administration was completed in 23 patients (5 in the 0.5 × 10</w:t>
      </w:r>
      <w:r>
        <w:rPr>
          <w:vertAlign w:val="superscript"/>
          <w:lang w:val="en"/>
        </w:rPr>
        <w:t>6</w:t>
      </w:r>
      <w:r>
        <w:rPr>
          <w:lang w:val="en"/>
        </w:rPr>
        <w:t xml:space="preserve"> CAR-T/kg dose group, 9 in the 1.0 × 10</w:t>
      </w:r>
      <w:r>
        <w:rPr>
          <w:vertAlign w:val="superscript"/>
          <w:lang w:val="en"/>
        </w:rPr>
        <w:t>6</w:t>
      </w:r>
      <w:r>
        <w:rPr>
          <w:lang w:val="en"/>
        </w:rPr>
        <w:t xml:space="preserve"> CAR</w:t>
      </w:r>
      <w:r>
        <w:rPr>
          <w:lang w:val="en"/>
        </w:rPr>
        <w:noBreakHyphen/>
        <w:t>T/kg dose group, 6 in the 3.0 × 10</w:t>
      </w:r>
      <w:r>
        <w:rPr>
          <w:vertAlign w:val="superscript"/>
          <w:lang w:val="en"/>
        </w:rPr>
        <w:t>6</w:t>
      </w:r>
      <w:r>
        <w:rPr>
          <w:lang w:val="en"/>
        </w:rPr>
        <w:t xml:space="preserve"> CAR-T/kg dose group, and 3 in the 6.0 × 10</w:t>
      </w:r>
      <w:r>
        <w:rPr>
          <w:rFonts w:eastAsia="微软雅黑"/>
          <w:vertAlign w:val="superscript"/>
          <w:lang w:val="en"/>
        </w:rPr>
        <w:t>6</w:t>
      </w:r>
      <w:r>
        <w:rPr>
          <w:lang w:val="en"/>
        </w:rPr>
        <w:t xml:space="preserve"> CAR</w:t>
      </w:r>
      <w:r>
        <w:rPr>
          <w:lang w:val="en"/>
        </w:rPr>
        <w:noBreakHyphen/>
        <w:t xml:space="preserve">T/kg dose group). All 23 patients responded to treatment with a 3-month best ORR of 100% and </w:t>
      </w:r>
      <w:r w:rsidR="00EA599D">
        <w:rPr>
          <w:lang w:val="en"/>
        </w:rPr>
        <w:t xml:space="preserve">a </w:t>
      </w:r>
      <w:r>
        <w:rPr>
          <w:lang w:val="en"/>
        </w:rPr>
        <w:t xml:space="preserve">complete response rate of 52.2%. This portion of </w:t>
      </w:r>
      <w:r w:rsidR="00EA599D">
        <w:rPr>
          <w:lang w:val="en"/>
        </w:rPr>
        <w:t xml:space="preserve">the </w:t>
      </w:r>
      <w:r>
        <w:rPr>
          <w:lang w:val="en"/>
        </w:rPr>
        <w:t xml:space="preserve">study data has been published </w:t>
      </w:r>
      <w:r w:rsidR="00EA599D">
        <w:rPr>
          <w:lang w:val="en"/>
        </w:rPr>
        <w:t>i</w:t>
      </w:r>
      <w:r>
        <w:rPr>
          <w:lang w:val="en"/>
        </w:rPr>
        <w:t xml:space="preserve">n the </w:t>
      </w:r>
      <w:r w:rsidR="00EA599D">
        <w:rPr>
          <w:lang w:val="en"/>
        </w:rPr>
        <w:t>BLOOD journal</w:t>
      </w:r>
      <w:r>
        <w:rPr>
          <w:lang w:val="en"/>
        </w:rPr>
        <w:t xml:space="preserve"> (Blood.  2021 May 27;137(21):2890-2901. doi:10.1182/blood.2020008936)</w:t>
      </w:r>
      <w:r>
        <w:t>.</w:t>
      </w:r>
    </w:p>
    <w:p w14:paraId="5857DF8A" w14:textId="03804BF0" w:rsidR="00F36714" w:rsidRDefault="00F36714" w:rsidP="004D2B89">
      <w:pPr>
        <w:pStyle w:val="30"/>
        <w:jc w:val="both"/>
        <w:rPr>
          <w:rFonts w:ascii="Times New Roman" w:eastAsia="宋体" w:hAnsi="Times New Roman"/>
          <w:szCs w:val="24"/>
          <w:lang w:val="en"/>
        </w:rPr>
      </w:pPr>
      <w:bookmarkStart w:id="24" w:name="_Toc112064819"/>
      <w:r w:rsidRPr="004322E6">
        <w:rPr>
          <w:rFonts w:ascii="Times New Roman" w:eastAsia="宋体" w:hAnsi="Times New Roman"/>
          <w:szCs w:val="24"/>
          <w:lang w:val="en"/>
        </w:rPr>
        <w:t>Adverse Event</w:t>
      </w:r>
      <w:r>
        <w:rPr>
          <w:rFonts w:ascii="Times New Roman" w:eastAsia="宋体" w:hAnsi="Times New Roman"/>
          <w:szCs w:val="24"/>
          <w:lang w:val="en"/>
        </w:rPr>
        <w:t>s</w:t>
      </w:r>
      <w:bookmarkEnd w:id="24"/>
    </w:p>
    <w:p w14:paraId="09FF5E58" w14:textId="1A558F52" w:rsidR="00F36714" w:rsidRPr="009F7D64" w:rsidRDefault="00F36714" w:rsidP="004D2B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jc w:val="both"/>
        <w:rPr>
          <w:rFonts w:eastAsia="微软雅黑"/>
          <w:b/>
          <w:bCs/>
          <w:color w:val="000000"/>
        </w:rPr>
      </w:pPr>
      <w:r w:rsidRPr="00DC0881">
        <w:rPr>
          <w:rFonts w:eastAsia="微软雅黑"/>
          <w:b/>
          <w:bCs/>
          <w:color w:val="000000"/>
          <w:lang w:val="en"/>
        </w:rPr>
        <w:t>Cytokine Release Syndrome (CRS)</w:t>
      </w:r>
      <w:r>
        <w:rPr>
          <w:rFonts w:eastAsia="微软雅黑"/>
          <w:b/>
          <w:bCs/>
          <w:color w:val="000000"/>
          <w:lang w:val="en"/>
        </w:rPr>
        <w:t xml:space="preserve"> and </w:t>
      </w:r>
      <w:r w:rsidR="004D2B89" w:rsidRPr="004D2B89">
        <w:rPr>
          <w:rFonts w:eastAsia="微软雅黑"/>
          <w:b/>
          <w:bCs/>
          <w:color w:val="000000"/>
          <w:lang w:val="en"/>
        </w:rPr>
        <w:t>Immune effector cell-associated neurotoxicity syndrome</w:t>
      </w:r>
      <w:r w:rsidR="004D2B89">
        <w:rPr>
          <w:rFonts w:eastAsia="微软雅黑"/>
          <w:b/>
          <w:bCs/>
          <w:color w:val="000000"/>
          <w:lang w:val="en"/>
        </w:rPr>
        <w:t xml:space="preserve"> (</w:t>
      </w:r>
      <w:r w:rsidR="004D2B89" w:rsidRPr="004D2B89">
        <w:rPr>
          <w:rFonts w:eastAsia="微软雅黑"/>
          <w:b/>
          <w:bCs/>
          <w:color w:val="000000"/>
          <w:lang w:val="en"/>
        </w:rPr>
        <w:t>ICANS</w:t>
      </w:r>
      <w:r w:rsidR="004D2B89">
        <w:rPr>
          <w:rFonts w:eastAsia="微软雅黑"/>
          <w:b/>
          <w:bCs/>
          <w:color w:val="000000"/>
          <w:lang w:val="en"/>
        </w:rPr>
        <w:t>)</w:t>
      </w:r>
      <w:r w:rsidR="004D2B89" w:rsidRPr="004D2B89">
        <w:rPr>
          <w:rFonts w:eastAsia="微软雅黑"/>
          <w:b/>
          <w:bCs/>
          <w:color w:val="000000"/>
          <w:lang w:val="en"/>
        </w:rPr>
        <w:t xml:space="preserve"> </w:t>
      </w:r>
    </w:p>
    <w:p w14:paraId="24D31596" w14:textId="214F9A0D" w:rsidR="00F36714" w:rsidRDefault="00F36714" w:rsidP="004D2B89">
      <w:pPr>
        <w:tabs>
          <w:tab w:val="left" w:pos="709"/>
        </w:tabs>
        <w:suppressAutoHyphens/>
        <w:snapToGrid w:val="0"/>
        <w:jc w:val="both"/>
        <w:rPr>
          <w:rFonts w:eastAsia="微软雅黑"/>
        </w:rPr>
      </w:pPr>
      <w:r>
        <w:rPr>
          <w:rFonts w:eastAsia="微软雅黑"/>
          <w:lang w:val="en"/>
        </w:rPr>
        <w:t xml:space="preserve">In the above study, almost all patients (95.7%) experienced CRS of different severity after the CT103A infusion, and the </w:t>
      </w:r>
      <w:r>
        <w:rPr>
          <w:rFonts w:eastAsia="微软雅黑" w:hint="eastAsia"/>
          <w:lang w:val="en"/>
        </w:rPr>
        <w:t xml:space="preserve">severity </w:t>
      </w:r>
      <w:r>
        <w:rPr>
          <w:rFonts w:eastAsia="微软雅黑"/>
          <w:lang w:val="en"/>
        </w:rPr>
        <w:t xml:space="preserve">of CRS showed a correlation with the dose of CT103A infused. No Grade </w:t>
      </w:r>
      <w:r w:rsidR="00F458B7">
        <w:rPr>
          <w:rFonts w:eastAsia="微软雅黑"/>
          <w:lang w:val="en"/>
        </w:rPr>
        <w:t>≥</w:t>
      </w:r>
      <w:r>
        <w:rPr>
          <w:rFonts w:eastAsia="微软雅黑"/>
          <w:lang w:val="en"/>
        </w:rPr>
        <w:t>3 CRS was observed in the 0.5 × 10</w:t>
      </w:r>
      <w:r>
        <w:rPr>
          <w:rFonts w:eastAsia="微软雅黑"/>
          <w:vertAlign w:val="superscript"/>
          <w:lang w:val="en"/>
        </w:rPr>
        <w:t>6</w:t>
      </w:r>
      <w:r>
        <w:rPr>
          <w:rFonts w:eastAsia="微软雅黑"/>
          <w:lang w:val="en"/>
        </w:rPr>
        <w:t xml:space="preserve"> CAR-T/kg dose group. Grade 3 CRS was observed in the 1.0 × 10</w:t>
      </w:r>
      <w:r>
        <w:rPr>
          <w:rFonts w:eastAsia="微软雅黑"/>
          <w:vertAlign w:val="superscript"/>
          <w:lang w:val="en"/>
        </w:rPr>
        <w:t>6</w:t>
      </w:r>
      <w:r>
        <w:rPr>
          <w:rFonts w:eastAsia="微软雅黑"/>
          <w:lang w:val="en"/>
        </w:rPr>
        <w:t xml:space="preserve"> CAR-T/kg and 3.0 × 10</w:t>
      </w:r>
      <w:r>
        <w:rPr>
          <w:rFonts w:eastAsia="微软雅黑"/>
          <w:vertAlign w:val="superscript"/>
          <w:lang w:val="en"/>
        </w:rPr>
        <w:t>6</w:t>
      </w:r>
      <w:r>
        <w:rPr>
          <w:rFonts w:eastAsia="微软雅黑"/>
          <w:lang w:val="en"/>
        </w:rPr>
        <w:t xml:space="preserve"> CART/kg dose groups, with </w:t>
      </w:r>
      <w:r w:rsidR="00EA599D">
        <w:rPr>
          <w:rFonts w:eastAsia="微软雅黑"/>
          <w:lang w:val="en"/>
        </w:rPr>
        <w:t>the</w:t>
      </w:r>
      <w:r>
        <w:rPr>
          <w:rFonts w:eastAsia="微软雅黑"/>
          <w:lang w:val="en"/>
        </w:rPr>
        <w:t xml:space="preserve"> incidence of 22.2% and 16.7%, respectively. A Grade 4 CRS</w:t>
      </w:r>
      <w:r w:rsidDel="00687392">
        <w:rPr>
          <w:rFonts w:eastAsia="微软雅黑"/>
          <w:lang w:val="en"/>
        </w:rPr>
        <w:t xml:space="preserve"> </w:t>
      </w:r>
      <w:r>
        <w:rPr>
          <w:rFonts w:eastAsia="微软雅黑"/>
          <w:lang w:val="en"/>
        </w:rPr>
        <w:t>was observed in the 6.0 × 10</w:t>
      </w:r>
      <w:r>
        <w:rPr>
          <w:rFonts w:eastAsia="微软雅黑"/>
          <w:vertAlign w:val="superscript"/>
          <w:lang w:val="en"/>
        </w:rPr>
        <w:t>6</w:t>
      </w:r>
      <w:r>
        <w:rPr>
          <w:rFonts w:eastAsia="微软雅黑"/>
          <w:lang w:val="en"/>
        </w:rPr>
        <w:t xml:space="preserve"> CAR-T/kg dose group. All CRS resolved after the treatment with tocilizumab, steroids, and symptomatic treatment. The use of tocilizumab and plasma exchange was lower in the 0.5 × 10</w:t>
      </w:r>
      <w:r>
        <w:rPr>
          <w:rFonts w:eastAsia="微软雅黑"/>
          <w:vertAlign w:val="superscript"/>
          <w:lang w:val="en"/>
        </w:rPr>
        <w:t>6</w:t>
      </w:r>
      <w:r>
        <w:rPr>
          <w:rFonts w:eastAsia="微软雅黑"/>
          <w:lang w:val="en"/>
        </w:rPr>
        <w:t xml:space="preserve"> CAR-T/kg and 1.0 × 10</w:t>
      </w:r>
      <w:r>
        <w:rPr>
          <w:rFonts w:eastAsia="微软雅黑"/>
          <w:vertAlign w:val="superscript"/>
          <w:lang w:val="en"/>
        </w:rPr>
        <w:t>6</w:t>
      </w:r>
      <w:r>
        <w:rPr>
          <w:rFonts w:eastAsia="微软雅黑"/>
          <w:lang w:val="en"/>
        </w:rPr>
        <w:t xml:space="preserve"> CAR-T/kg dose groups than in the higher dose group. </w:t>
      </w:r>
    </w:p>
    <w:p w14:paraId="50EFD722" w14:textId="72643E59" w:rsidR="00F36714" w:rsidRDefault="00F36714" w:rsidP="004D2B89">
      <w:pPr>
        <w:tabs>
          <w:tab w:val="left" w:pos="709"/>
        </w:tabs>
        <w:suppressAutoHyphens/>
        <w:snapToGrid w:val="0"/>
        <w:jc w:val="both"/>
        <w:rPr>
          <w:rFonts w:eastAsia="微软雅黑"/>
        </w:rPr>
      </w:pPr>
      <w:r>
        <w:rPr>
          <w:rFonts w:eastAsia="微软雅黑"/>
          <w:lang w:val="en"/>
        </w:rPr>
        <w:t>As of 30 June 2020, no study treatment</w:t>
      </w:r>
      <w:r w:rsidR="00EA599D">
        <w:rPr>
          <w:rFonts w:eastAsia="微软雅黑"/>
          <w:lang w:val="en"/>
        </w:rPr>
        <w:t>-</w:t>
      </w:r>
      <w:r>
        <w:rPr>
          <w:rFonts w:eastAsia="微软雅黑"/>
          <w:lang w:val="en"/>
        </w:rPr>
        <w:t xml:space="preserve">related </w:t>
      </w:r>
      <w:r w:rsidR="004D2B89">
        <w:rPr>
          <w:rFonts w:eastAsia="微软雅黑"/>
          <w:lang w:val="en"/>
        </w:rPr>
        <w:t>I</w:t>
      </w:r>
      <w:r w:rsidR="004D2B89" w:rsidRPr="004D2B89">
        <w:rPr>
          <w:rFonts w:eastAsia="微软雅黑"/>
          <w:lang w:val="en"/>
        </w:rPr>
        <w:t>CANS</w:t>
      </w:r>
      <w:r>
        <w:rPr>
          <w:rFonts w:eastAsia="微软雅黑"/>
          <w:lang w:val="en"/>
        </w:rPr>
        <w:t xml:space="preserve"> had been reported.</w:t>
      </w:r>
    </w:p>
    <w:p w14:paraId="1C1D23AC" w14:textId="77777777" w:rsidR="00F36714" w:rsidRDefault="00F36714" w:rsidP="004D2B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微软雅黑"/>
          <w:b/>
          <w:bCs/>
          <w:color w:val="000000"/>
        </w:rPr>
      </w:pPr>
      <w:r>
        <w:rPr>
          <w:rFonts w:eastAsia="微软雅黑"/>
          <w:b/>
          <w:bCs/>
          <w:color w:val="000000"/>
          <w:lang w:val="en"/>
        </w:rPr>
        <w:t>Other Common Adverse Events (AEs)</w:t>
      </w:r>
    </w:p>
    <w:p w14:paraId="24EE3BAD" w14:textId="179C6DA5" w:rsidR="00F36714" w:rsidRDefault="00F36714" w:rsidP="004D2B89">
      <w:pPr>
        <w:tabs>
          <w:tab w:val="left" w:pos="709"/>
        </w:tabs>
        <w:suppressAutoHyphens/>
        <w:jc w:val="both"/>
        <w:rPr>
          <w:rFonts w:eastAsia="微软雅黑"/>
        </w:rPr>
      </w:pPr>
      <w:r>
        <w:rPr>
          <w:rFonts w:eastAsia="微软雅黑"/>
          <w:lang w:val="en"/>
        </w:rPr>
        <w:t xml:space="preserve">In addition to CRS, other common treatment-related adverse events (TRAEs) typically include </w:t>
      </w:r>
      <w:proofErr w:type="spellStart"/>
      <w:r>
        <w:rPr>
          <w:rFonts w:eastAsia="微软雅黑"/>
          <w:lang w:val="en"/>
        </w:rPr>
        <w:t>hem</w:t>
      </w:r>
      <w:r>
        <w:rPr>
          <w:rFonts w:eastAsia="微软雅黑" w:hint="eastAsia"/>
          <w:lang w:val="en"/>
        </w:rPr>
        <w:t>a</w:t>
      </w:r>
      <w:r>
        <w:rPr>
          <w:rFonts w:eastAsia="微软雅黑"/>
          <w:lang w:val="en"/>
        </w:rPr>
        <w:t>totoxicity</w:t>
      </w:r>
      <w:proofErr w:type="spellEnd"/>
      <w:r>
        <w:rPr>
          <w:rFonts w:eastAsia="微软雅黑"/>
          <w:lang w:val="en"/>
        </w:rPr>
        <w:t xml:space="preserve"> (decreased blood cells), gastrointestinal reactions, coagulation abnormalities, decreased immunoglobulin, and electrolyte disorder. Most TRAEs resolved within </w:t>
      </w:r>
      <w:r w:rsidR="00EA599D">
        <w:rPr>
          <w:rFonts w:eastAsia="微软雅黑"/>
          <w:lang w:val="en"/>
        </w:rPr>
        <w:t>three</w:t>
      </w:r>
      <w:r>
        <w:rPr>
          <w:rFonts w:eastAsia="微软雅黑"/>
          <w:lang w:val="en"/>
        </w:rPr>
        <w:t xml:space="preserve"> months with no apparent correlation between the incidence and the dose. The TRAEs lasting </w:t>
      </w:r>
      <w:r w:rsidR="00EA599D">
        <w:rPr>
          <w:rFonts w:eastAsia="微软雅黑"/>
          <w:lang w:val="en"/>
        </w:rPr>
        <w:t>six</w:t>
      </w:r>
      <w:r>
        <w:rPr>
          <w:rFonts w:eastAsia="微软雅黑"/>
          <w:lang w:val="en"/>
        </w:rPr>
        <w:t xml:space="preserve"> months after CT103A infusion were mainly </w:t>
      </w:r>
      <w:proofErr w:type="spellStart"/>
      <w:r>
        <w:rPr>
          <w:rFonts w:eastAsia="微软雅黑"/>
          <w:lang w:val="en"/>
        </w:rPr>
        <w:t>hem</w:t>
      </w:r>
      <w:r>
        <w:rPr>
          <w:rFonts w:eastAsia="微软雅黑" w:hint="eastAsia"/>
          <w:lang w:val="en"/>
        </w:rPr>
        <w:t>a</w:t>
      </w:r>
      <w:r>
        <w:rPr>
          <w:rFonts w:eastAsia="微软雅黑"/>
          <w:lang w:val="en"/>
        </w:rPr>
        <w:t>totoxicity</w:t>
      </w:r>
      <w:proofErr w:type="spellEnd"/>
      <w:r>
        <w:rPr>
          <w:rFonts w:eastAsia="微软雅黑"/>
          <w:lang w:val="en"/>
        </w:rPr>
        <w:t xml:space="preserve"> and immunoglobulin reduction, and the incidence of TRAEs showed a certain dose correlation. </w:t>
      </w:r>
    </w:p>
    <w:p w14:paraId="62742C8B" w14:textId="77777777" w:rsidR="00F36714" w:rsidRDefault="00F36714" w:rsidP="004D2B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微软雅黑"/>
          <w:b/>
          <w:bCs/>
          <w:color w:val="000000"/>
        </w:rPr>
      </w:pPr>
      <w:r>
        <w:rPr>
          <w:rFonts w:eastAsia="微软雅黑"/>
          <w:b/>
          <w:bCs/>
          <w:color w:val="000000"/>
          <w:lang w:val="en"/>
        </w:rPr>
        <w:t>Serious Adverse Events (SAEs)</w:t>
      </w:r>
    </w:p>
    <w:p w14:paraId="631D55C4" w14:textId="4D964698" w:rsidR="00F36714" w:rsidRDefault="00EA599D" w:rsidP="004D2B89">
      <w:pPr>
        <w:tabs>
          <w:tab w:val="left" w:pos="709"/>
        </w:tabs>
        <w:suppressAutoHyphens/>
        <w:jc w:val="both"/>
        <w:rPr>
          <w:rFonts w:eastAsia="微软雅黑"/>
          <w:lang w:val="en"/>
        </w:rPr>
      </w:pPr>
      <w:r>
        <w:rPr>
          <w:rFonts w:eastAsia="微软雅黑"/>
          <w:lang w:val="en"/>
        </w:rPr>
        <w:t>In</w:t>
      </w:r>
      <w:r w:rsidR="00F36714">
        <w:rPr>
          <w:rFonts w:eastAsia="微软雅黑"/>
          <w:lang w:val="en"/>
        </w:rPr>
        <w:t xml:space="preserve"> th</w:t>
      </w:r>
      <w:r>
        <w:rPr>
          <w:rFonts w:eastAsia="微软雅黑"/>
          <w:lang w:val="en"/>
        </w:rPr>
        <w:t>is</w:t>
      </w:r>
      <w:r w:rsidR="00F36714">
        <w:rPr>
          <w:rFonts w:eastAsia="微软雅黑"/>
          <w:lang w:val="en"/>
        </w:rPr>
        <w:t xml:space="preserve"> study, 15 patients experienced 24 SAEs, including Grade 1 pleurisy, Grade 3 herpes zoster, Grade 3 appendicitis, Grade 1 to 5 infectious pneumonia, Grade 3 to 5 shock, Grade 3 to 4 thrombocytopenia, Grade 4 hypoxemia, Grade 4 CRS, Grade 4 neutrophil count decreased, and Grade 5 hemorrhagic shock. Two patients in the 0.5 × 10</w:t>
      </w:r>
      <w:r w:rsidR="00F36714">
        <w:rPr>
          <w:rFonts w:eastAsia="微软雅黑"/>
          <w:vertAlign w:val="superscript"/>
          <w:lang w:val="en"/>
        </w:rPr>
        <w:t>6</w:t>
      </w:r>
      <w:r w:rsidR="00F36714">
        <w:rPr>
          <w:rFonts w:eastAsia="微软雅黑"/>
          <w:lang w:val="en"/>
        </w:rPr>
        <w:t xml:space="preserve"> CAR-T cells/kg dose group experienced Grade 4 thrombocytopenia</w:t>
      </w:r>
      <w:r>
        <w:rPr>
          <w:rFonts w:eastAsia="微软雅黑"/>
          <w:lang w:val="en"/>
        </w:rPr>
        <w:t>,</w:t>
      </w:r>
      <w:r w:rsidR="00F36714">
        <w:rPr>
          <w:rFonts w:eastAsia="微软雅黑"/>
          <w:lang w:val="en"/>
        </w:rPr>
        <w:t xml:space="preserve"> possibly related to the study treatment assessed by the investigator. </w:t>
      </w:r>
      <w:r w:rsidR="00F36714">
        <w:rPr>
          <w:rFonts w:eastAsia="微软雅黑"/>
          <w:lang w:val="en"/>
        </w:rPr>
        <w:lastRenderedPageBreak/>
        <w:t>One patient in the 6.0 × 10</w:t>
      </w:r>
      <w:r w:rsidR="00F36714" w:rsidRPr="004322E6">
        <w:rPr>
          <w:rFonts w:eastAsia="微软雅黑"/>
          <w:vertAlign w:val="superscript"/>
          <w:lang w:val="en"/>
        </w:rPr>
        <w:t>6</w:t>
      </w:r>
      <w:r w:rsidR="00F36714">
        <w:rPr>
          <w:rFonts w:eastAsia="微软雅黑"/>
          <w:lang w:val="en"/>
        </w:rPr>
        <w:t xml:space="preserve"> CAR-T cells/kg dose group experienced Grade 4 CRS</w:t>
      </w:r>
      <w:r>
        <w:rPr>
          <w:rFonts w:eastAsia="微软雅黑"/>
          <w:lang w:val="en"/>
        </w:rPr>
        <w:t>,</w:t>
      </w:r>
      <w:r w:rsidR="00F36714">
        <w:rPr>
          <w:rFonts w:eastAsia="微软雅黑"/>
          <w:lang w:val="en"/>
        </w:rPr>
        <w:t xml:space="preserve"> which was definitely related to the study treatment assessed by the investigator.</w:t>
      </w:r>
    </w:p>
    <w:p w14:paraId="4BCF7E6F" w14:textId="461244FE" w:rsidR="00F36714" w:rsidRDefault="00F36714" w:rsidP="004D2B89">
      <w:pPr>
        <w:pStyle w:val="30"/>
        <w:jc w:val="both"/>
      </w:pPr>
      <w:bookmarkStart w:id="25" w:name="_Toc112064820"/>
      <w:r w:rsidRPr="00F36714">
        <w:t>Pharmacokinetics and Pharmacodynamics in Human</w:t>
      </w:r>
      <w:bookmarkEnd w:id="25"/>
    </w:p>
    <w:p w14:paraId="31F57AF4" w14:textId="575526D6" w:rsidR="00F36714" w:rsidRDefault="00F36714" w:rsidP="004D2B89">
      <w:pPr>
        <w:autoSpaceDE w:val="0"/>
        <w:autoSpaceDN w:val="0"/>
        <w:adjustRightInd w:val="0"/>
        <w:jc w:val="both"/>
        <w:rPr>
          <w:rFonts w:eastAsia="瀹嬩綋"/>
        </w:rPr>
      </w:pPr>
      <w:r>
        <w:rPr>
          <w:rFonts w:eastAsia="瀹嬩綋"/>
          <w:lang w:val="en"/>
        </w:rPr>
        <w:t xml:space="preserve">The results of </w:t>
      </w:r>
      <w:r w:rsidRPr="007065FF">
        <w:rPr>
          <w:rFonts w:eastAsia="瀹嬩綋"/>
          <w:lang w:val="en"/>
        </w:rPr>
        <w:t>vector copy number</w:t>
      </w:r>
      <w:r w:rsidRPr="004322E6">
        <w:rPr>
          <w:rFonts w:eastAsia="瀹嬩綋"/>
          <w:lang w:val="en"/>
        </w:rPr>
        <w:t xml:space="preserve"> (</w:t>
      </w:r>
      <w:r w:rsidRPr="007065FF">
        <w:rPr>
          <w:rFonts w:eastAsia="瀹嬩綋"/>
          <w:lang w:val="en"/>
        </w:rPr>
        <w:t>VCN) p</w:t>
      </w:r>
      <w:r w:rsidRPr="005B0FF5">
        <w:rPr>
          <w:rFonts w:eastAsia="瀹嬩綋"/>
          <w:lang w:val="en"/>
        </w:rPr>
        <w:t>harmacokinetic</w:t>
      </w:r>
      <w:r>
        <w:rPr>
          <w:rFonts w:eastAsia="瀹嬩綋"/>
          <w:lang w:val="en"/>
        </w:rPr>
        <w:t xml:space="preserve"> (PK) parameter analysis showed that the PK of CT103A in patients were characterized by high variability, with individual differences being significant and the geometric mean variation of each PK parameter ranging from 92% to 4625% (except for the 6.0 × 10</w:t>
      </w:r>
      <w:r>
        <w:rPr>
          <w:rFonts w:eastAsia="微软雅黑"/>
          <w:vertAlign w:val="superscript"/>
          <w:lang w:val="en"/>
        </w:rPr>
        <w:t>6</w:t>
      </w:r>
      <w:r>
        <w:rPr>
          <w:rFonts w:eastAsia="瀹嬩綋"/>
          <w:lang w:val="en"/>
        </w:rPr>
        <w:t xml:space="preserve"> CAR-T cells/kg group where only 2 cases had relatively complete PK data).</w:t>
      </w:r>
      <w:r>
        <w:rPr>
          <w:lang w:val="en"/>
        </w:rPr>
        <w:t xml:space="preserve"> </w:t>
      </w:r>
      <w:r>
        <w:rPr>
          <w:rFonts w:eastAsia="瀹嬩綋"/>
          <w:lang w:val="en"/>
        </w:rPr>
        <w:t xml:space="preserve">When comparing PK data from the </w:t>
      </w:r>
      <w:r w:rsidR="00EA599D">
        <w:rPr>
          <w:rFonts w:eastAsia="瀹嬩綋"/>
          <w:lang w:val="en"/>
        </w:rPr>
        <w:t>three</w:t>
      </w:r>
      <w:r>
        <w:rPr>
          <w:rFonts w:eastAsia="瀹嬩綋"/>
          <w:lang w:val="en"/>
        </w:rPr>
        <w:t xml:space="preserve"> dose groups, the 1.0×10</w:t>
      </w:r>
      <w:r>
        <w:rPr>
          <w:rFonts w:eastAsia="微软雅黑"/>
          <w:vertAlign w:val="superscript"/>
          <w:lang w:val="en"/>
        </w:rPr>
        <w:t>6</w:t>
      </w:r>
      <w:r>
        <w:rPr>
          <w:rFonts w:eastAsia="瀹嬩綋"/>
          <w:sz w:val="16"/>
          <w:szCs w:val="16"/>
          <w:lang w:val="en"/>
        </w:rPr>
        <w:t xml:space="preserve"> </w:t>
      </w:r>
      <w:r>
        <w:rPr>
          <w:rFonts w:eastAsia="瀹嬩綋"/>
          <w:lang w:val="en"/>
        </w:rPr>
        <w:t>CAR-T/kg group had the longest geometric mean half-life (T</w:t>
      </w:r>
      <w:r>
        <w:rPr>
          <w:rFonts w:eastAsia="瀹嬩綋"/>
          <w:sz w:val="16"/>
          <w:szCs w:val="16"/>
          <w:lang w:val="en"/>
        </w:rPr>
        <w:t>1/2</w:t>
      </w:r>
      <w:r>
        <w:rPr>
          <w:rFonts w:eastAsia="瀹嬩綋"/>
          <w:lang w:val="en"/>
        </w:rPr>
        <w:t>) of 39 days, the shortest me</w:t>
      </w:r>
      <w:r w:rsidRPr="007F27B2">
        <w:rPr>
          <w:rFonts w:eastAsia="瀹嬩綋"/>
          <w:lang w:val="en"/>
        </w:rPr>
        <w:t xml:space="preserve">dian time to </w:t>
      </w:r>
      <w:r w:rsidR="007A1056" w:rsidRPr="007F27B2">
        <w:rPr>
          <w:rFonts w:eastAsia="瀹嬩綋"/>
          <w:lang w:val="en"/>
        </w:rPr>
        <w:t>maximum plasma concentration</w:t>
      </w:r>
      <w:r w:rsidRPr="007F27B2">
        <w:rPr>
          <w:rFonts w:eastAsia="瀹嬩綋"/>
          <w:lang w:val="en"/>
        </w:rPr>
        <w:t xml:space="preserve"> (</w:t>
      </w:r>
      <w:proofErr w:type="spellStart"/>
      <w:r w:rsidRPr="007F27B2">
        <w:rPr>
          <w:rFonts w:eastAsia="瀹嬩綋"/>
          <w:lang w:val="en"/>
        </w:rPr>
        <w:t>T</w:t>
      </w:r>
      <w:r w:rsidRPr="007F27B2">
        <w:rPr>
          <w:rFonts w:eastAsia="瀹嬩綋"/>
          <w:vertAlign w:val="subscript"/>
          <w:lang w:val="en"/>
        </w:rPr>
        <w:t>max</w:t>
      </w:r>
      <w:proofErr w:type="spellEnd"/>
      <w:r w:rsidRPr="007F27B2">
        <w:rPr>
          <w:rFonts w:eastAsia="瀹嬩綋"/>
          <w:lang w:val="en"/>
        </w:rPr>
        <w:t xml:space="preserve">) of 12 days, the highest geometric mean </w:t>
      </w:r>
      <w:r w:rsidR="007F27B2" w:rsidRPr="007F27B2">
        <w:rPr>
          <w:rFonts w:eastAsia="瀹嬩綋"/>
          <w:lang w:val="en"/>
        </w:rPr>
        <w:t xml:space="preserve">maximum plasma </w:t>
      </w:r>
      <w:r w:rsidRPr="007F27B2">
        <w:rPr>
          <w:rFonts w:eastAsia="瀹嬩綋"/>
          <w:lang w:val="en"/>
        </w:rPr>
        <w:t xml:space="preserve"> concentration (</w:t>
      </w:r>
      <w:proofErr w:type="spellStart"/>
      <w:r w:rsidRPr="007F27B2">
        <w:rPr>
          <w:rFonts w:eastAsia="瀹嬩綋"/>
          <w:lang w:val="en"/>
        </w:rPr>
        <w:t>C</w:t>
      </w:r>
      <w:r w:rsidRPr="007F27B2">
        <w:rPr>
          <w:rFonts w:eastAsia="瀹嬩綋"/>
          <w:vertAlign w:val="subscript"/>
          <w:lang w:val="en"/>
        </w:rPr>
        <w:t>max</w:t>
      </w:r>
      <w:proofErr w:type="spellEnd"/>
      <w:r w:rsidRPr="007F27B2">
        <w:rPr>
          <w:rFonts w:eastAsia="瀹嬩綋"/>
          <w:lang w:val="en"/>
        </w:rPr>
        <w:t>) of 598</w:t>
      </w:r>
      <w:r w:rsidRPr="007F27B2">
        <w:rPr>
          <w:rFonts w:eastAsia="瀹嬩綋"/>
        </w:rPr>
        <w:t> </w:t>
      </w:r>
      <w:r w:rsidRPr="007F27B2">
        <w:rPr>
          <w:rFonts w:eastAsia="瀹嬩綋"/>
          <w:lang w:val="en"/>
        </w:rPr>
        <w:t>90 copies/</w:t>
      </w:r>
      <w:proofErr w:type="spellStart"/>
      <w:r w:rsidRPr="007F27B2">
        <w:rPr>
          <w:rFonts w:eastAsia="瀹嬩綋"/>
          <w:lang w:val="en"/>
        </w:rPr>
        <w:t>μg</w:t>
      </w:r>
      <w:proofErr w:type="spellEnd"/>
      <w:r w:rsidR="00C20D65">
        <w:rPr>
          <w:rFonts w:eastAsia="瀹嬩綋"/>
          <w:lang w:val="en"/>
        </w:rPr>
        <w:t xml:space="preserve"> </w:t>
      </w:r>
      <w:r w:rsidRPr="007F27B2">
        <w:rPr>
          <w:rFonts w:eastAsia="瀹嬩綋"/>
          <w:lang w:val="en"/>
        </w:rPr>
        <w:t>DNA, and the highest geo</w:t>
      </w:r>
      <w:r>
        <w:rPr>
          <w:rFonts w:eastAsia="瀹嬩綋"/>
          <w:lang w:val="en"/>
        </w:rPr>
        <w:t xml:space="preserve">metric mean </w:t>
      </w:r>
      <w:r w:rsidRPr="007065FF">
        <w:rPr>
          <w:rFonts w:eastAsia="瀹嬩綋"/>
          <w:lang w:val="en"/>
        </w:rPr>
        <w:t>area under the curve (AUC) (</w:t>
      </w:r>
      <w:bookmarkStart w:id="26" w:name="_Hlk111712430"/>
      <w:r w:rsidRPr="007065FF">
        <w:rPr>
          <w:rFonts w:eastAsia="瀹嬩綋"/>
          <w:lang w:val="en"/>
        </w:rPr>
        <w:t>area under the curve from time zero to</w:t>
      </w:r>
      <w:bookmarkEnd w:id="26"/>
      <w:r w:rsidRPr="007065FF">
        <w:rPr>
          <w:rFonts w:eastAsia="瀹嬩綋"/>
          <w:lang w:val="en"/>
        </w:rPr>
        <w:t xml:space="preserve"> Day 28</w:t>
      </w:r>
      <w:r>
        <w:rPr>
          <w:rFonts w:eastAsia="瀹嬩綋"/>
          <w:lang w:val="en"/>
        </w:rPr>
        <w:t xml:space="preserve"> [AUC</w:t>
      </w:r>
      <w:r>
        <w:rPr>
          <w:rFonts w:eastAsia="瀹嬩綋"/>
          <w:sz w:val="16"/>
          <w:szCs w:val="16"/>
          <w:lang w:val="en"/>
        </w:rPr>
        <w:t>0-28d</w:t>
      </w:r>
      <w:r>
        <w:rPr>
          <w:rFonts w:eastAsia="瀹嬩綋"/>
          <w:lang w:val="en"/>
        </w:rPr>
        <w:t>] 697</w:t>
      </w:r>
      <w:r>
        <w:rPr>
          <w:rFonts w:eastAsia="瀹嬩綋"/>
        </w:rPr>
        <w:t> </w:t>
      </w:r>
      <w:r>
        <w:rPr>
          <w:rFonts w:eastAsia="瀹嬩綋"/>
          <w:lang w:val="en"/>
        </w:rPr>
        <w:t>504.9</w:t>
      </w:r>
      <w:r w:rsidR="007F27B2">
        <w:rPr>
          <w:rFonts w:eastAsia="瀹嬩綋"/>
          <w:lang w:val="en"/>
        </w:rPr>
        <w:t> </w:t>
      </w:r>
      <w:r>
        <w:rPr>
          <w:rFonts w:eastAsia="瀹嬩綋"/>
          <w:lang w:val="en"/>
        </w:rPr>
        <w:t>day</w:t>
      </w:r>
      <w:r w:rsidRPr="009D23DC">
        <w:rPr>
          <w:rFonts w:eastAsia="瀹嬩綋"/>
          <w:lang w:val="en"/>
        </w:rPr>
        <w:t>*</w:t>
      </w:r>
      <w:r>
        <w:rPr>
          <w:rFonts w:eastAsia="瀹嬩綋"/>
          <w:lang w:val="en"/>
        </w:rPr>
        <w:t>copies/</w:t>
      </w:r>
      <w:proofErr w:type="spellStart"/>
      <w:r>
        <w:rPr>
          <w:rFonts w:eastAsia="瀹嬩綋"/>
          <w:lang w:val="en"/>
        </w:rPr>
        <w:t>μg</w:t>
      </w:r>
      <w:proofErr w:type="spellEnd"/>
      <w:r w:rsidR="00F70558">
        <w:rPr>
          <w:rFonts w:eastAsia="瀹嬩綋"/>
          <w:lang w:val="en"/>
        </w:rPr>
        <w:t xml:space="preserve"> </w:t>
      </w:r>
      <w:r>
        <w:rPr>
          <w:rFonts w:eastAsia="瀹嬩綋"/>
          <w:lang w:val="en"/>
        </w:rPr>
        <w:t>DNA, a</w:t>
      </w:r>
      <w:r w:rsidRPr="007065FF">
        <w:rPr>
          <w:rFonts w:eastAsia="瀹嬩綋"/>
          <w:lang w:val="en"/>
        </w:rPr>
        <w:t xml:space="preserve">rea under the curve from time zero to Day </w:t>
      </w:r>
      <w:r>
        <w:rPr>
          <w:rFonts w:eastAsia="瀹嬩綋"/>
          <w:lang w:val="en"/>
        </w:rPr>
        <w:t>90 [AUC</w:t>
      </w:r>
      <w:r>
        <w:rPr>
          <w:rFonts w:eastAsia="瀹嬩綋"/>
          <w:sz w:val="16"/>
          <w:szCs w:val="16"/>
          <w:lang w:val="en"/>
        </w:rPr>
        <w:t>0-90d</w:t>
      </w:r>
      <w:r>
        <w:rPr>
          <w:rFonts w:eastAsia="瀹嬩綋"/>
          <w:lang w:val="en"/>
        </w:rPr>
        <w:t>] 1</w:t>
      </w:r>
      <w:r>
        <w:rPr>
          <w:rFonts w:eastAsia="瀹嬩綋"/>
        </w:rPr>
        <w:t> </w:t>
      </w:r>
      <w:r>
        <w:rPr>
          <w:rFonts w:eastAsia="瀹嬩綋"/>
          <w:lang w:val="en"/>
        </w:rPr>
        <w:t>153</w:t>
      </w:r>
      <w:r>
        <w:rPr>
          <w:rFonts w:eastAsia="瀹嬩綋"/>
        </w:rPr>
        <w:t> </w:t>
      </w:r>
      <w:r>
        <w:rPr>
          <w:rFonts w:eastAsia="瀹嬩綋"/>
          <w:lang w:val="en"/>
        </w:rPr>
        <w:t>666.3 day*copies/</w:t>
      </w:r>
      <w:proofErr w:type="spellStart"/>
      <w:r>
        <w:rPr>
          <w:rFonts w:eastAsia="瀹嬩綋"/>
          <w:lang w:val="en"/>
        </w:rPr>
        <w:t>μg</w:t>
      </w:r>
      <w:proofErr w:type="spellEnd"/>
      <w:r w:rsidR="00F70558">
        <w:rPr>
          <w:rFonts w:eastAsia="瀹嬩綋"/>
          <w:lang w:val="en"/>
        </w:rPr>
        <w:t xml:space="preserve"> </w:t>
      </w:r>
      <w:r>
        <w:rPr>
          <w:rFonts w:eastAsia="瀹嬩綋"/>
          <w:lang w:val="en"/>
        </w:rPr>
        <w:t xml:space="preserve">DNA, </w:t>
      </w:r>
      <w:r w:rsidRPr="007065FF">
        <w:rPr>
          <w:rFonts w:eastAsia="瀹嬩綋"/>
          <w:lang w:val="en"/>
        </w:rPr>
        <w:t xml:space="preserve">area under the curve from time zero to </w:t>
      </w:r>
      <w:r>
        <w:rPr>
          <w:rFonts w:eastAsia="瀹嬩綋"/>
          <w:lang w:val="en"/>
        </w:rPr>
        <w:t>infinity [AUC</w:t>
      </w:r>
      <w:r>
        <w:rPr>
          <w:rFonts w:eastAsia="瀹嬩綋"/>
          <w:sz w:val="16"/>
          <w:szCs w:val="16"/>
          <w:lang w:val="en"/>
        </w:rPr>
        <w:t>0-∞</w:t>
      </w:r>
      <w:r>
        <w:rPr>
          <w:rFonts w:eastAsia="瀹嬩綋"/>
          <w:lang w:val="en"/>
        </w:rPr>
        <w:t>] 1640378</w:t>
      </w:r>
      <w:r w:rsidRPr="00C84752">
        <w:rPr>
          <w:rFonts w:eastAsia="瀹嬩綋"/>
          <w:lang w:val="en"/>
        </w:rPr>
        <w:t>.1 d</w:t>
      </w:r>
      <w:r>
        <w:rPr>
          <w:rFonts w:eastAsia="瀹嬩綋"/>
          <w:lang w:val="en"/>
        </w:rPr>
        <w:t>ay*copies/</w:t>
      </w:r>
      <w:proofErr w:type="spellStart"/>
      <w:r>
        <w:rPr>
          <w:rFonts w:eastAsia="瀹嬩綋"/>
          <w:lang w:val="en"/>
        </w:rPr>
        <w:t>μg</w:t>
      </w:r>
      <w:proofErr w:type="spellEnd"/>
      <w:r w:rsidR="00F70558">
        <w:rPr>
          <w:rFonts w:eastAsia="瀹嬩綋"/>
          <w:lang w:val="en"/>
        </w:rPr>
        <w:t xml:space="preserve"> </w:t>
      </w:r>
      <w:r>
        <w:rPr>
          <w:rFonts w:eastAsia="瀹嬩綋"/>
          <w:lang w:val="en"/>
        </w:rPr>
        <w:t>DNA).</w:t>
      </w:r>
      <w:r>
        <w:rPr>
          <w:lang w:val="en"/>
        </w:rPr>
        <w:t xml:space="preserve"> </w:t>
      </w:r>
      <w:r w:rsidRPr="00F36714">
        <w:rPr>
          <w:lang w:val="en"/>
        </w:rPr>
        <w:t xml:space="preserve">The </w:t>
      </w:r>
      <w:r>
        <w:rPr>
          <w:rFonts w:eastAsia="瀹嬩綋"/>
          <w:lang w:val="en"/>
        </w:rPr>
        <w:t>1.0 × 10</w:t>
      </w:r>
      <w:r>
        <w:rPr>
          <w:rFonts w:eastAsia="微软雅黑"/>
          <w:vertAlign w:val="superscript"/>
          <w:lang w:val="en"/>
        </w:rPr>
        <w:t>6</w:t>
      </w:r>
      <w:r>
        <w:rPr>
          <w:rFonts w:eastAsia="瀹嬩綋"/>
          <w:sz w:val="16"/>
          <w:szCs w:val="16"/>
          <w:lang w:val="en"/>
        </w:rPr>
        <w:t xml:space="preserve"> </w:t>
      </w:r>
      <w:r>
        <w:rPr>
          <w:rFonts w:eastAsia="瀹嬩綋"/>
          <w:lang w:val="en"/>
        </w:rPr>
        <w:t>CAR-T cells/kg dose group had the optimal PK characteristics of the CAR-T treatment.</w:t>
      </w:r>
    </w:p>
    <w:p w14:paraId="317AC09A" w14:textId="0920CB2B" w:rsidR="00F36714" w:rsidRDefault="00F36714" w:rsidP="004D2B89">
      <w:pPr>
        <w:autoSpaceDE w:val="0"/>
        <w:autoSpaceDN w:val="0"/>
        <w:adjustRightInd w:val="0"/>
        <w:jc w:val="both"/>
        <w:rPr>
          <w:rFonts w:eastAsia="瀹嬩綋"/>
        </w:rPr>
      </w:pPr>
      <w:r>
        <w:rPr>
          <w:rFonts w:eastAsia="瀹嬩綋"/>
          <w:lang w:val="en"/>
        </w:rPr>
        <w:t xml:space="preserve">After the CT103A cell infusion, the serum-free BCMA </w:t>
      </w:r>
      <w:r w:rsidR="006C7852">
        <w:rPr>
          <w:rFonts w:eastAsia="瀹嬩綋"/>
          <w:lang w:val="en"/>
        </w:rPr>
        <w:t>(</w:t>
      </w:r>
      <w:proofErr w:type="spellStart"/>
      <w:r w:rsidR="006C7852">
        <w:rPr>
          <w:rFonts w:eastAsia="瀹嬩綋"/>
          <w:lang w:val="en"/>
        </w:rPr>
        <w:t>sBCMA</w:t>
      </w:r>
      <w:proofErr w:type="spellEnd"/>
      <w:r w:rsidR="006C7852">
        <w:rPr>
          <w:rFonts w:eastAsia="瀹嬩綋"/>
          <w:lang w:val="en"/>
        </w:rPr>
        <w:t xml:space="preserve">) </w:t>
      </w:r>
      <w:r>
        <w:rPr>
          <w:rFonts w:eastAsia="瀹嬩綋"/>
          <w:lang w:val="en"/>
        </w:rPr>
        <w:t>was significantly decreased in each dose group</w:t>
      </w:r>
      <w:r w:rsidR="00EA599D">
        <w:rPr>
          <w:rFonts w:eastAsia="瀹嬩綋"/>
          <w:lang w:val="en"/>
        </w:rPr>
        <w:t>. The</w:t>
      </w:r>
      <w:r>
        <w:rPr>
          <w:rFonts w:eastAsia="瀹嬩綋"/>
          <w:lang w:val="en"/>
        </w:rPr>
        <w:t xml:space="preserve"> </w:t>
      </w:r>
      <w:proofErr w:type="spellStart"/>
      <w:r w:rsidR="006C7852">
        <w:rPr>
          <w:rFonts w:eastAsia="瀹嬩綋"/>
          <w:lang w:val="en"/>
        </w:rPr>
        <w:t>s</w:t>
      </w:r>
      <w:r>
        <w:rPr>
          <w:rFonts w:eastAsia="瀹嬩綋"/>
          <w:lang w:val="en"/>
        </w:rPr>
        <w:t>BCMA</w:t>
      </w:r>
      <w:proofErr w:type="spellEnd"/>
      <w:r>
        <w:rPr>
          <w:rFonts w:eastAsia="瀹嬩綋"/>
          <w:lang w:val="en"/>
        </w:rPr>
        <w:t xml:space="preserve"> level rapidly decreased to below normal levels (15 </w:t>
      </w:r>
      <w:proofErr w:type="spellStart"/>
      <w:r>
        <w:rPr>
          <w:rFonts w:eastAsia="瀹嬩綋"/>
          <w:lang w:val="en"/>
        </w:rPr>
        <w:t>μg</w:t>
      </w:r>
      <w:proofErr w:type="spellEnd"/>
      <w:r>
        <w:rPr>
          <w:rFonts w:eastAsia="瀹嬩綋"/>
          <w:lang w:val="en"/>
        </w:rPr>
        <w:t xml:space="preserve">/mL) in </w:t>
      </w:r>
      <w:r w:rsidR="00EA599D">
        <w:rPr>
          <w:rFonts w:eastAsia="瀹嬩綋"/>
          <w:lang w:val="en"/>
        </w:rPr>
        <w:t>most</w:t>
      </w:r>
      <w:r>
        <w:rPr>
          <w:rFonts w:eastAsia="瀹嬩綋"/>
          <w:lang w:val="en"/>
        </w:rPr>
        <w:t xml:space="preserve"> responding patients. Patients with increased </w:t>
      </w:r>
      <w:proofErr w:type="spellStart"/>
      <w:r w:rsidR="006C7852">
        <w:rPr>
          <w:rFonts w:eastAsia="瀹嬩綋"/>
          <w:lang w:val="en"/>
        </w:rPr>
        <w:t>s</w:t>
      </w:r>
      <w:r>
        <w:rPr>
          <w:rFonts w:eastAsia="瀹嬩綋"/>
          <w:lang w:val="en"/>
        </w:rPr>
        <w:t>BCMA</w:t>
      </w:r>
      <w:proofErr w:type="spellEnd"/>
      <w:r>
        <w:rPr>
          <w:rFonts w:eastAsia="瀹嬩綋"/>
          <w:lang w:val="en"/>
        </w:rPr>
        <w:t xml:space="preserve"> levels, if not higher than normal, w</w:t>
      </w:r>
      <w:r w:rsidR="00EA599D">
        <w:rPr>
          <w:rFonts w:eastAsia="瀹嬩綋"/>
          <w:lang w:val="en"/>
        </w:rPr>
        <w:t>ere</w:t>
      </w:r>
      <w:r>
        <w:rPr>
          <w:rFonts w:eastAsia="瀹嬩綋"/>
          <w:lang w:val="en"/>
        </w:rPr>
        <w:t xml:space="preserve"> often accompanied </w:t>
      </w:r>
      <w:r w:rsidR="00EA599D">
        <w:rPr>
          <w:rFonts w:eastAsia="瀹嬩綋"/>
          <w:lang w:val="en"/>
        </w:rPr>
        <w:t>by</w:t>
      </w:r>
      <w:r>
        <w:rPr>
          <w:rFonts w:eastAsia="瀹嬩綋"/>
          <w:lang w:val="en"/>
        </w:rPr>
        <w:t xml:space="preserve"> a shift in </w:t>
      </w:r>
      <w:bookmarkStart w:id="27" w:name="_Hlk111910868"/>
      <w:r w:rsidR="007F27B2">
        <w:rPr>
          <w:rFonts w:eastAsia="瀹嬩綋"/>
          <w:lang w:val="en"/>
        </w:rPr>
        <w:t>m</w:t>
      </w:r>
      <w:r w:rsidR="007F27B2" w:rsidRPr="007F27B2">
        <w:rPr>
          <w:rFonts w:eastAsia="瀹嬩綋"/>
          <w:lang w:val="en"/>
        </w:rPr>
        <w:t>inimal residual disease</w:t>
      </w:r>
      <w:bookmarkEnd w:id="27"/>
      <w:r w:rsidR="007F27B2" w:rsidRPr="007F27B2">
        <w:rPr>
          <w:rFonts w:eastAsia="瀹嬩綋"/>
          <w:lang w:val="en"/>
        </w:rPr>
        <w:t xml:space="preserve"> </w:t>
      </w:r>
      <w:r w:rsidR="007F27B2">
        <w:rPr>
          <w:rFonts w:eastAsia="瀹嬩綋"/>
          <w:lang w:val="en"/>
        </w:rPr>
        <w:t>(</w:t>
      </w:r>
      <w:r>
        <w:rPr>
          <w:rFonts w:eastAsia="瀹嬩綋"/>
          <w:lang w:val="en"/>
        </w:rPr>
        <w:t>MRD</w:t>
      </w:r>
      <w:r w:rsidR="007F27B2">
        <w:rPr>
          <w:rFonts w:eastAsia="瀹嬩綋"/>
          <w:lang w:val="en"/>
        </w:rPr>
        <w:t>)</w:t>
      </w:r>
      <w:r>
        <w:rPr>
          <w:rFonts w:eastAsia="瀹嬩綋"/>
          <w:lang w:val="en"/>
        </w:rPr>
        <w:t xml:space="preserve"> to positive and developed into disease progression after 6 to 90 days</w:t>
      </w:r>
      <w:r>
        <w:rPr>
          <w:rFonts w:eastAsia="瀹嬩綋"/>
        </w:rPr>
        <w:t xml:space="preserve">. </w:t>
      </w:r>
    </w:p>
    <w:p w14:paraId="45EDAAB3" w14:textId="30C6F6D6" w:rsidR="00F36714" w:rsidRPr="00F36714" w:rsidRDefault="00F36714" w:rsidP="004D2B89">
      <w:pPr>
        <w:pStyle w:val="BodyText-12pt"/>
        <w:jc w:val="both"/>
        <w:rPr>
          <w:rFonts w:eastAsia="微软雅黑"/>
          <w:lang w:bidi="en-US"/>
        </w:rPr>
      </w:pPr>
      <w:r>
        <w:rPr>
          <w:rFonts w:eastAsia="瀹嬩綋" w:cs="Times New Roman"/>
          <w:szCs w:val="24"/>
          <w:lang w:val="en"/>
        </w:rPr>
        <w:t>In conclusion, CT103A is safe and effective, with good amplification and persistence in clinical studies. The safety of the 1.0 × 10</w:t>
      </w:r>
      <w:r>
        <w:rPr>
          <w:rFonts w:eastAsia="微软雅黑" w:cs="Times New Roman"/>
          <w:szCs w:val="24"/>
          <w:vertAlign w:val="superscript"/>
          <w:lang w:val="en"/>
        </w:rPr>
        <w:t>6</w:t>
      </w:r>
      <w:r>
        <w:rPr>
          <w:rFonts w:eastAsia="瀹嬩綋" w:cs="Times New Roman"/>
          <w:szCs w:val="24"/>
          <w:lang w:val="en"/>
        </w:rPr>
        <w:t xml:space="preserve"> CART/kg dose group was slightly better than that of the 3.0 × 10</w:t>
      </w:r>
      <w:r>
        <w:rPr>
          <w:rFonts w:eastAsia="微软雅黑" w:cs="Times New Roman"/>
          <w:szCs w:val="24"/>
          <w:vertAlign w:val="superscript"/>
          <w:lang w:val="en"/>
        </w:rPr>
        <w:t>6</w:t>
      </w:r>
      <w:r>
        <w:rPr>
          <w:rFonts w:eastAsia="瀹嬩綋" w:cs="Times New Roman"/>
          <w:szCs w:val="24"/>
          <w:lang w:val="en"/>
        </w:rPr>
        <w:t xml:space="preserve"> CAR-T/kg dose group. However, the </w:t>
      </w:r>
      <w:r w:rsidR="00EA599D">
        <w:rPr>
          <w:rFonts w:eastAsia="瀹嬩綋" w:cs="Times New Roman"/>
          <w:szCs w:val="24"/>
          <w:lang w:val="en"/>
        </w:rPr>
        <w:t>dose escalation did not lead to better clinical efficacy or increase in amplification level and duration in vivo and did not increase the clinical benefits of patients but reduced</w:t>
      </w:r>
      <w:r>
        <w:rPr>
          <w:rFonts w:eastAsia="瀹嬩綋" w:cs="Times New Roman"/>
          <w:szCs w:val="24"/>
          <w:lang w:val="en"/>
        </w:rPr>
        <w:t xml:space="preserve"> the </w:t>
      </w:r>
      <w:r w:rsidR="00EA599D">
        <w:rPr>
          <w:rFonts w:eastAsia="瀹嬩綋" w:cs="Times New Roman"/>
          <w:szCs w:val="24"/>
          <w:lang w:val="en"/>
        </w:rPr>
        <w:t>long-term clinical</w:t>
      </w:r>
      <w:r>
        <w:rPr>
          <w:rFonts w:eastAsia="瀹嬩綋" w:cs="Times New Roman"/>
          <w:szCs w:val="24"/>
          <w:lang w:val="en"/>
        </w:rPr>
        <w:t xml:space="preserve"> safety. Therefore, 1.0 × 10</w:t>
      </w:r>
      <w:r>
        <w:rPr>
          <w:rFonts w:eastAsia="微软雅黑" w:cs="Times New Roman"/>
          <w:szCs w:val="24"/>
          <w:vertAlign w:val="superscript"/>
          <w:lang w:val="en"/>
        </w:rPr>
        <w:t>6</w:t>
      </w:r>
      <w:r>
        <w:rPr>
          <w:rFonts w:eastAsia="瀹嬩綋" w:cs="Times New Roman"/>
          <w:szCs w:val="24"/>
          <w:lang w:val="en"/>
        </w:rPr>
        <w:t xml:space="preserve"> CAR-T/kg was selected as the dose for this study.</w:t>
      </w:r>
    </w:p>
    <w:p w14:paraId="41548210" w14:textId="5FDB01BE" w:rsidR="00FC7470" w:rsidRDefault="00F31A05" w:rsidP="006F53AF">
      <w:pPr>
        <w:pStyle w:val="20"/>
      </w:pPr>
      <w:r>
        <w:t>Selinexor</w:t>
      </w:r>
    </w:p>
    <w:p w14:paraId="3D36978B" w14:textId="6FDEBF5F" w:rsidR="00852C75" w:rsidRPr="00852C75" w:rsidRDefault="00852C75" w:rsidP="00852C75">
      <w:pPr>
        <w:pStyle w:val="30"/>
      </w:pPr>
      <w:bookmarkStart w:id="28" w:name="_Toc112064822"/>
      <w:r>
        <w:rPr>
          <w:rFonts w:ascii="Times New Roman" w:eastAsia="微软雅黑" w:hAnsi="Times New Roman"/>
          <w:color w:val="000000"/>
          <w:szCs w:val="24"/>
          <w:lang w:val="en"/>
        </w:rPr>
        <w:t xml:space="preserve">Overview of Clinical Data of </w:t>
      </w:r>
      <w:bookmarkEnd w:id="28"/>
      <w:r w:rsidR="00F31A05">
        <w:rPr>
          <w:rFonts w:ascii="Times New Roman" w:eastAsia="微软雅黑" w:hAnsi="Times New Roman"/>
          <w:color w:val="000000"/>
          <w:szCs w:val="24"/>
          <w:lang w:val="en"/>
        </w:rPr>
        <w:t>Selinexor</w:t>
      </w:r>
    </w:p>
    <w:p w14:paraId="33B9123A" w14:textId="7FA9CF43" w:rsidR="00852C75" w:rsidRDefault="00F31A05" w:rsidP="004D2B89">
      <w:pPr>
        <w:autoSpaceDE w:val="0"/>
        <w:autoSpaceDN w:val="0"/>
        <w:adjustRightInd w:val="0"/>
        <w:jc w:val="both"/>
        <w:rPr>
          <w:rFonts w:eastAsia="瀹嬩綋"/>
          <w:lang w:val="en"/>
        </w:rPr>
      </w:pPr>
      <w:r>
        <w:rPr>
          <w:rFonts w:eastAsia="瀹嬩綋"/>
          <w:lang w:val="en"/>
        </w:rPr>
        <w:t>Selinexor</w:t>
      </w:r>
      <w:r w:rsidR="00852C75">
        <w:rPr>
          <w:rFonts w:eastAsia="瀹嬩綋"/>
          <w:lang w:val="en"/>
        </w:rPr>
        <w:t>, the</w:t>
      </w:r>
      <w:r w:rsidR="00852C75">
        <w:rPr>
          <w:rFonts w:eastAsia="瀹嬩綋" w:hint="eastAsia"/>
        </w:rPr>
        <w:t xml:space="preserve"> </w:t>
      </w:r>
      <w:r w:rsidR="00852C75">
        <w:rPr>
          <w:rFonts w:eastAsia="瀹嬩綋"/>
        </w:rPr>
        <w:t xml:space="preserve">oral </w:t>
      </w:r>
      <w:r w:rsidR="00852C75">
        <w:rPr>
          <w:rFonts w:eastAsia="瀹嬩綋"/>
          <w:lang w:val="en"/>
        </w:rPr>
        <w:t>first-in-class</w:t>
      </w:r>
      <w:r w:rsidR="00852C75">
        <w:rPr>
          <w:rFonts w:eastAsia="瀹嬩綋" w:hint="eastAsia"/>
        </w:rPr>
        <w:t xml:space="preserve"> and only </w:t>
      </w:r>
      <w:r w:rsidR="00852C75">
        <w:rPr>
          <w:rFonts w:eastAsia="瀹嬩綋"/>
          <w:lang w:val="en"/>
        </w:rPr>
        <w:t xml:space="preserve">selective inhibitor of the nuclear export protein </w:t>
      </w:r>
      <w:r w:rsidR="00F16C20">
        <w:rPr>
          <w:rFonts w:eastAsia="瀹嬩綋"/>
          <w:lang w:val="en"/>
        </w:rPr>
        <w:t xml:space="preserve">1 </w:t>
      </w:r>
      <w:r w:rsidR="00852C75" w:rsidRPr="00ED46D3">
        <w:rPr>
          <w:rFonts w:eastAsia="瀹嬩綋"/>
          <w:lang w:val="en"/>
        </w:rPr>
        <w:t xml:space="preserve">(XPO1) [33], </w:t>
      </w:r>
      <w:r w:rsidR="00852C75" w:rsidRPr="00ED46D3">
        <w:rPr>
          <w:rFonts w:eastAsia="瀹嬩綋"/>
        </w:rPr>
        <w:t xml:space="preserve">has been </w:t>
      </w:r>
      <w:r w:rsidR="00852C75" w:rsidRPr="00ED46D3">
        <w:rPr>
          <w:rFonts w:eastAsia="瀹嬩綋" w:hint="eastAsia"/>
        </w:rPr>
        <w:t xml:space="preserve">approved by </w:t>
      </w:r>
      <w:r w:rsidR="00EA599D">
        <w:rPr>
          <w:rFonts w:eastAsia="瀹嬩綋"/>
        </w:rPr>
        <w:t xml:space="preserve">the </w:t>
      </w:r>
      <w:r w:rsidR="00852C75" w:rsidRPr="00ED46D3">
        <w:rPr>
          <w:rFonts w:eastAsia="瀹嬩綋"/>
        </w:rPr>
        <w:t xml:space="preserve">United States (US) </w:t>
      </w:r>
      <w:r w:rsidR="007F27B2" w:rsidRPr="00ED46D3">
        <w:rPr>
          <w:rFonts w:eastAsia="瀹嬩綋"/>
        </w:rPr>
        <w:t>Food and Drug Administration (</w:t>
      </w:r>
      <w:r w:rsidR="00852C75" w:rsidRPr="00ED46D3">
        <w:rPr>
          <w:rFonts w:eastAsia="瀹嬩綋"/>
          <w:lang w:val="en"/>
        </w:rPr>
        <w:t>FDA</w:t>
      </w:r>
      <w:r w:rsidR="007F27B2" w:rsidRPr="00ED46D3">
        <w:rPr>
          <w:rFonts w:eastAsia="瀹嬩綋"/>
          <w:lang w:val="en"/>
        </w:rPr>
        <w:t>)</w:t>
      </w:r>
      <w:r w:rsidR="00852C75" w:rsidRPr="00ED46D3">
        <w:rPr>
          <w:rFonts w:eastAsia="瀹嬩綋"/>
          <w:lang w:val="en"/>
        </w:rPr>
        <w:t xml:space="preserve"> and</w:t>
      </w:r>
      <w:r w:rsidR="00852C75" w:rsidRPr="00ED46D3">
        <w:rPr>
          <w:rFonts w:eastAsia="瀹嬩綋" w:hint="eastAsia"/>
        </w:rPr>
        <w:t xml:space="preserve"> recommended by </w:t>
      </w:r>
      <w:r w:rsidR="00EA599D">
        <w:rPr>
          <w:rFonts w:eastAsia="瀹嬩綋"/>
        </w:rPr>
        <w:t xml:space="preserve">the </w:t>
      </w:r>
      <w:r w:rsidR="00ED46D3" w:rsidRPr="00ED46D3">
        <w:rPr>
          <w:rFonts w:eastAsia="瀹嬩綋"/>
        </w:rPr>
        <w:t>National Comprehensive Cancer Network (</w:t>
      </w:r>
      <w:r w:rsidR="00852C75" w:rsidRPr="00ED46D3">
        <w:rPr>
          <w:rFonts w:eastAsia="瀹嬩綋"/>
        </w:rPr>
        <w:t>NCCN</w:t>
      </w:r>
      <w:r w:rsidR="00ED46D3" w:rsidRPr="00ED46D3">
        <w:rPr>
          <w:rFonts w:eastAsia="瀹嬩綋"/>
        </w:rPr>
        <w:t>)</w:t>
      </w:r>
      <w:r w:rsidR="00852C75" w:rsidRPr="00ED46D3">
        <w:rPr>
          <w:rFonts w:eastAsia="瀹嬩綋" w:hint="eastAsia"/>
        </w:rPr>
        <w:t xml:space="preserve">, </w:t>
      </w:r>
      <w:r w:rsidR="00ED46D3" w:rsidRPr="00ED46D3">
        <w:rPr>
          <w:rFonts w:eastAsia="瀹嬩綋"/>
        </w:rPr>
        <w:t>Chinese Society of Clinical Oncology (</w:t>
      </w:r>
      <w:r w:rsidR="00852C75" w:rsidRPr="00ED46D3">
        <w:rPr>
          <w:rFonts w:eastAsia="瀹嬩綋"/>
        </w:rPr>
        <w:t>CSCO</w:t>
      </w:r>
      <w:r w:rsidR="00ED46D3" w:rsidRPr="00ED46D3">
        <w:rPr>
          <w:rFonts w:eastAsia="瀹嬩綋"/>
        </w:rPr>
        <w:t>),</w:t>
      </w:r>
      <w:r w:rsidR="00852C75" w:rsidRPr="00ED46D3">
        <w:rPr>
          <w:rFonts w:eastAsia="瀹嬩綋" w:hint="eastAsia"/>
        </w:rPr>
        <w:t xml:space="preserve"> and </w:t>
      </w:r>
      <w:r w:rsidR="00ED46D3" w:rsidRPr="00ED46D3">
        <w:rPr>
          <w:rFonts w:eastAsia="瀹嬩綋"/>
        </w:rPr>
        <w:t>European Society for Medical Oncology (</w:t>
      </w:r>
      <w:r w:rsidR="00852C75" w:rsidRPr="00ED46D3">
        <w:rPr>
          <w:rFonts w:eastAsia="瀹嬩綋"/>
        </w:rPr>
        <w:t>ESMO</w:t>
      </w:r>
      <w:r w:rsidR="00ED46D3" w:rsidRPr="00ED46D3">
        <w:rPr>
          <w:rFonts w:eastAsia="瀹嬩綋"/>
        </w:rPr>
        <w:t>)</w:t>
      </w:r>
      <w:r w:rsidR="00852C75" w:rsidRPr="00ED46D3">
        <w:rPr>
          <w:rFonts w:eastAsia="瀹嬩綋" w:hint="eastAsia"/>
        </w:rPr>
        <w:t xml:space="preserve"> Guidelines</w:t>
      </w:r>
      <w:r w:rsidR="00852C75" w:rsidRPr="00ED46D3">
        <w:rPr>
          <w:rFonts w:eastAsia="瀹嬩綋"/>
          <w:lang w:val="en"/>
        </w:rPr>
        <w:t xml:space="preserve"> </w:t>
      </w:r>
      <w:r w:rsidR="00852C75" w:rsidRPr="00ED46D3">
        <w:rPr>
          <w:rFonts w:eastAsia="瀹嬩綋" w:hint="eastAsia"/>
        </w:rPr>
        <w:t>for the treatment of</w:t>
      </w:r>
      <w:r w:rsidR="00852C75" w:rsidRPr="00ED46D3">
        <w:rPr>
          <w:rFonts w:eastAsia="瀹嬩綋"/>
          <w:lang w:val="en"/>
        </w:rPr>
        <w:t xml:space="preserve"> RR/MM. In China, </w:t>
      </w:r>
      <w:r>
        <w:rPr>
          <w:rFonts w:eastAsia="瀹嬩綋"/>
          <w:lang w:val="en"/>
        </w:rPr>
        <w:t>Selinexor</w:t>
      </w:r>
      <w:r w:rsidR="00852C75" w:rsidRPr="00ED46D3">
        <w:rPr>
          <w:rFonts w:eastAsia="瀹嬩綋"/>
          <w:lang w:val="en"/>
        </w:rPr>
        <w:t xml:space="preserve"> was approved by National Med</w:t>
      </w:r>
      <w:r w:rsidR="00852C75">
        <w:rPr>
          <w:rFonts w:eastAsia="瀹嬩綋"/>
          <w:lang w:val="en"/>
        </w:rPr>
        <w:t>ical Products Administration (NMPA) in February 2021 through a priority review process for new drug marketing application</w:t>
      </w:r>
      <w:r w:rsidR="00EA599D">
        <w:rPr>
          <w:rFonts w:eastAsia="瀹嬩綋"/>
          <w:lang w:val="en"/>
        </w:rPr>
        <w:t>s</w:t>
      </w:r>
      <w:r w:rsidR="00852C75">
        <w:rPr>
          <w:rFonts w:eastAsia="瀹嬩綋"/>
          <w:lang w:val="en"/>
        </w:rPr>
        <w:t>,</w:t>
      </w:r>
      <w:r w:rsidR="00EA599D">
        <w:rPr>
          <w:rFonts w:eastAsia="瀹嬩綋"/>
          <w:lang w:val="en"/>
        </w:rPr>
        <w:t xml:space="preserve"> and</w:t>
      </w:r>
      <w:r w:rsidR="00852C75">
        <w:rPr>
          <w:rFonts w:eastAsia="瀹嬩綋"/>
          <w:lang w:val="en"/>
        </w:rPr>
        <w:t xml:space="preserve"> the indication is RR/MM. In April 2021, </w:t>
      </w:r>
      <w:r>
        <w:rPr>
          <w:rFonts w:eastAsia="瀹嬩綋"/>
          <w:lang w:val="en"/>
        </w:rPr>
        <w:t>Selinexor</w:t>
      </w:r>
      <w:r w:rsidR="00852C75">
        <w:rPr>
          <w:rFonts w:eastAsia="瀹嬩綋"/>
          <w:lang w:val="en"/>
        </w:rPr>
        <w:t xml:space="preserve"> ha</w:t>
      </w:r>
      <w:r w:rsidR="00EA599D">
        <w:rPr>
          <w:rFonts w:eastAsia="瀹嬩綋"/>
          <w:lang w:val="en"/>
        </w:rPr>
        <w:t>d</w:t>
      </w:r>
      <w:r w:rsidR="00852C75">
        <w:rPr>
          <w:rFonts w:eastAsia="瀹嬩綋"/>
          <w:lang w:val="en"/>
        </w:rPr>
        <w:t xml:space="preserve"> already issued its first prescription in mainland China at the </w:t>
      </w:r>
      <w:proofErr w:type="spellStart"/>
      <w:r w:rsidR="00852C75">
        <w:rPr>
          <w:rFonts w:eastAsia="瀹嬩綋"/>
          <w:lang w:val="en"/>
        </w:rPr>
        <w:t>Boao</w:t>
      </w:r>
      <w:proofErr w:type="spellEnd"/>
      <w:r w:rsidR="00852C75">
        <w:rPr>
          <w:rFonts w:eastAsia="瀹嬩綋"/>
          <w:lang w:val="en"/>
        </w:rPr>
        <w:t xml:space="preserve"> Super Hospital in </w:t>
      </w:r>
      <w:proofErr w:type="spellStart"/>
      <w:r w:rsidR="00852C75">
        <w:rPr>
          <w:rFonts w:eastAsia="瀹嬩綋"/>
          <w:lang w:val="en"/>
        </w:rPr>
        <w:t>Boao</w:t>
      </w:r>
      <w:proofErr w:type="spellEnd"/>
      <w:r w:rsidR="00852C75">
        <w:rPr>
          <w:rFonts w:eastAsia="瀹嬩綋"/>
          <w:lang w:val="en"/>
        </w:rPr>
        <w:t xml:space="preserve"> </w:t>
      </w:r>
      <w:proofErr w:type="spellStart"/>
      <w:r w:rsidR="00852C75">
        <w:rPr>
          <w:rFonts w:eastAsia="瀹嬩綋"/>
          <w:lang w:val="en"/>
        </w:rPr>
        <w:t>Lecheng</w:t>
      </w:r>
      <w:proofErr w:type="spellEnd"/>
      <w:r w:rsidR="00852C75">
        <w:rPr>
          <w:rFonts w:eastAsia="瀹嬩綋"/>
          <w:lang w:val="en"/>
        </w:rPr>
        <w:t xml:space="preserve"> Pilot Zone </w:t>
      </w:r>
      <w:r w:rsidR="00852C75">
        <w:rPr>
          <w:rFonts w:eastAsia="瀹嬩綋"/>
          <w:lang w:val="en"/>
        </w:rPr>
        <w:lastRenderedPageBreak/>
        <w:t>and ha</w:t>
      </w:r>
      <w:r w:rsidR="00EA599D">
        <w:rPr>
          <w:rFonts w:eastAsia="瀹嬩綋"/>
          <w:lang w:val="en"/>
        </w:rPr>
        <w:t>d</w:t>
      </w:r>
      <w:r w:rsidR="00852C75">
        <w:rPr>
          <w:rFonts w:eastAsia="瀹嬩綋"/>
          <w:lang w:val="en"/>
        </w:rPr>
        <w:t xml:space="preserve"> been allowed for outpatient use. In clinical studies,</w:t>
      </w:r>
      <w:r w:rsidR="00852C75">
        <w:rPr>
          <w:rFonts w:eastAsia="瀹嬩綋" w:hint="eastAsia"/>
        </w:rPr>
        <w:t xml:space="preserve"> XPO1 inhibitor</w:t>
      </w:r>
      <w:r w:rsidR="00852C75">
        <w:rPr>
          <w:rFonts w:eastAsia="瀹嬩綋"/>
        </w:rPr>
        <w:t xml:space="preserve">-based monotherapy </w:t>
      </w:r>
      <w:r w:rsidR="00852C75">
        <w:rPr>
          <w:rFonts w:eastAsia="瀹嬩綋" w:hint="eastAsia"/>
        </w:rPr>
        <w:t>or combin</w:t>
      </w:r>
      <w:r w:rsidR="00852C75">
        <w:rPr>
          <w:rFonts w:eastAsia="瀹嬩綋"/>
        </w:rPr>
        <w:t>ation therapy</w:t>
      </w:r>
      <w:r w:rsidR="00852C75">
        <w:rPr>
          <w:rFonts w:eastAsia="瀹嬩綋" w:hint="eastAsia"/>
        </w:rPr>
        <w:t xml:space="preserve"> with </w:t>
      </w:r>
      <w:r w:rsidR="00852C75">
        <w:rPr>
          <w:rFonts w:eastAsia="瀹嬩綋"/>
          <w:lang w:val="en"/>
        </w:rPr>
        <w:t>proteasome inhibitor, immunomodulatory agent, or daratumumab</w:t>
      </w:r>
      <w:r w:rsidR="00852C75">
        <w:rPr>
          <w:rFonts w:eastAsia="瀹嬩綋" w:hint="eastAsia"/>
        </w:rPr>
        <w:t xml:space="preserve"> </w:t>
      </w:r>
      <w:proofErr w:type="spellStart"/>
      <w:r w:rsidR="006C7852">
        <w:rPr>
          <w:rFonts w:eastAsia="瀹嬩綋"/>
          <w:lang w:val="en"/>
        </w:rPr>
        <w:t>ha</w:t>
      </w:r>
      <w:r w:rsidR="006C7852">
        <w:rPr>
          <w:rFonts w:eastAsia="瀹嬩綋"/>
        </w:rPr>
        <w:t>s</w:t>
      </w:r>
      <w:proofErr w:type="spellEnd"/>
      <w:r w:rsidR="00852C75">
        <w:rPr>
          <w:rFonts w:eastAsia="瀹嬩綋"/>
          <w:lang w:val="en"/>
        </w:rPr>
        <w:t xml:space="preserve"> significantly improved the prognosis of </w:t>
      </w:r>
      <w:r w:rsidR="00852C75">
        <w:rPr>
          <w:rFonts w:eastAsia="瀹嬩綋" w:hint="eastAsia"/>
        </w:rPr>
        <w:t xml:space="preserve">MM </w:t>
      </w:r>
      <w:r w:rsidR="00852C75">
        <w:rPr>
          <w:rFonts w:eastAsia="瀹嬩綋"/>
          <w:lang w:val="en"/>
        </w:rPr>
        <w:t xml:space="preserve">patients with </w:t>
      </w:r>
      <w:r w:rsidR="00852C75">
        <w:rPr>
          <w:rFonts w:eastAsia="瀹嬩綋" w:hint="eastAsia"/>
        </w:rPr>
        <w:t>resistance to multiple drugs</w:t>
      </w:r>
      <w:r w:rsidR="00852C75">
        <w:rPr>
          <w:rFonts w:eastAsia="瀹嬩綋"/>
          <w:lang w:val="en"/>
        </w:rPr>
        <w:t xml:space="preserve"> [34-36]. It has been reported that 16 patients with</w:t>
      </w:r>
      <w:r w:rsidR="00852C75">
        <w:rPr>
          <w:rFonts w:eastAsia="瀹嬩綋" w:hint="eastAsia"/>
        </w:rPr>
        <w:t xml:space="preserve"> triple-class</w:t>
      </w:r>
      <w:r w:rsidR="00852C75">
        <w:rPr>
          <w:rFonts w:eastAsia="瀹嬩綋"/>
          <w:lang w:val="en"/>
        </w:rPr>
        <w:t xml:space="preserve"> </w:t>
      </w:r>
      <w:r w:rsidR="00852C75">
        <w:rPr>
          <w:rFonts w:eastAsia="瀹嬩綋" w:hint="eastAsia"/>
        </w:rPr>
        <w:t xml:space="preserve">penta-exposed refractory </w:t>
      </w:r>
      <w:r w:rsidR="00852C75">
        <w:rPr>
          <w:rFonts w:eastAsia="瀹嬩綋"/>
          <w:lang w:val="en"/>
        </w:rPr>
        <w:t>extramedullary myeloma</w:t>
      </w:r>
      <w:r w:rsidR="00852C75">
        <w:rPr>
          <w:rFonts w:eastAsia="瀹嬩綋" w:hint="eastAsia"/>
        </w:rPr>
        <w:t xml:space="preserve"> were</w:t>
      </w:r>
      <w:r w:rsidR="00852C75">
        <w:rPr>
          <w:rFonts w:eastAsia="瀹嬩綋"/>
          <w:lang w:val="en"/>
        </w:rPr>
        <w:t xml:space="preserve"> treated with </w:t>
      </w:r>
      <w:r>
        <w:rPr>
          <w:rFonts w:eastAsia="瀹嬩綋"/>
          <w:lang w:val="en"/>
        </w:rPr>
        <w:t>Selinexor</w:t>
      </w:r>
      <w:r w:rsidR="00852C75">
        <w:rPr>
          <w:rFonts w:eastAsia="瀹嬩綋"/>
          <w:lang w:val="en"/>
        </w:rPr>
        <w:t xml:space="preserve"> (80 mg twice a week) </w:t>
      </w:r>
      <w:r w:rsidR="00852C75">
        <w:rPr>
          <w:rFonts w:eastAsia="瀹嬩綋" w:hint="eastAsia"/>
        </w:rPr>
        <w:t xml:space="preserve">in combination with </w:t>
      </w:r>
      <w:r w:rsidR="00852C75">
        <w:rPr>
          <w:rFonts w:eastAsia="瀹嬩綋"/>
          <w:lang w:val="en"/>
        </w:rPr>
        <w:t>dexamethasone</w:t>
      </w:r>
      <w:r w:rsidR="00EA599D">
        <w:rPr>
          <w:rFonts w:eastAsia="瀹嬩綋"/>
          <w:lang w:val="en"/>
        </w:rPr>
        <w:t>.</w:t>
      </w:r>
      <w:r w:rsidR="00852C75">
        <w:rPr>
          <w:rFonts w:eastAsia="瀹嬩綋"/>
          <w:lang w:val="en"/>
        </w:rPr>
        <w:t xml:space="preserve"> </w:t>
      </w:r>
      <w:r w:rsidR="00EA599D">
        <w:rPr>
          <w:rFonts w:eastAsia="瀹嬩綋"/>
        </w:rPr>
        <w:t>Nine</w:t>
      </w:r>
      <w:r w:rsidR="00852C75">
        <w:rPr>
          <w:rFonts w:eastAsia="瀹嬩綋" w:hint="eastAsia"/>
        </w:rPr>
        <w:t xml:space="preserve"> of them had</w:t>
      </w:r>
      <w:r w:rsidR="00852C75">
        <w:rPr>
          <w:rFonts w:eastAsia="瀹嬩綋"/>
          <w:lang w:val="en"/>
        </w:rPr>
        <w:t xml:space="preserve"> plasmacytomas that completely</w:t>
      </w:r>
      <w:r w:rsidR="00852C75">
        <w:rPr>
          <w:rFonts w:eastAsia="瀹嬩綋" w:hint="eastAsia"/>
        </w:rPr>
        <w:t xml:space="preserve"> </w:t>
      </w:r>
      <w:r w:rsidR="00852C75">
        <w:rPr>
          <w:rFonts w:eastAsia="瀹嬩綋"/>
          <w:lang w:val="en"/>
        </w:rPr>
        <w:t xml:space="preserve">disappeared or showed </w:t>
      </w:r>
      <w:r w:rsidR="00EA599D">
        <w:rPr>
          <w:rFonts w:eastAsia="瀹嬩綋"/>
          <w:lang w:val="en"/>
        </w:rPr>
        <w:t xml:space="preserve">the </w:t>
      </w:r>
      <w:r w:rsidR="00852C75">
        <w:rPr>
          <w:rFonts w:eastAsia="瀹嬩綋"/>
          <w:lang w:val="en"/>
        </w:rPr>
        <w:t xml:space="preserve">reduced size and/or metabolic activity, indicating that </w:t>
      </w:r>
      <w:r>
        <w:rPr>
          <w:rFonts w:eastAsia="瀹嬩綋"/>
          <w:lang w:val="en"/>
        </w:rPr>
        <w:t>Selinexor</w:t>
      </w:r>
      <w:r w:rsidR="00852C75">
        <w:rPr>
          <w:rFonts w:eastAsia="瀹嬩綋"/>
          <w:lang w:val="en"/>
        </w:rPr>
        <w:t xml:space="preserve"> remained effective in EMM patients receiving multiline therapy and even in patients with resistant EMM. </w:t>
      </w:r>
    </w:p>
    <w:p w14:paraId="0F63FEEE" w14:textId="4C0AC1C6" w:rsidR="00852C75" w:rsidRDefault="00F31A05" w:rsidP="004D2B89">
      <w:pPr>
        <w:pStyle w:val="30"/>
        <w:jc w:val="both"/>
        <w:rPr>
          <w:rFonts w:ascii="Times New Roman" w:eastAsia="微软雅黑" w:hAnsi="Times New Roman"/>
          <w:color w:val="000000"/>
          <w:szCs w:val="24"/>
          <w:lang w:val="en"/>
        </w:rPr>
      </w:pPr>
      <w:bookmarkStart w:id="29" w:name="_Toc112064823"/>
      <w:r>
        <w:rPr>
          <w:rFonts w:ascii="Times New Roman" w:eastAsia="微软雅黑" w:hAnsi="Times New Roman"/>
          <w:color w:val="000000"/>
          <w:szCs w:val="24"/>
          <w:lang w:val="en"/>
        </w:rPr>
        <w:t>Selinexor</w:t>
      </w:r>
      <w:r w:rsidR="00852C75">
        <w:rPr>
          <w:rFonts w:ascii="Times New Roman" w:eastAsia="微软雅黑" w:hAnsi="Times New Roman"/>
          <w:color w:val="000000"/>
          <w:szCs w:val="24"/>
          <w:lang w:val="en"/>
        </w:rPr>
        <w:t xml:space="preserve"> and T Cells</w:t>
      </w:r>
      <w:r w:rsidR="00852C75" w:rsidRPr="004E39E7">
        <w:rPr>
          <w:rFonts w:ascii="Times New Roman" w:eastAsia="微软雅黑" w:hAnsi="Times New Roman"/>
          <w:color w:val="000000"/>
          <w:szCs w:val="24"/>
          <w:lang w:val="en"/>
        </w:rPr>
        <w:t xml:space="preserve"> </w:t>
      </w:r>
      <w:r w:rsidR="00852C75">
        <w:rPr>
          <w:rFonts w:ascii="Times New Roman" w:eastAsia="微软雅黑" w:hAnsi="Times New Roman"/>
          <w:color w:val="000000"/>
          <w:szCs w:val="24"/>
          <w:lang w:val="en"/>
        </w:rPr>
        <w:t>Interactions</w:t>
      </w:r>
      <w:bookmarkEnd w:id="29"/>
    </w:p>
    <w:p w14:paraId="79BA95A7" w14:textId="6939CE35" w:rsidR="00852C75" w:rsidRDefault="00852C75" w:rsidP="004D2B89">
      <w:pPr>
        <w:jc w:val="both"/>
        <w:rPr>
          <w:rFonts w:eastAsia="瀹嬩綋"/>
        </w:rPr>
      </w:pPr>
      <w:r>
        <w:rPr>
          <w:rFonts w:eastAsia="瀹嬩綋"/>
          <w:lang w:val="en"/>
        </w:rPr>
        <w:t>As the nuclear export protein is necessary for the development and function of T cells, foreign studies have shown that high concentrations of XPO1 inhibitors can affect the function of CD8+ T cells. However, t</w:t>
      </w:r>
      <w:r w:rsidRPr="000A50F9">
        <w:rPr>
          <w:rFonts w:eastAsia="瀹嬩綋"/>
          <w:lang w:val="en"/>
        </w:rPr>
        <w:t>he effect on its function could be eliminated</w:t>
      </w:r>
      <w:r>
        <w:rPr>
          <w:rFonts w:eastAsia="瀹嬩綋"/>
          <w:lang w:val="en"/>
        </w:rPr>
        <w:t xml:space="preserve"> </w:t>
      </w:r>
      <w:r w:rsidRPr="000A50F9">
        <w:rPr>
          <w:rFonts w:eastAsia="瀹嬩綋"/>
          <w:lang w:val="en"/>
        </w:rPr>
        <w:t>by reducing the dose concentration (</w:t>
      </w:r>
      <w:r>
        <w:rPr>
          <w:rFonts w:eastAsia="瀹嬩綋"/>
          <w:lang w:val="en"/>
        </w:rPr>
        <w:t>below</w:t>
      </w:r>
      <w:r w:rsidRPr="000A50F9">
        <w:rPr>
          <w:rFonts w:eastAsia="瀹嬩綋"/>
          <w:lang w:val="en"/>
        </w:rPr>
        <w:t xml:space="preserve"> 100 </w:t>
      </w:r>
      <w:proofErr w:type="spellStart"/>
      <w:r w:rsidRPr="0028572D">
        <w:rPr>
          <w:rFonts w:eastAsia="瀹嬩綋"/>
          <w:lang w:val="en"/>
        </w:rPr>
        <w:t>nM</w:t>
      </w:r>
      <w:proofErr w:type="spellEnd"/>
      <w:r w:rsidRPr="000A50F9">
        <w:rPr>
          <w:rFonts w:eastAsia="瀹嬩綋"/>
          <w:lang w:val="en"/>
        </w:rPr>
        <w:t>) or extending the dosing interval, thereby maintaining normal immune homeostasis</w:t>
      </w:r>
      <w:r>
        <w:rPr>
          <w:rFonts w:eastAsia="瀹嬩綋"/>
          <w:lang w:val="en"/>
        </w:rPr>
        <w:t xml:space="preserve"> [</w:t>
      </w:r>
      <w:r w:rsidR="00145312">
        <w:rPr>
          <w:rFonts w:eastAsia="瀹嬩綋"/>
          <w:lang w:val="en"/>
        </w:rPr>
        <w:t>36</w:t>
      </w:r>
      <w:r>
        <w:rPr>
          <w:rFonts w:eastAsia="瀹嬩綋"/>
          <w:lang w:val="en"/>
        </w:rPr>
        <w:t xml:space="preserve">]. Data from the previous study showed that </w:t>
      </w:r>
      <w:r w:rsidR="00F31A05">
        <w:rPr>
          <w:rFonts w:eastAsia="瀹嬩綋"/>
          <w:lang w:val="en"/>
        </w:rPr>
        <w:t>Selinexor</w:t>
      </w:r>
      <w:r>
        <w:rPr>
          <w:rFonts w:eastAsia="瀹嬩綋"/>
          <w:lang w:val="en"/>
        </w:rPr>
        <w:t xml:space="preserve"> had no significant effect on the proliferation or apoptosis of CAR-T cells within the range of 500</w:t>
      </w:r>
      <w:r>
        <w:rPr>
          <w:rFonts w:eastAsia="瀹嬩綋"/>
        </w:rPr>
        <w:t> </w:t>
      </w:r>
      <w:proofErr w:type="spellStart"/>
      <w:r>
        <w:rPr>
          <w:rFonts w:eastAsia="瀹嬩綋"/>
          <w:lang w:val="en"/>
        </w:rPr>
        <w:t>nM.</w:t>
      </w:r>
      <w:proofErr w:type="spellEnd"/>
      <w:r>
        <w:rPr>
          <w:rFonts w:eastAsia="瀹嬩綋"/>
          <w:lang w:val="en"/>
        </w:rPr>
        <w:t xml:space="preserve"> </w:t>
      </w:r>
    </w:p>
    <w:p w14:paraId="154A41EE" w14:textId="2ECF0503" w:rsidR="0098684D" w:rsidRDefault="0098684D" w:rsidP="004D2B89">
      <w:pPr>
        <w:pStyle w:val="30"/>
        <w:jc w:val="both"/>
        <w:rPr>
          <w:rFonts w:ascii="Times New Roman" w:eastAsia="微软雅黑" w:hAnsi="Times New Roman"/>
          <w:color w:val="000000"/>
          <w:szCs w:val="24"/>
          <w:lang w:val="en"/>
        </w:rPr>
      </w:pPr>
      <w:bookmarkStart w:id="30" w:name="_Toc112064824"/>
      <w:r>
        <w:rPr>
          <w:rFonts w:ascii="Times New Roman" w:eastAsia="微软雅黑" w:hAnsi="Times New Roman"/>
          <w:color w:val="000000"/>
          <w:szCs w:val="24"/>
          <w:lang w:val="en"/>
        </w:rPr>
        <w:t xml:space="preserve">Common Adverse Events of </w:t>
      </w:r>
      <w:bookmarkEnd w:id="30"/>
      <w:r w:rsidR="00F31A05">
        <w:rPr>
          <w:rFonts w:ascii="Times New Roman" w:eastAsia="微软雅黑" w:hAnsi="Times New Roman"/>
          <w:color w:val="000000"/>
          <w:szCs w:val="24"/>
          <w:lang w:val="en"/>
        </w:rPr>
        <w:t>Selinexor</w:t>
      </w:r>
    </w:p>
    <w:p w14:paraId="5711BD47" w14:textId="1780F150" w:rsidR="0098684D" w:rsidRPr="0098684D" w:rsidRDefault="0098684D" w:rsidP="004D2B89">
      <w:pPr>
        <w:jc w:val="both"/>
        <w:rPr>
          <w:rFonts w:eastAsia="瀹嬩綋"/>
          <w:lang w:val="en"/>
        </w:rPr>
      </w:pPr>
      <w:r>
        <w:rPr>
          <w:rFonts w:eastAsia="瀹嬩綋" w:hint="eastAsia"/>
          <w:lang w:val="en"/>
        </w:rPr>
        <w:t xml:space="preserve">Patients enrolled in </w:t>
      </w:r>
      <w:r w:rsidR="00EA599D">
        <w:rPr>
          <w:rFonts w:eastAsia="瀹嬩綋"/>
          <w:lang w:val="en"/>
        </w:rPr>
        <w:t xml:space="preserve">the </w:t>
      </w:r>
      <w:r>
        <w:rPr>
          <w:rFonts w:eastAsia="瀹嬩綋" w:hint="eastAsia"/>
          <w:lang w:val="en"/>
        </w:rPr>
        <w:t xml:space="preserve">STORM study </w:t>
      </w:r>
      <w:r w:rsidRPr="0098684D">
        <w:rPr>
          <w:rFonts w:eastAsia="瀹嬩綋" w:hint="eastAsia"/>
          <w:lang w:val="en"/>
        </w:rPr>
        <w:t>were</w:t>
      </w:r>
      <w:r w:rsidRPr="0098684D">
        <w:rPr>
          <w:rStyle w:val="ac"/>
          <w:rFonts w:hint="eastAsia"/>
          <w:sz w:val="24"/>
          <w:szCs w:val="24"/>
        </w:rPr>
        <w:t xml:space="preserve"> t</w:t>
      </w:r>
      <w:proofErr w:type="spellStart"/>
      <w:r>
        <w:rPr>
          <w:rFonts w:eastAsia="瀹嬩綋" w:hint="eastAsia"/>
          <w:lang w:val="en"/>
        </w:rPr>
        <w:t>riple</w:t>
      </w:r>
      <w:proofErr w:type="spellEnd"/>
      <w:r>
        <w:rPr>
          <w:rFonts w:eastAsia="瀹嬩綋" w:hint="eastAsia"/>
          <w:lang w:val="en"/>
        </w:rPr>
        <w:t>-class refractory</w:t>
      </w:r>
      <w:r>
        <w:rPr>
          <w:rFonts w:eastAsia="瀹嬩綋"/>
          <w:lang w:val="en"/>
        </w:rPr>
        <w:t xml:space="preserve"> after </w:t>
      </w:r>
      <w:r w:rsidR="00EA599D">
        <w:rPr>
          <w:rFonts w:eastAsia="瀹嬩綋"/>
          <w:lang w:val="en"/>
        </w:rPr>
        <w:t xml:space="preserve">being </w:t>
      </w:r>
      <w:r>
        <w:rPr>
          <w:rFonts w:eastAsia="瀹嬩綋" w:hint="eastAsia"/>
          <w:lang w:val="en"/>
        </w:rPr>
        <w:t>penta-exposed</w:t>
      </w:r>
      <w:r>
        <w:rPr>
          <w:rFonts w:eastAsia="瀹嬩綋" w:hint="eastAsia"/>
        </w:rPr>
        <w:t xml:space="preserve"> to </w:t>
      </w:r>
      <w:r>
        <w:rPr>
          <w:rFonts w:eastAsia="瀹嬩綋" w:hint="eastAsia"/>
          <w:lang w:val="en"/>
        </w:rPr>
        <w:t>bortezomib, carfilzomib, lenalidomide</w:t>
      </w:r>
      <w:r>
        <w:rPr>
          <w:rFonts w:eastAsia="瀹嬩綋"/>
          <w:lang w:val="en"/>
        </w:rPr>
        <w:t>,</w:t>
      </w:r>
      <w:r>
        <w:rPr>
          <w:rFonts w:eastAsia="瀹嬩綋" w:hint="eastAsia"/>
          <w:lang w:val="en"/>
        </w:rPr>
        <w:t xml:space="preserve"> pomalidomide</w:t>
      </w:r>
      <w:r w:rsidR="00EA599D">
        <w:rPr>
          <w:rFonts w:eastAsia="瀹嬩綋"/>
          <w:lang w:val="en"/>
        </w:rPr>
        <w:t>,</w:t>
      </w:r>
      <w:r>
        <w:rPr>
          <w:rFonts w:eastAsia="瀹嬩綋" w:hint="eastAsia"/>
          <w:lang w:val="en"/>
        </w:rPr>
        <w:t xml:space="preserve"> and daratumumab, </w:t>
      </w:r>
      <w:r>
        <w:rPr>
          <w:rFonts w:eastAsia="瀹嬩綋"/>
          <w:lang w:val="en"/>
        </w:rPr>
        <w:t xml:space="preserve">with no significant organ toxicity or cumulative toxicity during the study. The most common Grade 1/2 AEs included gastrointestinal and systemic </w:t>
      </w:r>
      <w:r>
        <w:rPr>
          <w:rFonts w:eastAsia="瀹嬩綋" w:hint="eastAsia"/>
          <w:lang w:val="en"/>
        </w:rPr>
        <w:t>AEs</w:t>
      </w:r>
      <w:r>
        <w:rPr>
          <w:rFonts w:eastAsia="瀹嬩綋"/>
          <w:lang w:val="en"/>
        </w:rPr>
        <w:t xml:space="preserve">; the most common Grade </w:t>
      </w:r>
      <w:r w:rsidR="00F458B7">
        <w:rPr>
          <w:rFonts w:eastAsia="瀹嬩綋"/>
          <w:lang w:val="en"/>
        </w:rPr>
        <w:t>≥</w:t>
      </w:r>
      <w:r w:rsidR="00EA599D">
        <w:rPr>
          <w:rFonts w:eastAsia="瀹嬩綋"/>
          <w:lang w:val="en"/>
        </w:rPr>
        <w:t xml:space="preserve"> </w:t>
      </w:r>
      <w:r>
        <w:rPr>
          <w:rFonts w:eastAsia="瀹嬩綋"/>
          <w:lang w:val="en"/>
        </w:rPr>
        <w:t xml:space="preserve">3 AEs were mainly hematological adverse reactions, including neutropenia, thrombocytopenia, anemia, and leukopenia. The AEs could be effectively managed by </w:t>
      </w:r>
      <w:r>
        <w:rPr>
          <w:rFonts w:eastAsia="瀹嬩綋" w:hint="eastAsia"/>
          <w:lang w:val="en"/>
        </w:rPr>
        <w:t>supportive care</w:t>
      </w:r>
      <w:r>
        <w:rPr>
          <w:rFonts w:eastAsia="瀹嬩綋"/>
          <w:lang w:val="en"/>
        </w:rPr>
        <w:t xml:space="preserve"> and dose adjustments. </w:t>
      </w:r>
    </w:p>
    <w:p w14:paraId="299E1769" w14:textId="565F58F1" w:rsidR="00FC7470" w:rsidRPr="0098684D" w:rsidRDefault="0098684D" w:rsidP="004D2B89">
      <w:pPr>
        <w:pStyle w:val="20"/>
        <w:jc w:val="both"/>
        <w:rPr>
          <w:lang w:val="en"/>
        </w:rPr>
      </w:pPr>
      <w:bookmarkStart w:id="31" w:name="_Toc112064825"/>
      <w:r w:rsidRPr="0098684D">
        <w:rPr>
          <w:lang w:val="en"/>
        </w:rPr>
        <w:t xml:space="preserve">CT103A in Combination </w:t>
      </w:r>
      <w:r w:rsidR="00A32194">
        <w:rPr>
          <w:lang w:val="en"/>
        </w:rPr>
        <w:t>w</w:t>
      </w:r>
      <w:r w:rsidRPr="0098684D">
        <w:rPr>
          <w:lang w:val="en"/>
        </w:rPr>
        <w:t xml:space="preserve">ith </w:t>
      </w:r>
      <w:bookmarkEnd w:id="31"/>
      <w:r w:rsidR="00F31A05">
        <w:rPr>
          <w:lang w:val="en"/>
        </w:rPr>
        <w:t>Selinexor</w:t>
      </w:r>
    </w:p>
    <w:p w14:paraId="6B4D7812" w14:textId="2BD37062" w:rsidR="0098684D" w:rsidRPr="009D67B9" w:rsidRDefault="0098684D" w:rsidP="004D2B89">
      <w:pPr>
        <w:jc w:val="both"/>
        <w:rPr>
          <w:rFonts w:eastAsia="瀹嬩綋"/>
        </w:rPr>
      </w:pPr>
      <w:bookmarkStart w:id="32" w:name="_Toc505929687"/>
      <w:bookmarkStart w:id="33" w:name="_Toc505938516"/>
      <w:bookmarkStart w:id="34" w:name="_Toc506188853"/>
      <w:bookmarkStart w:id="35" w:name="_Toc233187141"/>
      <w:bookmarkStart w:id="36" w:name="_Toc233431165"/>
      <w:bookmarkEnd w:id="32"/>
      <w:bookmarkEnd w:id="33"/>
      <w:bookmarkEnd w:id="34"/>
      <w:r w:rsidRPr="009D67B9">
        <w:rPr>
          <w:rFonts w:eastAsia="瀹嬩綋"/>
          <w:lang w:val="en"/>
        </w:rPr>
        <w:t xml:space="preserve">This study will enroll patients with RR/MM with EMM who have received at least </w:t>
      </w:r>
      <w:r w:rsidR="00EA599D">
        <w:rPr>
          <w:rFonts w:eastAsia="瀹嬩綋"/>
          <w:lang w:val="en"/>
        </w:rPr>
        <w:t>three</w:t>
      </w:r>
      <w:r w:rsidRPr="009D67B9">
        <w:rPr>
          <w:rFonts w:eastAsia="瀹嬩綋"/>
          <w:lang w:val="en"/>
        </w:rPr>
        <w:t xml:space="preserve"> prior lines of therapy and have relapsed, progressed, or are refractory. This patient population has </w:t>
      </w:r>
      <w:r w:rsidR="00EA599D">
        <w:rPr>
          <w:rFonts w:eastAsia="瀹嬩綋"/>
          <w:lang w:val="en"/>
        </w:rPr>
        <w:t xml:space="preserve">a </w:t>
      </w:r>
      <w:r w:rsidRPr="009D67B9">
        <w:rPr>
          <w:rFonts w:eastAsia="瀹嬩綋"/>
          <w:lang w:val="en"/>
        </w:rPr>
        <w:t>low response rate and short median survival time</w:t>
      </w:r>
      <w:r w:rsidR="00EA599D">
        <w:rPr>
          <w:rFonts w:eastAsia="瀹嬩綋"/>
          <w:lang w:val="en"/>
        </w:rPr>
        <w:t>. M</w:t>
      </w:r>
      <w:r w:rsidRPr="009D67B9">
        <w:rPr>
          <w:rFonts w:eastAsia="瀹嬩綋"/>
          <w:lang w:val="en"/>
        </w:rPr>
        <w:t xml:space="preserve">any guidelines of MM in China and abroad suggest priority to include such population to participate in clinical studies. This study will use CT103A, a </w:t>
      </w:r>
      <w:r w:rsidR="00F31A05">
        <w:rPr>
          <w:rFonts w:eastAsia="瀹嬩綋"/>
          <w:lang w:val="en"/>
        </w:rPr>
        <w:t>fully human</w:t>
      </w:r>
      <w:r w:rsidRPr="009D67B9">
        <w:rPr>
          <w:rFonts w:eastAsia="瀹嬩綋"/>
          <w:lang w:val="en"/>
        </w:rPr>
        <w:t xml:space="preserve"> BCMA-targeted CAR-T cell product, in combination with </w:t>
      </w:r>
      <w:r w:rsidR="00F31A05">
        <w:rPr>
          <w:rFonts w:eastAsia="瀹嬩綋"/>
          <w:lang w:val="en"/>
        </w:rPr>
        <w:t>Selinexor</w:t>
      </w:r>
      <w:r w:rsidRPr="009D67B9">
        <w:rPr>
          <w:rFonts w:eastAsia="瀹嬩綋"/>
          <w:lang w:val="en"/>
        </w:rPr>
        <w:t xml:space="preserve"> to treat these patients and kill tumor cells through various mechanisms of action to improve the clinical efficacy of RR/MM patients with EMM. Based on the results of previous studies, after </w:t>
      </w:r>
      <w:r w:rsidR="00EA599D">
        <w:rPr>
          <w:rFonts w:eastAsia="瀹嬩綋"/>
          <w:lang w:val="en"/>
        </w:rPr>
        <w:t>one</w:t>
      </w:r>
      <w:r w:rsidRPr="009D67B9">
        <w:rPr>
          <w:rFonts w:eastAsia="瀹嬩綋"/>
          <w:lang w:val="en"/>
        </w:rPr>
        <w:t xml:space="preserve"> month of anti-BCMA CAR-T cell infusion and recovery of platelet count, the combination therapy with </w:t>
      </w:r>
      <w:r w:rsidR="00F31A05">
        <w:rPr>
          <w:rFonts w:eastAsia="瀹嬩綋"/>
          <w:lang w:val="en"/>
        </w:rPr>
        <w:t>Selinexor</w:t>
      </w:r>
      <w:r w:rsidRPr="009D67B9">
        <w:rPr>
          <w:rFonts w:eastAsia="瀹嬩綋"/>
          <w:lang w:val="en"/>
        </w:rPr>
        <w:t xml:space="preserve"> (20 mg/week or 40</w:t>
      </w:r>
      <w:r w:rsidRPr="009D67B9">
        <w:rPr>
          <w:rFonts w:eastAsia="瀹嬩綋"/>
        </w:rPr>
        <w:t> </w:t>
      </w:r>
      <w:r w:rsidRPr="009D67B9">
        <w:rPr>
          <w:rFonts w:eastAsia="瀹嬩綋"/>
          <w:lang w:val="en"/>
        </w:rPr>
        <w:t xml:space="preserve">mg/week, once a week) is selected, which is less than the conventionally recommended dose of </w:t>
      </w:r>
      <w:r w:rsidR="00F31A05">
        <w:rPr>
          <w:rFonts w:eastAsia="瀹嬩綋"/>
          <w:lang w:val="en"/>
        </w:rPr>
        <w:t>Selinexor</w:t>
      </w:r>
      <w:r w:rsidRPr="009D67B9">
        <w:rPr>
          <w:rFonts w:eastAsia="瀹嬩綋"/>
          <w:lang w:val="en"/>
        </w:rPr>
        <w:t xml:space="preserve">, so as to avoid potential adverse reactions. </w:t>
      </w:r>
    </w:p>
    <w:p w14:paraId="16043B4F" w14:textId="698B388A" w:rsidR="0098684D" w:rsidRPr="009D67B9" w:rsidRDefault="0098684D" w:rsidP="004D2B89">
      <w:pPr>
        <w:jc w:val="both"/>
        <w:rPr>
          <w:b/>
          <w:bCs/>
          <w:sz w:val="32"/>
          <w:szCs w:val="32"/>
        </w:rPr>
      </w:pPr>
      <w:r w:rsidRPr="009D67B9">
        <w:rPr>
          <w:rFonts w:eastAsia="瀹嬩綋"/>
          <w:lang w:val="en"/>
        </w:rPr>
        <w:t xml:space="preserve">The product used in this study, </w:t>
      </w:r>
      <w:r w:rsidR="00F31A05">
        <w:rPr>
          <w:rFonts w:eastAsia="瀹嬩綋"/>
          <w:lang w:val="en"/>
        </w:rPr>
        <w:t>Selinexor</w:t>
      </w:r>
      <w:r w:rsidRPr="009D67B9">
        <w:rPr>
          <w:rFonts w:eastAsia="瀹嬩綋"/>
          <w:lang w:val="en"/>
        </w:rPr>
        <w:t xml:space="preserve">, has been approved by the US FDA for patients with RR/MM. As the team leader of Phase I/II clinical study of CT103A, the safety and efficacy of CT103A have been fully verified. In addition, our site has extensive experience in clinical studies </w:t>
      </w:r>
      <w:r w:rsidRPr="009D67B9">
        <w:rPr>
          <w:rFonts w:eastAsia="瀹嬩綋"/>
          <w:lang w:val="en"/>
        </w:rPr>
        <w:lastRenderedPageBreak/>
        <w:t>of CAR-T, by weighing the benefit/risk ratio of patients participating in the clinical studies, it can be concluded that the clinical benefits of patients outweigh the potential risks, and participation in this study would be beneficial to patients.</w:t>
      </w:r>
    </w:p>
    <w:p w14:paraId="45CB20A8" w14:textId="28173E8B" w:rsidR="00FC7470" w:rsidRPr="00C820E8" w:rsidRDefault="00270C9D" w:rsidP="00FE0C5C">
      <w:pPr>
        <w:pStyle w:val="1"/>
      </w:pPr>
      <w:bookmarkStart w:id="37" w:name="_Toc112064826"/>
      <w:r w:rsidRPr="00C820E8">
        <w:lastRenderedPageBreak/>
        <w:t>S</w:t>
      </w:r>
      <w:bookmarkEnd w:id="35"/>
      <w:bookmarkEnd w:id="36"/>
      <w:r w:rsidRPr="00C820E8">
        <w:t>TUDY OBJECTIVES AND ENDPOINTS</w:t>
      </w:r>
      <w:bookmarkEnd w:id="37"/>
    </w:p>
    <w:p w14:paraId="1CB0A513" w14:textId="77777777" w:rsidR="00FC7470" w:rsidRPr="00C820E8" w:rsidRDefault="00FC7470" w:rsidP="006F53AF">
      <w:pPr>
        <w:pStyle w:val="20"/>
      </w:pPr>
      <w:bookmarkStart w:id="38" w:name="_Hlt482590618"/>
      <w:bookmarkStart w:id="39" w:name="_Toc112064827"/>
      <w:bookmarkEnd w:id="38"/>
      <w:r>
        <w:t>Study Objectives</w:t>
      </w:r>
      <w:bookmarkEnd w:id="39"/>
    </w:p>
    <w:p w14:paraId="3FB98DCA" w14:textId="07CE1132" w:rsidR="00FC7470" w:rsidRPr="00C820E8" w:rsidRDefault="00FC7470" w:rsidP="007C6DC5">
      <w:pPr>
        <w:pStyle w:val="30"/>
      </w:pPr>
      <w:bookmarkStart w:id="40" w:name="_Toc112064828"/>
      <w:r>
        <w:t>Primary Objective</w:t>
      </w:r>
      <w:bookmarkEnd w:id="40"/>
    </w:p>
    <w:p w14:paraId="3A5A56FD" w14:textId="13D9F7E7" w:rsidR="002B6CF5" w:rsidRPr="00C77526" w:rsidRDefault="0098684D" w:rsidP="003F1CEF">
      <w:pPr>
        <w:pStyle w:val="TableParagraph"/>
        <w:numPr>
          <w:ilvl w:val="0"/>
          <w:numId w:val="16"/>
        </w:numPr>
        <w:spacing w:after="120" w:line="276" w:lineRule="auto"/>
        <w:rPr>
          <w:sz w:val="24"/>
          <w:szCs w:val="24"/>
        </w:rPr>
      </w:pPr>
      <w:r>
        <w:rPr>
          <w:sz w:val="24"/>
          <w:szCs w:val="24"/>
          <w:lang w:val="en"/>
        </w:rPr>
        <w:t xml:space="preserve">To evaluate the efficacy of CT103A infusion in combination with </w:t>
      </w:r>
      <w:r w:rsidR="00F31A05">
        <w:rPr>
          <w:sz w:val="24"/>
          <w:szCs w:val="24"/>
          <w:lang w:val="en"/>
        </w:rPr>
        <w:t>Selinexor</w:t>
      </w:r>
      <w:r>
        <w:rPr>
          <w:sz w:val="24"/>
          <w:szCs w:val="24"/>
          <w:lang w:val="en"/>
        </w:rPr>
        <w:t xml:space="preserve"> in </w:t>
      </w:r>
      <w:r w:rsidR="00A32194">
        <w:rPr>
          <w:sz w:val="24"/>
          <w:szCs w:val="24"/>
          <w:lang w:val="en"/>
        </w:rPr>
        <w:t>patients with</w:t>
      </w:r>
      <w:r>
        <w:rPr>
          <w:sz w:val="24"/>
          <w:szCs w:val="24"/>
          <w:lang w:val="en"/>
        </w:rPr>
        <w:t xml:space="preserve"> relapsed/refractory EMM.</w:t>
      </w:r>
    </w:p>
    <w:p w14:paraId="16A43118" w14:textId="6F4A1329" w:rsidR="00FC7470" w:rsidRPr="00C820E8" w:rsidRDefault="00FC7470" w:rsidP="007C6DC5">
      <w:pPr>
        <w:pStyle w:val="30"/>
      </w:pPr>
      <w:bookmarkStart w:id="41" w:name="_Toc112064829"/>
      <w:r>
        <w:t>Secondary Objective</w:t>
      </w:r>
      <w:r w:rsidR="00FD5A04">
        <w:t>s</w:t>
      </w:r>
      <w:bookmarkEnd w:id="41"/>
    </w:p>
    <w:p w14:paraId="5AE245D6" w14:textId="4A6620A8" w:rsidR="0098684D" w:rsidRPr="009D67B9" w:rsidRDefault="0098684D" w:rsidP="003F1CEF">
      <w:pPr>
        <w:pStyle w:val="TableParagraph"/>
        <w:numPr>
          <w:ilvl w:val="0"/>
          <w:numId w:val="16"/>
        </w:numPr>
        <w:spacing w:after="120" w:line="276" w:lineRule="auto"/>
        <w:rPr>
          <w:sz w:val="24"/>
          <w:szCs w:val="24"/>
        </w:rPr>
      </w:pPr>
      <w:r w:rsidRPr="009D67B9">
        <w:rPr>
          <w:sz w:val="24"/>
          <w:szCs w:val="24"/>
          <w:lang w:val="en"/>
        </w:rPr>
        <w:t xml:space="preserve">To evaluate the safety of CT103A infusion in combination with </w:t>
      </w:r>
      <w:r w:rsidR="00F31A05">
        <w:rPr>
          <w:sz w:val="24"/>
          <w:szCs w:val="24"/>
          <w:lang w:val="en"/>
        </w:rPr>
        <w:t>Selinexor</w:t>
      </w:r>
      <w:r w:rsidRPr="009D67B9">
        <w:rPr>
          <w:sz w:val="24"/>
          <w:szCs w:val="24"/>
          <w:lang w:val="en"/>
        </w:rPr>
        <w:t xml:space="preserve"> in patients with relapsed/refractory EMM.</w:t>
      </w:r>
    </w:p>
    <w:p w14:paraId="33FC12E7" w14:textId="43D90FA9" w:rsidR="00FC7470" w:rsidRPr="009D67B9" w:rsidRDefault="0098684D" w:rsidP="003F1CEF">
      <w:pPr>
        <w:pStyle w:val="TableParagraph"/>
        <w:numPr>
          <w:ilvl w:val="0"/>
          <w:numId w:val="16"/>
        </w:numPr>
        <w:spacing w:after="120" w:line="276" w:lineRule="auto"/>
        <w:rPr>
          <w:sz w:val="24"/>
          <w:szCs w:val="24"/>
        </w:rPr>
      </w:pPr>
      <w:r w:rsidRPr="009D67B9">
        <w:rPr>
          <w:sz w:val="24"/>
          <w:szCs w:val="24"/>
          <w:lang w:val="en"/>
        </w:rPr>
        <w:t xml:space="preserve">To evaluate the PK characteristics </w:t>
      </w:r>
      <w:r w:rsidR="006C7852" w:rsidRPr="008E34DC">
        <w:rPr>
          <w:sz w:val="24"/>
          <w:szCs w:val="24"/>
        </w:rPr>
        <w:t xml:space="preserve">after </w:t>
      </w:r>
      <w:r w:rsidR="006C7852">
        <w:rPr>
          <w:sz w:val="24"/>
          <w:szCs w:val="24"/>
        </w:rPr>
        <w:t xml:space="preserve">administrations of </w:t>
      </w:r>
      <w:r w:rsidR="006C7852" w:rsidRPr="008E34DC">
        <w:rPr>
          <w:sz w:val="24"/>
          <w:szCs w:val="24"/>
        </w:rPr>
        <w:t xml:space="preserve">CT103A </w:t>
      </w:r>
      <w:r w:rsidR="006C7852">
        <w:rPr>
          <w:sz w:val="24"/>
          <w:szCs w:val="24"/>
        </w:rPr>
        <w:t>and Selinexor</w:t>
      </w:r>
      <w:r w:rsidRPr="009D67B9">
        <w:rPr>
          <w:sz w:val="24"/>
          <w:szCs w:val="24"/>
          <w:lang w:val="en"/>
        </w:rPr>
        <w:t>.</w:t>
      </w:r>
    </w:p>
    <w:p w14:paraId="2303CD1E" w14:textId="60354074" w:rsidR="0098684D" w:rsidRPr="009D67B9" w:rsidRDefault="0098684D" w:rsidP="003F1CEF">
      <w:pPr>
        <w:pStyle w:val="TableParagraph"/>
        <w:numPr>
          <w:ilvl w:val="0"/>
          <w:numId w:val="16"/>
        </w:numPr>
        <w:spacing w:after="120" w:line="276" w:lineRule="auto"/>
        <w:rPr>
          <w:sz w:val="24"/>
          <w:szCs w:val="24"/>
        </w:rPr>
      </w:pPr>
      <w:r w:rsidRPr="009D67B9">
        <w:rPr>
          <w:sz w:val="24"/>
          <w:szCs w:val="24"/>
          <w:lang w:val="en"/>
        </w:rPr>
        <w:t xml:space="preserve">To evaluate the pharmacodynamic (PD) characteristics </w:t>
      </w:r>
      <w:r w:rsidR="006C7852" w:rsidRPr="008E34DC">
        <w:rPr>
          <w:sz w:val="24"/>
          <w:szCs w:val="24"/>
        </w:rPr>
        <w:t xml:space="preserve">after </w:t>
      </w:r>
      <w:r w:rsidR="006C7852">
        <w:rPr>
          <w:sz w:val="24"/>
          <w:szCs w:val="24"/>
        </w:rPr>
        <w:t xml:space="preserve">administrations of </w:t>
      </w:r>
      <w:r w:rsidR="006C7852" w:rsidRPr="008E34DC">
        <w:rPr>
          <w:sz w:val="24"/>
          <w:szCs w:val="24"/>
        </w:rPr>
        <w:t xml:space="preserve">CT103A </w:t>
      </w:r>
      <w:r w:rsidR="006C7852">
        <w:rPr>
          <w:sz w:val="24"/>
          <w:szCs w:val="24"/>
        </w:rPr>
        <w:t>and Selinexor</w:t>
      </w:r>
      <w:r w:rsidRPr="009D67B9">
        <w:rPr>
          <w:sz w:val="24"/>
          <w:szCs w:val="24"/>
          <w:lang w:val="en"/>
        </w:rPr>
        <w:t>.</w:t>
      </w:r>
    </w:p>
    <w:p w14:paraId="077CCBF3" w14:textId="2299FE37" w:rsidR="0098684D" w:rsidRPr="009D67B9" w:rsidRDefault="0098684D" w:rsidP="003F1CEF">
      <w:pPr>
        <w:pStyle w:val="TableParagraph"/>
        <w:numPr>
          <w:ilvl w:val="0"/>
          <w:numId w:val="16"/>
        </w:numPr>
        <w:spacing w:after="120" w:line="276" w:lineRule="auto"/>
        <w:rPr>
          <w:sz w:val="24"/>
          <w:szCs w:val="24"/>
        </w:rPr>
      </w:pPr>
      <w:r w:rsidRPr="009D67B9">
        <w:rPr>
          <w:sz w:val="24"/>
          <w:szCs w:val="24"/>
          <w:lang w:val="en"/>
        </w:rPr>
        <w:t xml:space="preserve">To evaluate the patients’ quality of life </w:t>
      </w:r>
      <w:r w:rsidR="006C7852" w:rsidRPr="008E34DC">
        <w:rPr>
          <w:sz w:val="24"/>
          <w:szCs w:val="24"/>
        </w:rPr>
        <w:t xml:space="preserve">after </w:t>
      </w:r>
      <w:r w:rsidR="006C7852">
        <w:rPr>
          <w:sz w:val="24"/>
          <w:szCs w:val="24"/>
        </w:rPr>
        <w:t xml:space="preserve">administrations of </w:t>
      </w:r>
      <w:r w:rsidR="006C7852" w:rsidRPr="008E34DC">
        <w:rPr>
          <w:sz w:val="24"/>
          <w:szCs w:val="24"/>
        </w:rPr>
        <w:t xml:space="preserve">CT103A </w:t>
      </w:r>
      <w:r w:rsidR="006C7852">
        <w:rPr>
          <w:sz w:val="24"/>
          <w:szCs w:val="24"/>
        </w:rPr>
        <w:t>and Selinexor</w:t>
      </w:r>
      <w:r w:rsidRPr="009D67B9">
        <w:rPr>
          <w:sz w:val="24"/>
          <w:szCs w:val="24"/>
          <w:lang w:val="en"/>
        </w:rPr>
        <w:t>.</w:t>
      </w:r>
    </w:p>
    <w:p w14:paraId="7441CF9D" w14:textId="79624ECD" w:rsidR="0098684D" w:rsidRPr="009D67B9" w:rsidRDefault="0098684D" w:rsidP="003F1CEF">
      <w:pPr>
        <w:pStyle w:val="TableParagraph"/>
        <w:numPr>
          <w:ilvl w:val="0"/>
          <w:numId w:val="16"/>
        </w:numPr>
        <w:spacing w:after="120" w:line="276" w:lineRule="auto"/>
        <w:rPr>
          <w:sz w:val="24"/>
          <w:szCs w:val="24"/>
        </w:rPr>
      </w:pPr>
      <w:r w:rsidRPr="009D67B9">
        <w:rPr>
          <w:sz w:val="24"/>
          <w:szCs w:val="24"/>
          <w:lang w:val="en"/>
        </w:rPr>
        <w:t xml:space="preserve">To evaluate the immune status of patients </w:t>
      </w:r>
      <w:r w:rsidR="009366EC" w:rsidRPr="008E34DC">
        <w:rPr>
          <w:sz w:val="24"/>
          <w:szCs w:val="24"/>
        </w:rPr>
        <w:t xml:space="preserve">after </w:t>
      </w:r>
      <w:r w:rsidR="009366EC">
        <w:rPr>
          <w:sz w:val="24"/>
          <w:szCs w:val="24"/>
        </w:rPr>
        <w:t xml:space="preserve">administrations of </w:t>
      </w:r>
      <w:r w:rsidR="009366EC" w:rsidRPr="008E34DC">
        <w:rPr>
          <w:sz w:val="24"/>
          <w:szCs w:val="24"/>
        </w:rPr>
        <w:t xml:space="preserve">CT103A </w:t>
      </w:r>
      <w:r w:rsidR="009366EC">
        <w:rPr>
          <w:sz w:val="24"/>
          <w:szCs w:val="24"/>
        </w:rPr>
        <w:t>and Selinexor</w:t>
      </w:r>
      <w:r w:rsidRPr="009D67B9">
        <w:rPr>
          <w:sz w:val="24"/>
          <w:szCs w:val="24"/>
          <w:lang w:val="en"/>
        </w:rPr>
        <w:t>.</w:t>
      </w:r>
    </w:p>
    <w:p w14:paraId="686DEFB2" w14:textId="37A96FCC" w:rsidR="00FC7470" w:rsidRPr="00C820E8" w:rsidRDefault="00FC7470" w:rsidP="007C6DC5">
      <w:pPr>
        <w:pStyle w:val="30"/>
      </w:pPr>
      <w:bookmarkStart w:id="42" w:name="_Toc112064830"/>
      <w:r>
        <w:t>Exploratory Objective</w:t>
      </w:r>
      <w:bookmarkEnd w:id="42"/>
    </w:p>
    <w:p w14:paraId="5C918051" w14:textId="0CD880AF" w:rsidR="00FC7470" w:rsidRPr="00ED46D3" w:rsidRDefault="0098684D" w:rsidP="003F1CEF">
      <w:pPr>
        <w:pStyle w:val="TableParagraph"/>
        <w:numPr>
          <w:ilvl w:val="0"/>
          <w:numId w:val="16"/>
        </w:numPr>
        <w:spacing w:after="120" w:line="276" w:lineRule="auto"/>
        <w:rPr>
          <w:sz w:val="24"/>
          <w:szCs w:val="24"/>
        </w:rPr>
      </w:pPr>
      <w:r w:rsidRPr="00ED46D3">
        <w:rPr>
          <w:rFonts w:eastAsia="TimesNewRomanPSMT"/>
          <w:sz w:val="24"/>
          <w:szCs w:val="24"/>
          <w:lang w:val="en"/>
        </w:rPr>
        <w:t xml:space="preserve">To explore the effect of </w:t>
      </w:r>
      <w:r w:rsidR="00F31A05">
        <w:rPr>
          <w:rFonts w:eastAsia="TimesNewRomanPSMT"/>
          <w:sz w:val="24"/>
          <w:szCs w:val="24"/>
          <w:lang w:val="en"/>
        </w:rPr>
        <w:t>Selinexor</w:t>
      </w:r>
      <w:r w:rsidRPr="00ED46D3">
        <w:rPr>
          <w:rFonts w:eastAsia="TimesNewRomanPSMT"/>
          <w:sz w:val="24"/>
          <w:szCs w:val="24"/>
          <w:lang w:val="en"/>
        </w:rPr>
        <w:t xml:space="preserve"> on CT103A.</w:t>
      </w:r>
    </w:p>
    <w:p w14:paraId="54F4788B" w14:textId="77777777" w:rsidR="00FC7470" w:rsidRPr="00C820E8" w:rsidRDefault="00FC7470" w:rsidP="006F53AF">
      <w:pPr>
        <w:pStyle w:val="20"/>
      </w:pPr>
      <w:bookmarkStart w:id="43" w:name="_Toc112064831"/>
      <w:r>
        <w:t>Study Endpoints</w:t>
      </w:r>
      <w:bookmarkEnd w:id="43"/>
    </w:p>
    <w:p w14:paraId="30AE0C27" w14:textId="2A728AEA" w:rsidR="00FC7470" w:rsidRDefault="00FC7470" w:rsidP="007C6DC5">
      <w:pPr>
        <w:pStyle w:val="30"/>
      </w:pPr>
      <w:bookmarkStart w:id="44" w:name="_Toc112064832"/>
      <w:r>
        <w:t>Primary Endpoint</w:t>
      </w:r>
      <w:bookmarkEnd w:id="44"/>
    </w:p>
    <w:p w14:paraId="07480AD4" w14:textId="1184B699" w:rsidR="0098684D" w:rsidRPr="009D67B9" w:rsidRDefault="0098684D" w:rsidP="009D67B9">
      <w:pPr>
        <w:pStyle w:val="13"/>
        <w:spacing w:beforeLines="0" w:after="120" w:line="276" w:lineRule="auto"/>
        <w:ind w:firstLineChars="0" w:firstLine="0"/>
        <w:rPr>
          <w:sz w:val="24"/>
          <w:szCs w:val="24"/>
        </w:rPr>
      </w:pPr>
      <w:r w:rsidRPr="009D67B9">
        <w:rPr>
          <w:sz w:val="24"/>
          <w:szCs w:val="24"/>
          <w:lang w:val="en"/>
        </w:rPr>
        <w:t xml:space="preserve">Primary efficacy endpoint (according to International Myeloma Working Group [IMWG] criteria): </w:t>
      </w:r>
    </w:p>
    <w:p w14:paraId="164F24BD" w14:textId="7A20BD97" w:rsidR="0098684D" w:rsidRPr="009D67B9" w:rsidRDefault="0098684D" w:rsidP="009D67B9">
      <w:pPr>
        <w:pStyle w:val="TableParagraph"/>
        <w:numPr>
          <w:ilvl w:val="0"/>
          <w:numId w:val="16"/>
        </w:numPr>
        <w:spacing w:after="120" w:line="276" w:lineRule="auto"/>
        <w:rPr>
          <w:rFonts w:eastAsia="TimesNewRomanPSMT"/>
          <w:sz w:val="24"/>
          <w:szCs w:val="24"/>
          <w:lang w:val="en"/>
        </w:rPr>
      </w:pPr>
      <w:r w:rsidRPr="009D67B9">
        <w:rPr>
          <w:rFonts w:eastAsia="TimesNewRomanPSMT"/>
          <w:sz w:val="24"/>
          <w:szCs w:val="24"/>
          <w:lang w:val="en"/>
        </w:rPr>
        <w:t xml:space="preserve">PFS: the time from the CT103A infusion to disease progression or death from any </w:t>
      </w:r>
      <w:r w:rsidR="00A32194" w:rsidRPr="009D67B9">
        <w:rPr>
          <w:rFonts w:eastAsia="TimesNewRomanPSMT"/>
          <w:sz w:val="24"/>
          <w:szCs w:val="24"/>
          <w:lang w:val="en"/>
        </w:rPr>
        <w:t>cause.</w:t>
      </w:r>
      <w:r w:rsidRPr="009D67B9">
        <w:rPr>
          <w:rFonts w:eastAsia="TimesNewRomanPSMT"/>
          <w:sz w:val="24"/>
          <w:szCs w:val="24"/>
          <w:lang w:val="en"/>
        </w:rPr>
        <w:t xml:space="preserve"> </w:t>
      </w:r>
    </w:p>
    <w:p w14:paraId="1E5B9BB6" w14:textId="52F8D50F" w:rsidR="0098684D" w:rsidRPr="009D67B9" w:rsidRDefault="0098684D" w:rsidP="009D67B9">
      <w:pPr>
        <w:pStyle w:val="TableParagraph"/>
        <w:numPr>
          <w:ilvl w:val="0"/>
          <w:numId w:val="16"/>
        </w:numPr>
        <w:spacing w:after="120" w:line="276" w:lineRule="auto"/>
        <w:rPr>
          <w:rFonts w:eastAsia="TimesNewRomanPSMT"/>
          <w:sz w:val="24"/>
          <w:szCs w:val="24"/>
          <w:lang w:val="en"/>
        </w:rPr>
      </w:pPr>
      <w:r w:rsidRPr="009D67B9">
        <w:rPr>
          <w:rFonts w:eastAsia="TimesNewRomanPSMT"/>
          <w:sz w:val="24"/>
          <w:szCs w:val="24"/>
          <w:lang w:val="en"/>
        </w:rPr>
        <w:t xml:space="preserve">ORR: the proportion of patients who achieved </w:t>
      </w:r>
      <w:r w:rsidR="00662C37">
        <w:rPr>
          <w:rFonts w:eastAsia="TimesNewRomanPSMT"/>
          <w:sz w:val="24"/>
          <w:szCs w:val="24"/>
          <w:lang w:val="en"/>
        </w:rPr>
        <w:t>s</w:t>
      </w:r>
      <w:r w:rsidR="00662C37" w:rsidRPr="00662C37">
        <w:rPr>
          <w:rFonts w:eastAsia="TimesNewRomanPSMT"/>
          <w:sz w:val="24"/>
          <w:szCs w:val="24"/>
          <w:lang w:val="en"/>
        </w:rPr>
        <w:t xml:space="preserve">tringent complete response </w:t>
      </w:r>
      <w:r w:rsidR="00662C37">
        <w:rPr>
          <w:rFonts w:eastAsia="TimesNewRomanPSMT"/>
          <w:sz w:val="24"/>
          <w:szCs w:val="24"/>
          <w:lang w:val="en"/>
        </w:rPr>
        <w:t>(</w:t>
      </w:r>
      <w:proofErr w:type="spellStart"/>
      <w:r w:rsidRPr="004322E6">
        <w:rPr>
          <w:rFonts w:eastAsia="TimesNewRomanPSMT"/>
          <w:sz w:val="24"/>
          <w:szCs w:val="24"/>
          <w:lang w:val="en"/>
        </w:rPr>
        <w:t>sCR</w:t>
      </w:r>
      <w:proofErr w:type="spellEnd"/>
      <w:r w:rsidR="00662C37">
        <w:rPr>
          <w:rFonts w:eastAsia="TimesNewRomanPSMT"/>
          <w:sz w:val="24"/>
          <w:szCs w:val="24"/>
          <w:lang w:val="en"/>
        </w:rPr>
        <w:t>)</w:t>
      </w:r>
      <w:r w:rsidRPr="004322E6">
        <w:rPr>
          <w:rFonts w:eastAsia="TimesNewRomanPSMT"/>
          <w:sz w:val="24"/>
          <w:szCs w:val="24"/>
          <w:lang w:val="en"/>
        </w:rPr>
        <w:t xml:space="preserve">, </w:t>
      </w:r>
      <w:r w:rsidR="00662C37">
        <w:rPr>
          <w:rFonts w:eastAsia="TimesNewRomanPSMT"/>
          <w:sz w:val="24"/>
          <w:szCs w:val="24"/>
          <w:lang w:val="en"/>
        </w:rPr>
        <w:t>c</w:t>
      </w:r>
      <w:r w:rsidR="00662C37" w:rsidRPr="00662C37">
        <w:rPr>
          <w:rFonts w:eastAsia="TimesNewRomanPSMT"/>
          <w:sz w:val="24"/>
          <w:szCs w:val="24"/>
          <w:lang w:val="en"/>
        </w:rPr>
        <w:t xml:space="preserve">omplete response </w:t>
      </w:r>
      <w:r w:rsidR="00662C37">
        <w:rPr>
          <w:rFonts w:eastAsia="TimesNewRomanPSMT"/>
          <w:sz w:val="24"/>
          <w:szCs w:val="24"/>
          <w:lang w:val="en"/>
        </w:rPr>
        <w:t>(</w:t>
      </w:r>
      <w:r w:rsidRPr="004322E6">
        <w:rPr>
          <w:rFonts w:eastAsia="TimesNewRomanPSMT"/>
          <w:sz w:val="24"/>
          <w:szCs w:val="24"/>
          <w:lang w:val="en"/>
        </w:rPr>
        <w:t>CR</w:t>
      </w:r>
      <w:r w:rsidR="00662C37">
        <w:rPr>
          <w:rFonts w:eastAsia="TimesNewRomanPSMT"/>
          <w:sz w:val="24"/>
          <w:szCs w:val="24"/>
          <w:lang w:val="en"/>
        </w:rPr>
        <w:t>)</w:t>
      </w:r>
      <w:r w:rsidRPr="004322E6">
        <w:rPr>
          <w:rFonts w:eastAsia="TimesNewRomanPSMT"/>
          <w:sz w:val="24"/>
          <w:szCs w:val="24"/>
          <w:lang w:val="en"/>
        </w:rPr>
        <w:t xml:space="preserve">, </w:t>
      </w:r>
      <w:r w:rsidR="00662C37">
        <w:rPr>
          <w:rFonts w:eastAsia="TimesNewRomanPSMT"/>
          <w:sz w:val="24"/>
          <w:szCs w:val="24"/>
          <w:lang w:val="en"/>
        </w:rPr>
        <w:t>v</w:t>
      </w:r>
      <w:r w:rsidR="00662C37" w:rsidRPr="00662C37">
        <w:rPr>
          <w:rFonts w:eastAsia="TimesNewRomanPSMT"/>
          <w:sz w:val="24"/>
          <w:szCs w:val="24"/>
          <w:lang w:val="en"/>
        </w:rPr>
        <w:t xml:space="preserve">ery good partial response </w:t>
      </w:r>
      <w:r w:rsidR="00662C37">
        <w:rPr>
          <w:rFonts w:eastAsia="TimesNewRomanPSMT"/>
          <w:sz w:val="24"/>
          <w:szCs w:val="24"/>
          <w:lang w:val="en"/>
        </w:rPr>
        <w:t>(</w:t>
      </w:r>
      <w:r w:rsidRPr="004322E6">
        <w:rPr>
          <w:rFonts w:eastAsia="TimesNewRomanPSMT"/>
          <w:sz w:val="24"/>
          <w:szCs w:val="24"/>
          <w:lang w:val="en"/>
        </w:rPr>
        <w:t>VGPR</w:t>
      </w:r>
      <w:r w:rsidR="00662C37">
        <w:rPr>
          <w:rFonts w:eastAsia="TimesNewRomanPSMT"/>
          <w:sz w:val="24"/>
          <w:szCs w:val="24"/>
          <w:lang w:val="en"/>
        </w:rPr>
        <w:t>)</w:t>
      </w:r>
      <w:r w:rsidRPr="004322E6">
        <w:rPr>
          <w:rFonts w:eastAsia="TimesNewRomanPSMT"/>
          <w:sz w:val="24"/>
          <w:szCs w:val="24"/>
          <w:lang w:val="en"/>
        </w:rPr>
        <w:t xml:space="preserve">, or </w:t>
      </w:r>
      <w:r w:rsidR="00662C37">
        <w:rPr>
          <w:rFonts w:eastAsia="TimesNewRomanPSMT"/>
          <w:sz w:val="24"/>
          <w:szCs w:val="24"/>
          <w:lang w:val="en"/>
        </w:rPr>
        <w:t>p</w:t>
      </w:r>
      <w:r w:rsidR="00662C37" w:rsidRPr="00662C37">
        <w:rPr>
          <w:rFonts w:eastAsia="TimesNewRomanPSMT"/>
          <w:sz w:val="24"/>
          <w:szCs w:val="24"/>
          <w:lang w:val="en"/>
        </w:rPr>
        <w:t xml:space="preserve">artial response </w:t>
      </w:r>
      <w:r w:rsidR="00662C37">
        <w:rPr>
          <w:rFonts w:eastAsia="TimesNewRomanPSMT"/>
          <w:sz w:val="24"/>
          <w:szCs w:val="24"/>
          <w:lang w:val="en"/>
        </w:rPr>
        <w:t>(</w:t>
      </w:r>
      <w:r w:rsidRPr="004322E6">
        <w:rPr>
          <w:rFonts w:eastAsia="TimesNewRomanPSMT"/>
          <w:sz w:val="24"/>
          <w:szCs w:val="24"/>
          <w:lang w:val="en"/>
        </w:rPr>
        <w:t>PR</w:t>
      </w:r>
      <w:r w:rsidR="00662C37">
        <w:rPr>
          <w:rFonts w:eastAsia="TimesNewRomanPSMT"/>
          <w:sz w:val="24"/>
          <w:szCs w:val="24"/>
          <w:lang w:val="en"/>
        </w:rPr>
        <w:t>)</w:t>
      </w:r>
      <w:r w:rsidR="00A32194">
        <w:rPr>
          <w:rFonts w:asciiTheme="minorEastAsia" w:eastAsiaTheme="minorEastAsia" w:hAnsiTheme="minorEastAsia" w:hint="eastAsia"/>
          <w:sz w:val="24"/>
          <w:szCs w:val="24"/>
          <w:lang w:val="en" w:eastAsia="zh-CN"/>
        </w:rPr>
        <w:t>.</w:t>
      </w:r>
    </w:p>
    <w:p w14:paraId="624C729E" w14:textId="7E309285" w:rsidR="0098684D" w:rsidRPr="009D67B9" w:rsidRDefault="0098684D" w:rsidP="009D67B9">
      <w:pPr>
        <w:pStyle w:val="TableParagraph"/>
        <w:numPr>
          <w:ilvl w:val="0"/>
          <w:numId w:val="16"/>
        </w:numPr>
        <w:spacing w:after="120" w:line="276" w:lineRule="auto"/>
        <w:rPr>
          <w:rFonts w:eastAsia="TimesNewRomanPSMT"/>
          <w:sz w:val="24"/>
          <w:szCs w:val="24"/>
          <w:lang w:val="en"/>
        </w:rPr>
      </w:pPr>
      <w:r w:rsidRPr="009D67B9">
        <w:rPr>
          <w:rFonts w:eastAsia="TimesNewRomanPSMT"/>
          <w:sz w:val="24"/>
          <w:szCs w:val="24"/>
          <w:lang w:val="en"/>
        </w:rPr>
        <w:t>Duration of response (DOR): the time from the first evaluation of PR or</w:t>
      </w:r>
      <w:r w:rsidR="00EA599D">
        <w:rPr>
          <w:rFonts w:eastAsia="TimesNewRomanPSMT"/>
          <w:sz w:val="24"/>
          <w:szCs w:val="24"/>
          <w:lang w:val="en"/>
        </w:rPr>
        <w:t>,</w:t>
      </w:r>
      <w:r w:rsidRPr="009D67B9">
        <w:rPr>
          <w:rFonts w:eastAsia="TimesNewRomanPSMT"/>
          <w:sz w:val="24"/>
          <w:szCs w:val="24"/>
          <w:lang w:val="en"/>
        </w:rPr>
        <w:t xml:space="preserve"> better to</w:t>
      </w:r>
      <w:r w:rsidR="00EA599D">
        <w:rPr>
          <w:rFonts w:eastAsia="TimesNewRomanPSMT"/>
          <w:sz w:val="24"/>
          <w:szCs w:val="24"/>
          <w:lang w:val="en"/>
        </w:rPr>
        <w:t>,</w:t>
      </w:r>
      <w:r w:rsidRPr="009D67B9">
        <w:rPr>
          <w:rFonts w:eastAsia="TimesNewRomanPSMT"/>
          <w:sz w:val="24"/>
          <w:szCs w:val="24"/>
          <w:lang w:val="en"/>
        </w:rPr>
        <w:t xml:space="preserve"> the </w:t>
      </w:r>
      <w:r w:rsidR="00EA599D">
        <w:rPr>
          <w:rFonts w:eastAsia="TimesNewRomanPSMT"/>
          <w:sz w:val="24"/>
          <w:szCs w:val="24"/>
          <w:lang w:val="en"/>
        </w:rPr>
        <w:t>initial assessment</w:t>
      </w:r>
      <w:r w:rsidRPr="009D67B9">
        <w:rPr>
          <w:rFonts w:eastAsia="TimesNewRomanPSMT"/>
          <w:sz w:val="24"/>
          <w:szCs w:val="24"/>
          <w:lang w:val="en"/>
        </w:rPr>
        <w:t xml:space="preserve"> of disease progression or death from any cause. </w:t>
      </w:r>
    </w:p>
    <w:p w14:paraId="633FEEF7" w14:textId="15E6C241" w:rsidR="00FC7470" w:rsidRDefault="00FC7470" w:rsidP="007C6DC5">
      <w:pPr>
        <w:pStyle w:val="30"/>
      </w:pPr>
      <w:bookmarkStart w:id="45" w:name="_Toc112064833"/>
      <w:r>
        <w:t>Secondary Endpoints</w:t>
      </w:r>
      <w:bookmarkEnd w:id="45"/>
    </w:p>
    <w:p w14:paraId="50B6E1DF" w14:textId="7C566B11" w:rsidR="00432A01" w:rsidRPr="009D67B9" w:rsidRDefault="00432A01" w:rsidP="009D67B9">
      <w:pPr>
        <w:pStyle w:val="TableParagraph"/>
        <w:numPr>
          <w:ilvl w:val="0"/>
          <w:numId w:val="16"/>
        </w:numPr>
        <w:spacing w:after="120" w:line="276" w:lineRule="auto"/>
        <w:rPr>
          <w:rFonts w:eastAsia="TimesNewRomanPSMT"/>
          <w:sz w:val="24"/>
          <w:szCs w:val="24"/>
          <w:lang w:val="en"/>
        </w:rPr>
      </w:pPr>
      <w:r w:rsidRPr="009D67B9">
        <w:rPr>
          <w:rFonts w:eastAsia="TimesNewRomanPSMT"/>
          <w:sz w:val="24"/>
          <w:szCs w:val="24"/>
          <w:lang w:val="en"/>
        </w:rPr>
        <w:t xml:space="preserve">Secondary efficacy endpoints (according to IMWG criteria): </w:t>
      </w:r>
    </w:p>
    <w:p w14:paraId="413A6989" w14:textId="2F12914B" w:rsidR="00432A01" w:rsidRPr="009D67B9" w:rsidRDefault="00432A01" w:rsidP="009D67B9">
      <w:pPr>
        <w:pStyle w:val="13"/>
        <w:numPr>
          <w:ilvl w:val="0"/>
          <w:numId w:val="51"/>
        </w:numPr>
        <w:spacing w:beforeLines="0" w:after="120" w:line="276" w:lineRule="auto"/>
        <w:ind w:left="1080" w:firstLineChars="0"/>
        <w:rPr>
          <w:sz w:val="24"/>
          <w:szCs w:val="24"/>
          <w:lang w:val="en"/>
        </w:rPr>
      </w:pPr>
      <w:r w:rsidRPr="009D67B9">
        <w:rPr>
          <w:sz w:val="24"/>
          <w:szCs w:val="24"/>
          <w:lang w:val="en"/>
        </w:rPr>
        <w:t xml:space="preserve">OS: the time from CT103A infusion to death from any </w:t>
      </w:r>
      <w:r w:rsidR="00A32194" w:rsidRPr="009D67B9">
        <w:rPr>
          <w:sz w:val="24"/>
          <w:szCs w:val="24"/>
          <w:lang w:val="en"/>
        </w:rPr>
        <w:t>cause.</w:t>
      </w:r>
      <w:r w:rsidRPr="009D67B9">
        <w:rPr>
          <w:sz w:val="24"/>
          <w:szCs w:val="24"/>
          <w:lang w:val="en"/>
        </w:rPr>
        <w:t xml:space="preserve"> </w:t>
      </w:r>
    </w:p>
    <w:p w14:paraId="569657B2" w14:textId="4461AE41" w:rsidR="00432A01" w:rsidRPr="009D67B9" w:rsidRDefault="00432A01" w:rsidP="009D67B9">
      <w:pPr>
        <w:pStyle w:val="13"/>
        <w:numPr>
          <w:ilvl w:val="0"/>
          <w:numId w:val="51"/>
        </w:numPr>
        <w:spacing w:beforeLines="0" w:after="120" w:line="276" w:lineRule="auto"/>
        <w:ind w:left="1080" w:firstLineChars="0"/>
        <w:rPr>
          <w:sz w:val="24"/>
          <w:szCs w:val="24"/>
          <w:lang w:val="en"/>
        </w:rPr>
      </w:pPr>
      <w:r w:rsidRPr="009D67B9">
        <w:rPr>
          <w:sz w:val="24"/>
          <w:szCs w:val="24"/>
          <w:lang w:val="en"/>
        </w:rPr>
        <w:t>MRD response assessment: the MRD assessment includes the proportion of MRD negative and the duration of MRD negative.</w:t>
      </w:r>
    </w:p>
    <w:p w14:paraId="05832139" w14:textId="7266C8A7" w:rsidR="00432A01" w:rsidRPr="009D67B9" w:rsidRDefault="00432A01" w:rsidP="009D67B9">
      <w:pPr>
        <w:pStyle w:val="TableParagraph"/>
        <w:numPr>
          <w:ilvl w:val="0"/>
          <w:numId w:val="16"/>
        </w:numPr>
        <w:spacing w:after="120" w:line="276" w:lineRule="auto"/>
        <w:rPr>
          <w:rFonts w:eastAsia="TimesNewRomanPSMT"/>
          <w:sz w:val="24"/>
          <w:szCs w:val="24"/>
          <w:lang w:val="en"/>
        </w:rPr>
      </w:pPr>
      <w:r w:rsidRPr="009D67B9">
        <w:rPr>
          <w:rFonts w:eastAsia="TimesNewRomanPSMT"/>
          <w:sz w:val="24"/>
          <w:szCs w:val="24"/>
          <w:lang w:val="en"/>
        </w:rPr>
        <w:t>Safety endpoints: AEs, laboratory tests, vital signs, physical examinations, etc.</w:t>
      </w:r>
    </w:p>
    <w:p w14:paraId="129E28E7" w14:textId="37D37294" w:rsidR="00432A01" w:rsidRPr="009D67B9" w:rsidRDefault="00432A01" w:rsidP="009D67B9">
      <w:pPr>
        <w:pStyle w:val="TableParagraph"/>
        <w:numPr>
          <w:ilvl w:val="0"/>
          <w:numId w:val="16"/>
        </w:numPr>
        <w:spacing w:after="120" w:line="276" w:lineRule="auto"/>
        <w:rPr>
          <w:rFonts w:eastAsia="TimesNewRomanPSMT"/>
          <w:sz w:val="24"/>
          <w:szCs w:val="24"/>
          <w:lang w:val="en"/>
        </w:rPr>
      </w:pPr>
      <w:r w:rsidRPr="009D67B9">
        <w:rPr>
          <w:rFonts w:eastAsia="TimesNewRomanPSMT"/>
          <w:sz w:val="24"/>
          <w:szCs w:val="24"/>
          <w:lang w:val="en"/>
        </w:rPr>
        <w:lastRenderedPageBreak/>
        <w:t xml:space="preserve">PK endpoints: </w:t>
      </w:r>
      <w:proofErr w:type="spellStart"/>
      <w:r w:rsidRPr="009D67B9">
        <w:rPr>
          <w:rFonts w:eastAsia="TimesNewRomanPSMT"/>
          <w:sz w:val="24"/>
          <w:szCs w:val="24"/>
          <w:lang w:val="en"/>
        </w:rPr>
        <w:t>C</w:t>
      </w:r>
      <w:r w:rsidRPr="009D67B9">
        <w:rPr>
          <w:rFonts w:eastAsia="TimesNewRomanPSMT"/>
          <w:sz w:val="24"/>
          <w:szCs w:val="24"/>
          <w:vertAlign w:val="subscript"/>
          <w:lang w:val="en"/>
        </w:rPr>
        <w:t>max</w:t>
      </w:r>
      <w:proofErr w:type="spellEnd"/>
      <w:r w:rsidRPr="009D67B9">
        <w:rPr>
          <w:rFonts w:eastAsia="TimesNewRomanPSMT"/>
          <w:sz w:val="24"/>
          <w:szCs w:val="24"/>
          <w:lang w:val="en"/>
        </w:rPr>
        <w:t xml:space="preserve">, </w:t>
      </w:r>
      <w:proofErr w:type="spellStart"/>
      <w:r w:rsidRPr="009D67B9">
        <w:rPr>
          <w:rFonts w:eastAsia="TimesNewRomanPSMT"/>
          <w:sz w:val="24"/>
          <w:szCs w:val="24"/>
          <w:lang w:val="en"/>
        </w:rPr>
        <w:t>T</w:t>
      </w:r>
      <w:r w:rsidRPr="009D67B9">
        <w:rPr>
          <w:rFonts w:eastAsia="TimesNewRomanPSMT"/>
          <w:sz w:val="24"/>
          <w:szCs w:val="24"/>
          <w:vertAlign w:val="subscript"/>
          <w:lang w:val="en"/>
        </w:rPr>
        <w:t>max</w:t>
      </w:r>
      <w:proofErr w:type="spellEnd"/>
      <w:r w:rsidRPr="009D67B9">
        <w:rPr>
          <w:rFonts w:eastAsia="TimesNewRomanPSMT"/>
          <w:sz w:val="24"/>
          <w:szCs w:val="24"/>
          <w:lang w:val="en"/>
        </w:rPr>
        <w:t>, AUC</w:t>
      </w:r>
      <w:r w:rsidRPr="00662C37">
        <w:rPr>
          <w:rFonts w:eastAsia="TimesNewRomanPSMT"/>
          <w:sz w:val="24"/>
          <w:szCs w:val="24"/>
          <w:vertAlign w:val="subscript"/>
          <w:lang w:val="en"/>
        </w:rPr>
        <w:t>0-28d</w:t>
      </w:r>
      <w:r w:rsidRPr="009D67B9">
        <w:rPr>
          <w:rFonts w:eastAsia="TimesNewRomanPSMT"/>
          <w:sz w:val="24"/>
          <w:szCs w:val="24"/>
          <w:lang w:val="en"/>
        </w:rPr>
        <w:t>, and AUC</w:t>
      </w:r>
      <w:r w:rsidRPr="00662C37">
        <w:rPr>
          <w:rFonts w:eastAsia="TimesNewRomanPSMT"/>
          <w:sz w:val="24"/>
          <w:szCs w:val="24"/>
          <w:vertAlign w:val="subscript"/>
          <w:lang w:val="en"/>
        </w:rPr>
        <w:t>0-90d</w:t>
      </w:r>
      <w:r w:rsidRPr="009D67B9">
        <w:rPr>
          <w:rFonts w:eastAsia="TimesNewRomanPSMT"/>
          <w:sz w:val="24"/>
          <w:szCs w:val="24"/>
          <w:lang w:val="en"/>
        </w:rPr>
        <w:t xml:space="preserve"> of CT103A cells and lentiviral VCN </w:t>
      </w:r>
      <w:r w:rsidR="00EA599D">
        <w:rPr>
          <w:rFonts w:eastAsia="TimesNewRomanPSMT"/>
          <w:sz w:val="24"/>
          <w:szCs w:val="24"/>
          <w:lang w:val="en"/>
        </w:rPr>
        <w:t>increas</w:t>
      </w:r>
      <w:r w:rsidRPr="009D67B9">
        <w:rPr>
          <w:rFonts w:eastAsia="TimesNewRomanPSMT"/>
          <w:sz w:val="24"/>
          <w:szCs w:val="24"/>
          <w:lang w:val="en"/>
        </w:rPr>
        <w:t xml:space="preserve">ed in peripheral blood after administration; </w:t>
      </w:r>
      <w:r w:rsidR="00F31A05">
        <w:rPr>
          <w:rFonts w:eastAsia="TimesNewRomanPSMT"/>
          <w:sz w:val="24"/>
          <w:szCs w:val="24"/>
          <w:lang w:val="en"/>
        </w:rPr>
        <w:t>Selinexor</w:t>
      </w:r>
      <w:r w:rsidRPr="009D67B9">
        <w:rPr>
          <w:rFonts w:eastAsia="TimesNewRomanPSMT"/>
          <w:sz w:val="24"/>
          <w:szCs w:val="24"/>
          <w:lang w:val="en"/>
        </w:rPr>
        <w:t xml:space="preserve"> concentration in peripheral </w:t>
      </w:r>
      <w:r w:rsidR="00A32194" w:rsidRPr="009D67B9">
        <w:rPr>
          <w:rFonts w:eastAsia="TimesNewRomanPSMT"/>
          <w:sz w:val="24"/>
          <w:szCs w:val="24"/>
          <w:lang w:val="en"/>
        </w:rPr>
        <w:t>blood.</w:t>
      </w:r>
      <w:r w:rsidRPr="009D67B9">
        <w:rPr>
          <w:rFonts w:eastAsia="TimesNewRomanPSMT"/>
          <w:sz w:val="24"/>
          <w:szCs w:val="24"/>
          <w:lang w:val="en"/>
        </w:rPr>
        <w:t xml:space="preserve"> </w:t>
      </w:r>
    </w:p>
    <w:p w14:paraId="5893EB4D" w14:textId="5D462F68" w:rsidR="00432A01" w:rsidRPr="009D67B9" w:rsidRDefault="00432A01" w:rsidP="009D67B9">
      <w:pPr>
        <w:pStyle w:val="TableParagraph"/>
        <w:numPr>
          <w:ilvl w:val="0"/>
          <w:numId w:val="16"/>
        </w:numPr>
        <w:spacing w:after="120" w:line="276" w:lineRule="auto"/>
        <w:rPr>
          <w:rFonts w:eastAsia="TimesNewRomanPSMT"/>
          <w:sz w:val="24"/>
          <w:szCs w:val="24"/>
          <w:lang w:val="en"/>
        </w:rPr>
      </w:pPr>
      <w:r w:rsidRPr="009D67B9">
        <w:rPr>
          <w:rFonts w:eastAsia="TimesNewRomanPSMT"/>
          <w:sz w:val="24"/>
          <w:szCs w:val="24"/>
          <w:lang w:val="en"/>
        </w:rPr>
        <w:t xml:space="preserve">PD endpoints: concentrations of CAR-T-associated inflammatory factors, such as interleukin-6 (IL-6) and ferritin at each time </w:t>
      </w:r>
      <w:r w:rsidR="00A32194" w:rsidRPr="009D67B9">
        <w:rPr>
          <w:rFonts w:eastAsia="TimesNewRomanPSMT"/>
          <w:sz w:val="24"/>
          <w:szCs w:val="24"/>
          <w:lang w:val="en"/>
        </w:rPr>
        <w:t>point.</w:t>
      </w:r>
      <w:r w:rsidRPr="009D67B9">
        <w:rPr>
          <w:rFonts w:eastAsia="TimesNewRomanPSMT"/>
          <w:sz w:val="24"/>
          <w:szCs w:val="24"/>
          <w:lang w:val="en"/>
        </w:rPr>
        <w:t xml:space="preserve"> </w:t>
      </w:r>
    </w:p>
    <w:p w14:paraId="3DB6CA74" w14:textId="68959D4B" w:rsidR="00432A01" w:rsidRPr="009D67B9" w:rsidRDefault="00432A01" w:rsidP="009D67B9">
      <w:pPr>
        <w:pStyle w:val="TableParagraph"/>
        <w:numPr>
          <w:ilvl w:val="0"/>
          <w:numId w:val="16"/>
        </w:numPr>
        <w:spacing w:after="120" w:line="276" w:lineRule="auto"/>
        <w:rPr>
          <w:rFonts w:eastAsia="TimesNewRomanPSMT"/>
          <w:sz w:val="24"/>
          <w:szCs w:val="24"/>
          <w:lang w:val="en"/>
        </w:rPr>
      </w:pPr>
      <w:r w:rsidRPr="009D67B9">
        <w:rPr>
          <w:rFonts w:eastAsia="TimesNewRomanPSMT"/>
          <w:sz w:val="24"/>
          <w:szCs w:val="24"/>
          <w:lang w:val="en"/>
        </w:rPr>
        <w:t>Health-related quality of life assessment: using the European Organization for Research and Treatment of Cancer Quality of Life Questionnaire</w:t>
      </w:r>
      <w:r w:rsidR="00662C37">
        <w:rPr>
          <w:rFonts w:eastAsia="TimesNewRomanPSMT"/>
          <w:sz w:val="24"/>
          <w:szCs w:val="24"/>
          <w:lang w:val="en"/>
        </w:rPr>
        <w:t>-</w:t>
      </w:r>
      <w:r w:rsidR="00BB06FD">
        <w:rPr>
          <w:rFonts w:eastAsia="TimesNewRomanPSMT"/>
          <w:sz w:val="24"/>
          <w:szCs w:val="24"/>
          <w:lang w:val="en"/>
        </w:rPr>
        <w:t>C</w:t>
      </w:r>
      <w:r w:rsidR="00662C37">
        <w:rPr>
          <w:rFonts w:eastAsia="TimesNewRomanPSMT"/>
          <w:sz w:val="24"/>
          <w:szCs w:val="24"/>
          <w:lang w:val="en"/>
        </w:rPr>
        <w:t>30</w:t>
      </w:r>
      <w:r w:rsidRPr="009D67B9">
        <w:rPr>
          <w:rFonts w:eastAsia="TimesNewRomanPSMT"/>
          <w:sz w:val="24"/>
          <w:szCs w:val="24"/>
          <w:lang w:val="en"/>
        </w:rPr>
        <w:t xml:space="preserve"> (EORTC-QLQ-C30</w:t>
      </w:r>
      <w:r w:rsidR="00A32194" w:rsidRPr="009D67B9">
        <w:rPr>
          <w:rFonts w:eastAsia="TimesNewRomanPSMT"/>
          <w:sz w:val="24"/>
          <w:szCs w:val="24"/>
          <w:lang w:val="en"/>
        </w:rPr>
        <w:t>).</w:t>
      </w:r>
      <w:r w:rsidRPr="009D67B9">
        <w:rPr>
          <w:rFonts w:eastAsia="TimesNewRomanPSMT"/>
          <w:sz w:val="24"/>
          <w:szCs w:val="24"/>
          <w:lang w:val="en"/>
        </w:rPr>
        <w:t xml:space="preserve"> </w:t>
      </w:r>
    </w:p>
    <w:p w14:paraId="2881AA0B" w14:textId="4EC03165" w:rsidR="00432A01" w:rsidRPr="009D67B9" w:rsidRDefault="00432A01" w:rsidP="009D67B9">
      <w:pPr>
        <w:pStyle w:val="TableParagraph"/>
        <w:numPr>
          <w:ilvl w:val="0"/>
          <w:numId w:val="16"/>
        </w:numPr>
        <w:spacing w:after="120" w:line="276" w:lineRule="auto"/>
        <w:rPr>
          <w:rFonts w:eastAsia="TimesNewRomanPSMT"/>
          <w:sz w:val="24"/>
          <w:szCs w:val="24"/>
          <w:lang w:val="en"/>
        </w:rPr>
      </w:pPr>
      <w:r w:rsidRPr="009D67B9">
        <w:rPr>
          <w:rFonts w:eastAsia="TimesNewRomanPSMT"/>
          <w:sz w:val="24"/>
          <w:szCs w:val="24"/>
          <w:lang w:val="en"/>
        </w:rPr>
        <w:t xml:space="preserve">Quality of life assessment: using the </w:t>
      </w:r>
      <w:bookmarkStart w:id="46" w:name="_Hlk111911665"/>
      <w:r w:rsidRPr="009D67B9">
        <w:rPr>
          <w:rFonts w:eastAsia="TimesNewRomanPSMT"/>
          <w:sz w:val="24"/>
          <w:szCs w:val="24"/>
          <w:lang w:val="en"/>
        </w:rPr>
        <w:t>European Organization for Research and Treatment of Cancer Quality of Life Questionnaire Multiple Myeloma Module</w:t>
      </w:r>
      <w:bookmarkEnd w:id="46"/>
      <w:r w:rsidRPr="009D67B9">
        <w:rPr>
          <w:rFonts w:eastAsia="TimesNewRomanPSMT"/>
          <w:sz w:val="24"/>
          <w:szCs w:val="24"/>
          <w:lang w:val="en"/>
        </w:rPr>
        <w:t xml:space="preserve"> (EORTC-QLQ-MY20</w:t>
      </w:r>
      <w:r w:rsidR="00A32194" w:rsidRPr="009D67B9">
        <w:rPr>
          <w:rFonts w:eastAsia="TimesNewRomanPSMT"/>
          <w:sz w:val="24"/>
          <w:szCs w:val="24"/>
          <w:lang w:val="en"/>
        </w:rPr>
        <w:t>).</w:t>
      </w:r>
      <w:r w:rsidRPr="009D67B9">
        <w:rPr>
          <w:rFonts w:eastAsia="TimesNewRomanPSMT"/>
          <w:sz w:val="24"/>
          <w:szCs w:val="24"/>
          <w:lang w:val="en"/>
        </w:rPr>
        <w:t xml:space="preserve"> </w:t>
      </w:r>
    </w:p>
    <w:p w14:paraId="55B48242" w14:textId="45DF6757" w:rsidR="00432A01" w:rsidRPr="009D67B9" w:rsidRDefault="00432A01" w:rsidP="009D67B9">
      <w:pPr>
        <w:pStyle w:val="TableParagraph"/>
        <w:numPr>
          <w:ilvl w:val="0"/>
          <w:numId w:val="16"/>
        </w:numPr>
        <w:spacing w:after="120" w:line="276" w:lineRule="auto"/>
        <w:rPr>
          <w:rFonts w:eastAsia="TimesNewRomanPSMT"/>
          <w:sz w:val="24"/>
          <w:szCs w:val="24"/>
          <w:lang w:val="en"/>
        </w:rPr>
      </w:pPr>
      <w:r w:rsidRPr="009D67B9">
        <w:rPr>
          <w:rFonts w:eastAsia="TimesNewRomanPSMT"/>
          <w:sz w:val="24"/>
          <w:szCs w:val="24"/>
          <w:lang w:val="en"/>
        </w:rPr>
        <w:t xml:space="preserve">Assessment of patient immune status: including changes in lymphocyte subsets, immunoglobulins, as well as infectious status. </w:t>
      </w:r>
    </w:p>
    <w:p w14:paraId="0618177F" w14:textId="774A5E80" w:rsidR="00FC7470" w:rsidRPr="00C820E8" w:rsidRDefault="00FC7470" w:rsidP="007C6DC5">
      <w:pPr>
        <w:pStyle w:val="30"/>
      </w:pPr>
      <w:bookmarkStart w:id="47" w:name="_Toc328596312"/>
      <w:bookmarkStart w:id="48" w:name="_Toc112064834"/>
      <w:r>
        <w:t>Exploratory Endpoint</w:t>
      </w:r>
      <w:bookmarkEnd w:id="47"/>
      <w:bookmarkEnd w:id="48"/>
    </w:p>
    <w:p w14:paraId="7585E656" w14:textId="6729AE20" w:rsidR="00432A01" w:rsidRPr="009D67B9" w:rsidRDefault="00432A01" w:rsidP="009D67B9">
      <w:pPr>
        <w:pStyle w:val="TableParagraph"/>
        <w:numPr>
          <w:ilvl w:val="0"/>
          <w:numId w:val="16"/>
        </w:numPr>
        <w:spacing w:after="120" w:line="276" w:lineRule="auto"/>
        <w:rPr>
          <w:rFonts w:eastAsia="TimesNewRomanPSMT"/>
          <w:sz w:val="24"/>
          <w:szCs w:val="24"/>
          <w:lang w:val="en"/>
        </w:rPr>
      </w:pPr>
      <w:bookmarkStart w:id="49" w:name="_Toc505929699"/>
      <w:bookmarkStart w:id="50" w:name="_Toc505938528"/>
      <w:bookmarkStart w:id="51" w:name="_Toc506188865"/>
      <w:bookmarkEnd w:id="49"/>
      <w:bookmarkEnd w:id="50"/>
      <w:bookmarkEnd w:id="51"/>
      <w:r w:rsidRPr="009D67B9">
        <w:rPr>
          <w:rFonts w:eastAsia="TimesNewRomanPSMT"/>
          <w:sz w:val="24"/>
          <w:szCs w:val="24"/>
          <w:lang w:val="en"/>
        </w:rPr>
        <w:t xml:space="preserve">The effect of different doses of </w:t>
      </w:r>
      <w:r w:rsidR="00F31A05">
        <w:rPr>
          <w:rFonts w:eastAsia="TimesNewRomanPSMT"/>
          <w:sz w:val="24"/>
          <w:szCs w:val="24"/>
          <w:lang w:val="en"/>
        </w:rPr>
        <w:t>Selinexor</w:t>
      </w:r>
      <w:r w:rsidRPr="009D67B9">
        <w:rPr>
          <w:rFonts w:eastAsia="TimesNewRomanPSMT"/>
          <w:sz w:val="24"/>
          <w:szCs w:val="24"/>
          <w:lang w:val="en"/>
        </w:rPr>
        <w:t xml:space="preserve"> on the efficacy and mechanism of CT103A. </w:t>
      </w:r>
    </w:p>
    <w:p w14:paraId="01DE5941" w14:textId="592FEFEF" w:rsidR="00FC7470" w:rsidRPr="00C820E8" w:rsidRDefault="00270C9D" w:rsidP="00FE0C5C">
      <w:pPr>
        <w:pStyle w:val="1"/>
      </w:pPr>
      <w:bookmarkStart w:id="52" w:name="_Toc112064835"/>
      <w:r>
        <w:lastRenderedPageBreak/>
        <w:t>INVESTIGATIONAL PLAN</w:t>
      </w:r>
      <w:bookmarkEnd w:id="52"/>
    </w:p>
    <w:p w14:paraId="5C513D6F" w14:textId="630D89EE" w:rsidR="00F65338" w:rsidRDefault="00F65338" w:rsidP="004F3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9D67B9">
        <w:rPr>
          <w:color w:val="000000"/>
          <w:lang w:val="en"/>
        </w:rPr>
        <w:t xml:space="preserve">This is an open-label and single-center study to evaluate the efficacy and safety of CT103A in combination with different doses of </w:t>
      </w:r>
      <w:r w:rsidR="00F31A05">
        <w:rPr>
          <w:color w:val="000000"/>
          <w:lang w:val="en"/>
        </w:rPr>
        <w:t>Selinexor</w:t>
      </w:r>
      <w:r w:rsidRPr="009D67B9">
        <w:rPr>
          <w:color w:val="000000"/>
          <w:lang w:val="en"/>
        </w:rPr>
        <w:t xml:space="preserve"> in patients with relapsed/refractory EMM</w:t>
      </w:r>
      <w:r w:rsidR="00EA599D">
        <w:rPr>
          <w:color w:val="000000"/>
          <w:lang w:val="en"/>
        </w:rPr>
        <w:t xml:space="preserve"> and</w:t>
      </w:r>
      <w:r w:rsidRPr="009D67B9">
        <w:rPr>
          <w:color w:val="000000"/>
          <w:lang w:val="en"/>
        </w:rPr>
        <w:t xml:space="preserve"> the PK and PD of </w:t>
      </w:r>
      <w:r w:rsidR="00F31A05">
        <w:rPr>
          <w:color w:val="000000"/>
          <w:lang w:val="en"/>
        </w:rPr>
        <w:t>Selinexor</w:t>
      </w:r>
      <w:r w:rsidRPr="009D67B9">
        <w:rPr>
          <w:color w:val="000000"/>
          <w:lang w:val="en"/>
        </w:rPr>
        <w:t xml:space="preserve"> and CT103A. There are </w:t>
      </w:r>
      <w:r w:rsidR="00EA599D">
        <w:rPr>
          <w:color w:val="000000"/>
          <w:lang w:val="en"/>
        </w:rPr>
        <w:t>two</w:t>
      </w:r>
      <w:r w:rsidRPr="009D67B9">
        <w:rPr>
          <w:color w:val="000000"/>
          <w:lang w:val="en"/>
        </w:rPr>
        <w:t xml:space="preserve"> dose groups (20 mg/week and 40 mg/week) for </w:t>
      </w:r>
      <w:r w:rsidR="00F31A05">
        <w:rPr>
          <w:color w:val="000000"/>
          <w:lang w:val="en"/>
        </w:rPr>
        <w:t>Selinexor</w:t>
      </w:r>
      <w:r w:rsidRPr="009D67B9">
        <w:rPr>
          <w:color w:val="000000"/>
          <w:lang w:val="en"/>
        </w:rPr>
        <w:t>, the dose of CT103A in both groups is 1.0×10</w:t>
      </w:r>
      <w:r w:rsidRPr="009D67B9">
        <w:rPr>
          <w:color w:val="000000"/>
          <w:vertAlign w:val="superscript"/>
          <w:lang w:val="en"/>
        </w:rPr>
        <w:t>6</w:t>
      </w:r>
      <w:r w:rsidRPr="009D67B9">
        <w:rPr>
          <w:color w:val="000000"/>
          <w:lang w:val="en"/>
        </w:rPr>
        <w:t xml:space="preserve"> cells/kg. Patients in </w:t>
      </w:r>
      <w:r w:rsidRPr="009D67B9">
        <w:rPr>
          <w:color w:val="000000"/>
        </w:rPr>
        <w:t xml:space="preserve">both </w:t>
      </w:r>
      <w:r w:rsidRPr="009D67B9">
        <w:rPr>
          <w:color w:val="000000"/>
          <w:lang w:val="en"/>
        </w:rPr>
        <w:t xml:space="preserve">dose groups will receive a single CT103A cell infusion. After at least </w:t>
      </w:r>
      <w:r w:rsidR="00EA599D">
        <w:rPr>
          <w:color w:val="000000"/>
        </w:rPr>
        <w:t>one</w:t>
      </w:r>
      <w:r w:rsidRPr="009D67B9">
        <w:rPr>
          <w:color w:val="000000"/>
          <w:lang w:val="en"/>
        </w:rPr>
        <w:t xml:space="preserve"> month of CT103A infusion and the platelets </w:t>
      </w:r>
      <w:r w:rsidRPr="009D67B9">
        <w:rPr>
          <w:color w:val="000000"/>
        </w:rPr>
        <w:t xml:space="preserve">count </w:t>
      </w:r>
      <w:r w:rsidRPr="009D67B9">
        <w:rPr>
          <w:color w:val="000000"/>
          <w:lang w:val="en"/>
        </w:rPr>
        <w:t>recovery to ≥50</w:t>
      </w:r>
      <w:r w:rsidR="00EB5107">
        <w:rPr>
          <w:color w:val="000000"/>
          <w:lang w:val="en"/>
        </w:rPr>
        <w:t xml:space="preserve"> </w:t>
      </w:r>
      <w:r w:rsidRPr="009D67B9">
        <w:rPr>
          <w:color w:val="000000"/>
          <w:lang w:val="en"/>
        </w:rPr>
        <w:t>×</w:t>
      </w:r>
      <w:r w:rsidR="00EB5107">
        <w:rPr>
          <w:color w:val="000000"/>
          <w:lang w:val="en"/>
        </w:rPr>
        <w:t xml:space="preserve"> </w:t>
      </w:r>
      <w:r w:rsidRPr="009D67B9">
        <w:rPr>
          <w:color w:val="000000"/>
          <w:lang w:val="en"/>
        </w:rPr>
        <w:t>10</w:t>
      </w:r>
      <w:r w:rsidRPr="009D67B9">
        <w:rPr>
          <w:color w:val="000000"/>
          <w:vertAlign w:val="superscript"/>
          <w:lang w:val="en"/>
        </w:rPr>
        <w:t>9</w:t>
      </w:r>
      <w:r w:rsidRPr="009D67B9">
        <w:rPr>
          <w:color w:val="000000"/>
          <w:lang w:val="en"/>
        </w:rPr>
        <w:t xml:space="preserve">/L, </w:t>
      </w:r>
      <w:r w:rsidR="00F31A05">
        <w:rPr>
          <w:rStyle w:val="fontstyle01"/>
          <w:rFonts w:ascii="Times New Roman" w:hint="default"/>
          <w:sz w:val="24"/>
          <w:szCs w:val="24"/>
          <w:lang w:val="en"/>
        </w:rPr>
        <w:t>Selinexor</w:t>
      </w:r>
      <w:r w:rsidRPr="009D67B9">
        <w:rPr>
          <w:color w:val="000000"/>
          <w:lang w:val="en"/>
        </w:rPr>
        <w:t xml:space="preserve"> will be started orally once a week</w:t>
      </w:r>
      <w:r w:rsidRPr="009D67B9">
        <w:rPr>
          <w:color w:val="000000"/>
        </w:rPr>
        <w:t xml:space="preserve"> for</w:t>
      </w:r>
      <w:r w:rsidRPr="009D67B9">
        <w:rPr>
          <w:color w:val="000000"/>
          <w:lang w:val="en"/>
        </w:rPr>
        <w:t xml:space="preserve"> </w:t>
      </w:r>
      <w:r w:rsidR="00EA599D">
        <w:rPr>
          <w:color w:val="000000"/>
          <w:lang w:val="en"/>
        </w:rPr>
        <w:t>one</w:t>
      </w:r>
      <w:r w:rsidRPr="009D67B9">
        <w:rPr>
          <w:color w:val="000000"/>
          <w:lang w:val="en"/>
        </w:rPr>
        <w:t xml:space="preserve"> year. Eight to ten patients will be enrolled at each dose level</w:t>
      </w:r>
      <w:r w:rsidR="00EA599D">
        <w:rPr>
          <w:color w:val="000000"/>
          <w:lang w:val="en"/>
        </w:rPr>
        <w:t>, and</w:t>
      </w:r>
      <w:r w:rsidRPr="009D67B9">
        <w:rPr>
          <w:color w:val="000000"/>
          <w:lang w:val="en"/>
        </w:rPr>
        <w:t xml:space="preserve"> 16 to 20 patients are expected to be enrolled.</w:t>
      </w:r>
      <w:r w:rsidRPr="009D67B9">
        <w:rPr>
          <w:color w:val="000000"/>
        </w:rPr>
        <w:t xml:space="preserve"> </w:t>
      </w:r>
    </w:p>
    <w:p w14:paraId="0353BAC8" w14:textId="1FFE8352" w:rsidR="00265512" w:rsidRPr="004F3D64" w:rsidRDefault="004F3D64" w:rsidP="004F3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lang w:val="en"/>
        </w:rPr>
      </w:pPr>
      <w:r w:rsidRPr="004F3D64">
        <w:rPr>
          <w:rFonts w:hint="eastAsia"/>
          <w:color w:val="000000"/>
          <w:lang w:val="en"/>
        </w:rPr>
        <w:t>A</w:t>
      </w:r>
      <w:r w:rsidRPr="004F3D64">
        <w:rPr>
          <w:color w:val="000000"/>
          <w:lang w:val="en"/>
        </w:rPr>
        <w:t xml:space="preserve">n overview of the study design is shown in </w:t>
      </w:r>
      <w:r w:rsidRPr="004F3D64">
        <w:rPr>
          <w:color w:val="0000FF"/>
          <w:lang w:val="en"/>
        </w:rPr>
        <w:fldChar w:fldCharType="begin"/>
      </w:r>
      <w:r w:rsidRPr="004F3D64">
        <w:rPr>
          <w:color w:val="0000FF"/>
          <w:lang w:val="en"/>
        </w:rPr>
        <w:instrText xml:space="preserve"> REF _Ref111912218 \h </w:instrText>
      </w:r>
      <w:r>
        <w:rPr>
          <w:color w:val="0000FF"/>
          <w:lang w:val="en"/>
        </w:rPr>
        <w:instrText xml:space="preserve"> \* MERGEFORMAT </w:instrText>
      </w:r>
      <w:r w:rsidRPr="004F3D64">
        <w:rPr>
          <w:color w:val="0000FF"/>
          <w:lang w:val="en"/>
        </w:rPr>
      </w:r>
      <w:r w:rsidRPr="004F3D64">
        <w:rPr>
          <w:color w:val="0000FF"/>
          <w:lang w:val="en"/>
        </w:rPr>
        <w:fldChar w:fldCharType="separate"/>
      </w:r>
      <w:r w:rsidR="00B7729A" w:rsidRPr="00B7729A">
        <w:rPr>
          <w:color w:val="0000FF"/>
        </w:rPr>
        <w:t>Figure 1</w:t>
      </w:r>
      <w:r w:rsidRPr="004F3D64">
        <w:rPr>
          <w:color w:val="0000FF"/>
          <w:lang w:val="en"/>
        </w:rPr>
        <w:fldChar w:fldCharType="end"/>
      </w:r>
      <w:r w:rsidRPr="004F3D64">
        <w:rPr>
          <w:color w:val="000000"/>
          <w:lang w:val="en"/>
        </w:rPr>
        <w:t>.</w:t>
      </w:r>
    </w:p>
    <w:p w14:paraId="054FC695" w14:textId="02009624" w:rsidR="00265512" w:rsidRPr="00852C75" w:rsidRDefault="00265512" w:rsidP="00265512">
      <w:pPr>
        <w:pStyle w:val="af7"/>
        <w:ind w:left="1260" w:hanging="1260"/>
      </w:pPr>
      <w:bookmarkStart w:id="53" w:name="_Ref111912218"/>
      <w:bookmarkStart w:id="54" w:name="_Toc111917474"/>
      <w:r>
        <w:t>Figure </w:t>
      </w:r>
      <w:r>
        <w:rPr>
          <w:color w:val="2B579A"/>
          <w:shd w:val="clear" w:color="auto" w:fill="E6E6E6"/>
        </w:rPr>
        <w:fldChar w:fldCharType="begin"/>
      </w:r>
      <w:r>
        <w:instrText>SEQ Figure \* ARABIC</w:instrText>
      </w:r>
      <w:r>
        <w:rPr>
          <w:color w:val="2B579A"/>
          <w:shd w:val="clear" w:color="auto" w:fill="E6E6E6"/>
        </w:rPr>
        <w:fldChar w:fldCharType="separate"/>
      </w:r>
      <w:r w:rsidR="00B7729A">
        <w:rPr>
          <w:noProof/>
        </w:rPr>
        <w:t>1</w:t>
      </w:r>
      <w:r>
        <w:rPr>
          <w:color w:val="2B579A"/>
          <w:shd w:val="clear" w:color="auto" w:fill="E6E6E6"/>
        </w:rPr>
        <w:fldChar w:fldCharType="end"/>
      </w:r>
      <w:bookmarkEnd w:id="53"/>
      <w:r>
        <w:t>.</w:t>
      </w:r>
      <w:r>
        <w:tab/>
      </w:r>
      <w:r w:rsidRPr="00265512">
        <w:rPr>
          <w:rFonts w:eastAsia="瀹嬩綋"/>
          <w:lang w:val="en"/>
        </w:rPr>
        <w:t>Study Procedures</w:t>
      </w:r>
      <w:bookmarkEnd w:id="54"/>
    </w:p>
    <w:p w14:paraId="43CCE4F4" w14:textId="77777777" w:rsidR="00265512" w:rsidRDefault="00265512" w:rsidP="002655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bCs/>
          <w:noProof/>
          <w:color w:val="000000"/>
          <w:sz w:val="22"/>
        </w:rPr>
      </w:pPr>
    </w:p>
    <w:p w14:paraId="7BFBE091" w14:textId="4EE8608D" w:rsidR="00265512" w:rsidRDefault="00265512" w:rsidP="002655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color w:val="000000"/>
        </w:rPr>
      </w:pPr>
      <w:r>
        <w:rPr>
          <w:b/>
          <w:bCs/>
          <w:noProof/>
          <w:color w:val="000000"/>
          <w:sz w:val="22"/>
        </w:rPr>
        <w:drawing>
          <wp:inline distT="0" distB="0" distL="0" distR="0" wp14:anchorId="043BB015" wp14:editId="26D4DB28">
            <wp:extent cx="5760085" cy="2667000"/>
            <wp:effectExtent l="0" t="0" r="0" b="0"/>
            <wp:docPr id="7" name="图片 7" descr="日程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日程表&#10;&#10;描述已自动生成"/>
                    <pic:cNvPicPr>
                      <a:picLocks noChangeAspect="1"/>
                    </pic:cNvPicPr>
                  </pic:nvPicPr>
                  <pic:blipFill rotWithShape="1">
                    <a:blip r:embed="rId11">
                      <a:extLst>
                        <a:ext uri="{28A0092B-C50C-407E-A947-70E740481C1C}">
                          <a14:useLocalDpi xmlns:a14="http://schemas.microsoft.com/office/drawing/2010/main" val="0"/>
                        </a:ext>
                      </a:extLst>
                    </a:blip>
                    <a:srcRect t="10584" b="7095"/>
                    <a:stretch/>
                  </pic:blipFill>
                  <pic:spPr bwMode="auto">
                    <a:xfrm>
                      <a:off x="0" y="0"/>
                      <a:ext cx="5760085" cy="2667000"/>
                    </a:xfrm>
                    <a:prstGeom prst="rect">
                      <a:avLst/>
                    </a:prstGeom>
                    <a:ln>
                      <a:noFill/>
                    </a:ln>
                    <a:extLst>
                      <a:ext uri="{53640926-AAD7-44D8-BBD7-CCE9431645EC}">
                        <a14:shadowObscured xmlns:a14="http://schemas.microsoft.com/office/drawing/2010/main"/>
                      </a:ext>
                    </a:extLst>
                  </pic:spPr>
                </pic:pic>
              </a:graphicData>
            </a:graphic>
          </wp:inline>
        </w:drawing>
      </w:r>
    </w:p>
    <w:p w14:paraId="3A7EA4F2" w14:textId="50F9B182" w:rsidR="00265512" w:rsidRPr="00265512" w:rsidRDefault="00265512" w:rsidP="00265512">
      <w:pPr>
        <w:spacing w:after="0" w:line="240" w:lineRule="auto"/>
        <w:contextualSpacing/>
        <w:rPr>
          <w:sz w:val="21"/>
          <w:szCs w:val="21"/>
        </w:rPr>
      </w:pPr>
      <w:r w:rsidRPr="00265512">
        <w:rPr>
          <w:color w:val="000000"/>
          <w:sz w:val="21"/>
          <w:szCs w:val="21"/>
        </w:rPr>
        <w:t>Note</w:t>
      </w:r>
      <w:r w:rsidR="00B7729A">
        <w:rPr>
          <w:color w:val="000000"/>
          <w:sz w:val="21"/>
          <w:szCs w:val="21"/>
        </w:rPr>
        <w:t>s</w:t>
      </w:r>
      <w:r w:rsidRPr="00265512">
        <w:rPr>
          <w:color w:val="000000"/>
          <w:sz w:val="21"/>
          <w:szCs w:val="21"/>
        </w:rPr>
        <w:t xml:space="preserve">: </w:t>
      </w:r>
      <w:r w:rsidRPr="00265512">
        <w:rPr>
          <w:sz w:val="21"/>
          <w:szCs w:val="21"/>
        </w:rPr>
        <w:t>The study has been optimized and completed according to the principles and requirements of</w:t>
      </w:r>
      <w:r w:rsidRPr="00265512">
        <w:rPr>
          <w:i/>
          <w:iCs/>
          <w:sz w:val="21"/>
          <w:szCs w:val="21"/>
        </w:rPr>
        <w:t xml:space="preserve"> </w:t>
      </w:r>
      <w:r w:rsidRPr="00265512">
        <w:rPr>
          <w:sz w:val="21"/>
          <w:szCs w:val="21"/>
        </w:rPr>
        <w:t xml:space="preserve">Good Clinical Practice </w:t>
      </w:r>
      <w:r w:rsidR="00C3075E" w:rsidRPr="00265512">
        <w:rPr>
          <w:sz w:val="21"/>
          <w:szCs w:val="21"/>
        </w:rPr>
        <w:t>(GCP)</w:t>
      </w:r>
      <w:r w:rsidR="00C3075E">
        <w:rPr>
          <w:sz w:val="21"/>
          <w:szCs w:val="21"/>
        </w:rPr>
        <w:t xml:space="preserve"> </w:t>
      </w:r>
      <w:r w:rsidRPr="00265512">
        <w:rPr>
          <w:sz w:val="21"/>
          <w:szCs w:val="21"/>
        </w:rPr>
        <w:t>of China, Guidelines for the Clinical Trial and Evaluation of Cell Therapy Products (for Trial Implementation), Considerations for the Design of Clinical Trials of Chimeric Antigen Receptor T Lymphocytes for the Treatment of Malignancies of the Lymphohematopoietic System issued by CDE Biologics Clinical Department</w:t>
      </w:r>
      <w:r w:rsidRPr="00265512">
        <w:rPr>
          <w:b/>
          <w:bCs/>
          <w:sz w:val="21"/>
          <w:szCs w:val="21"/>
        </w:rPr>
        <w:t xml:space="preserve">, </w:t>
      </w:r>
      <w:r w:rsidRPr="00265512">
        <w:rPr>
          <w:sz w:val="21"/>
          <w:szCs w:val="21"/>
        </w:rPr>
        <w:t>and Guidelines for the Conditional Approval of Pharmaceuticals for Marketing (for Trial Implementation).</w:t>
      </w:r>
    </w:p>
    <w:p w14:paraId="0D621B58" w14:textId="29DF431A" w:rsidR="00265512" w:rsidRPr="00265512" w:rsidRDefault="00265512" w:rsidP="004322E6">
      <w:pPr>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b/>
          <w:bCs/>
          <w:sz w:val="21"/>
          <w:szCs w:val="21"/>
        </w:rPr>
      </w:pPr>
      <w:r w:rsidRPr="00265512">
        <w:rPr>
          <w:rFonts w:hint="eastAsia"/>
          <w:sz w:val="21"/>
          <w:szCs w:val="21"/>
        </w:rPr>
        <w:t xml:space="preserve">Study </w:t>
      </w:r>
      <w:r w:rsidRPr="00265512">
        <w:rPr>
          <w:sz w:val="21"/>
          <w:szCs w:val="21"/>
        </w:rPr>
        <w:t>p</w:t>
      </w:r>
      <w:r w:rsidRPr="00265512">
        <w:rPr>
          <w:rFonts w:hint="eastAsia"/>
          <w:sz w:val="21"/>
          <w:szCs w:val="21"/>
        </w:rPr>
        <w:t>rocedures</w:t>
      </w:r>
      <w:r w:rsidRPr="00265512">
        <w:rPr>
          <w:sz w:val="21"/>
          <w:szCs w:val="21"/>
        </w:rPr>
        <w:t xml:space="preserve"> include screening and enrollmen</w:t>
      </w:r>
      <w:r w:rsidRPr="0028572D">
        <w:rPr>
          <w:sz w:val="21"/>
          <w:szCs w:val="21"/>
        </w:rPr>
        <w:t xml:space="preserve">t, </w:t>
      </w:r>
      <w:r w:rsidR="00657324" w:rsidRPr="00657324">
        <w:rPr>
          <w:sz w:val="21"/>
          <w:szCs w:val="21"/>
        </w:rPr>
        <w:t xml:space="preserve">peripheral blood mononuclear cell </w:t>
      </w:r>
      <w:r w:rsidR="00657324">
        <w:rPr>
          <w:sz w:val="21"/>
          <w:szCs w:val="21"/>
        </w:rPr>
        <w:t>(</w:t>
      </w:r>
      <w:r w:rsidRPr="0028572D">
        <w:rPr>
          <w:sz w:val="21"/>
          <w:szCs w:val="21"/>
        </w:rPr>
        <w:t>PBMC</w:t>
      </w:r>
      <w:r w:rsidR="00657324">
        <w:rPr>
          <w:sz w:val="21"/>
          <w:szCs w:val="21"/>
        </w:rPr>
        <w:t>)</w:t>
      </w:r>
      <w:r w:rsidRPr="00265512">
        <w:rPr>
          <w:sz w:val="21"/>
          <w:szCs w:val="21"/>
        </w:rPr>
        <w:t xml:space="preserve"> collection, </w:t>
      </w:r>
      <w:r w:rsidRPr="00265512">
        <w:rPr>
          <w:rFonts w:hint="eastAsia"/>
          <w:sz w:val="21"/>
          <w:szCs w:val="21"/>
        </w:rPr>
        <w:t>bridging therapy</w:t>
      </w:r>
      <w:r w:rsidRPr="00265512">
        <w:rPr>
          <w:sz w:val="21"/>
          <w:szCs w:val="21"/>
        </w:rPr>
        <w:t xml:space="preserve"> </w:t>
      </w:r>
      <w:r w:rsidRPr="00265512">
        <w:rPr>
          <w:color w:val="000000" w:themeColor="text1"/>
          <w:sz w:val="21"/>
          <w:szCs w:val="21"/>
        </w:rPr>
        <w:t>(</w:t>
      </w:r>
      <w:r w:rsidR="00F31A05">
        <w:rPr>
          <w:sz w:val="21"/>
          <w:szCs w:val="21"/>
        </w:rPr>
        <w:t>Selinexor</w:t>
      </w:r>
      <w:r w:rsidR="00EA599D">
        <w:rPr>
          <w:sz w:val="21"/>
          <w:szCs w:val="21"/>
        </w:rPr>
        <w:t>-</w:t>
      </w:r>
      <w:r w:rsidRPr="00265512">
        <w:rPr>
          <w:rFonts w:hint="eastAsia"/>
          <w:sz w:val="21"/>
          <w:szCs w:val="21"/>
        </w:rPr>
        <w:t>based regimens</w:t>
      </w:r>
      <w:r w:rsidR="00657324">
        <w:rPr>
          <w:rFonts w:hint="eastAsia"/>
          <w:color w:val="000000" w:themeColor="text1"/>
          <w:sz w:val="21"/>
          <w:szCs w:val="21"/>
        </w:rPr>
        <w:t>）</w:t>
      </w:r>
      <w:r w:rsidRPr="00265512">
        <w:rPr>
          <w:sz w:val="21"/>
          <w:szCs w:val="21"/>
        </w:rPr>
        <w:t xml:space="preserve">, baseline assessments, lymphodepletion conditioning, rest assessment, CT103A cell infusion, administration of </w:t>
      </w:r>
      <w:r w:rsidR="00F31A05">
        <w:rPr>
          <w:sz w:val="21"/>
          <w:szCs w:val="21"/>
        </w:rPr>
        <w:t>Selinexor</w:t>
      </w:r>
      <w:r w:rsidRPr="00265512">
        <w:rPr>
          <w:sz w:val="21"/>
          <w:szCs w:val="21"/>
        </w:rPr>
        <w:t>, and the main follow-up period.</w:t>
      </w:r>
    </w:p>
    <w:p w14:paraId="4A5270B9" w14:textId="07BFA868" w:rsidR="00265512" w:rsidRPr="009D67B9" w:rsidRDefault="00265512" w:rsidP="002655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color w:val="000000"/>
        </w:rPr>
      </w:pPr>
    </w:p>
    <w:p w14:paraId="3AF4EAB2" w14:textId="721B8E0E" w:rsidR="00FC7470" w:rsidRPr="00C820E8" w:rsidRDefault="00270C9D" w:rsidP="00FE0C5C">
      <w:pPr>
        <w:pStyle w:val="1"/>
      </w:pPr>
      <w:bookmarkStart w:id="55" w:name="_Toc233187152"/>
      <w:bookmarkStart w:id="56" w:name="_Toc233431177"/>
      <w:bookmarkStart w:id="57" w:name="_Toc112064836"/>
      <w:r w:rsidRPr="00C820E8">
        <w:lastRenderedPageBreak/>
        <w:t>S</w:t>
      </w:r>
      <w:bookmarkEnd w:id="55"/>
      <w:bookmarkEnd w:id="56"/>
      <w:r w:rsidRPr="00C820E8">
        <w:t>ELECTION OF STUDY POPULATION</w:t>
      </w:r>
      <w:bookmarkEnd w:id="57"/>
    </w:p>
    <w:p w14:paraId="60DC8355" w14:textId="77777777" w:rsidR="00FC7470" w:rsidRPr="00C820E8" w:rsidRDefault="00FC7470" w:rsidP="006F53AF">
      <w:pPr>
        <w:pStyle w:val="20"/>
      </w:pPr>
      <w:bookmarkStart w:id="58" w:name="_Toc112064837"/>
      <w:r>
        <w:t>Inclusion Criteria</w:t>
      </w:r>
      <w:bookmarkEnd w:id="58"/>
    </w:p>
    <w:p w14:paraId="6C403517" w14:textId="185571CE" w:rsidR="0024744A" w:rsidRPr="00265512" w:rsidRDefault="0024744A" w:rsidP="004322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NewRomanPSMT"/>
          <w:color w:val="000000"/>
        </w:rPr>
      </w:pPr>
      <w:bookmarkStart w:id="59" w:name="_Ref508804911"/>
      <w:r w:rsidRPr="00265512">
        <w:rPr>
          <w:rFonts w:eastAsia="TimesNewRomanPSMT"/>
          <w:color w:val="000000"/>
          <w:lang w:val="en"/>
        </w:rPr>
        <w:t>Patients must meet all of the following criteria to be included in this study:</w:t>
      </w:r>
    </w:p>
    <w:p w14:paraId="4EC966C5" w14:textId="70B3D4F2" w:rsidR="0024744A" w:rsidRPr="00265512" w:rsidRDefault="0024744A" w:rsidP="00265512">
      <w:pPr>
        <w:pStyle w:val="13"/>
        <w:numPr>
          <w:ilvl w:val="0"/>
          <w:numId w:val="52"/>
        </w:numPr>
        <w:spacing w:beforeLines="0" w:after="120" w:line="276" w:lineRule="auto"/>
        <w:ind w:left="418" w:firstLineChars="0" w:hanging="418"/>
        <w:rPr>
          <w:snapToGrid w:val="0"/>
          <w:color w:val="000000" w:themeColor="text1"/>
          <w:kern w:val="0"/>
          <w:sz w:val="24"/>
          <w:szCs w:val="24"/>
        </w:rPr>
      </w:pPr>
      <w:r w:rsidRPr="00265512">
        <w:rPr>
          <w:color w:val="000000" w:themeColor="text1"/>
          <w:sz w:val="24"/>
          <w:szCs w:val="24"/>
          <w:lang w:val="en"/>
        </w:rPr>
        <w:t xml:space="preserve">Patients must be ≥18 years of age, male or female. </w:t>
      </w:r>
    </w:p>
    <w:p w14:paraId="1F786637" w14:textId="047F25A1" w:rsidR="0024744A" w:rsidRPr="00265512" w:rsidRDefault="0024744A" w:rsidP="00265512">
      <w:pPr>
        <w:pStyle w:val="13"/>
        <w:numPr>
          <w:ilvl w:val="0"/>
          <w:numId w:val="52"/>
        </w:numPr>
        <w:spacing w:beforeLines="0" w:after="120" w:line="276" w:lineRule="auto"/>
        <w:ind w:left="418" w:firstLineChars="0" w:hanging="418"/>
        <w:rPr>
          <w:snapToGrid w:val="0"/>
          <w:color w:val="000000" w:themeColor="text1"/>
          <w:kern w:val="0"/>
          <w:sz w:val="24"/>
          <w:szCs w:val="24"/>
        </w:rPr>
      </w:pPr>
      <w:r w:rsidRPr="00265512">
        <w:rPr>
          <w:color w:val="000000" w:themeColor="text1"/>
          <w:sz w:val="24"/>
          <w:szCs w:val="24"/>
          <w:lang w:val="en"/>
        </w:rPr>
        <w:t xml:space="preserve">Patients must have received at least </w:t>
      </w:r>
      <w:r w:rsidR="00EA599D">
        <w:rPr>
          <w:color w:val="000000" w:themeColor="text1"/>
          <w:sz w:val="24"/>
          <w:szCs w:val="24"/>
        </w:rPr>
        <w:t>three</w:t>
      </w:r>
      <w:r w:rsidRPr="00265512">
        <w:rPr>
          <w:color w:val="000000" w:themeColor="text1"/>
          <w:sz w:val="24"/>
          <w:szCs w:val="24"/>
          <w:lang w:val="en"/>
        </w:rPr>
        <w:t xml:space="preserve"> prior lines of therapy with relapsed, progressive or refractory EMM</w:t>
      </w:r>
      <w:r w:rsidR="00EA599D">
        <w:rPr>
          <w:color w:val="000000" w:themeColor="text1"/>
          <w:sz w:val="24"/>
          <w:szCs w:val="24"/>
          <w:lang w:val="en"/>
        </w:rPr>
        <w:t>,</w:t>
      </w:r>
      <w:r w:rsidRPr="00265512">
        <w:rPr>
          <w:color w:val="000000" w:themeColor="text1"/>
          <w:sz w:val="24"/>
          <w:szCs w:val="24"/>
          <w:lang w:val="en"/>
        </w:rPr>
        <w:t xml:space="preserve"> according to the IMWG Consensus on MM (2016). </w:t>
      </w:r>
    </w:p>
    <w:p w14:paraId="68F60CDE" w14:textId="25493030" w:rsidR="0024744A" w:rsidRPr="00265512" w:rsidRDefault="0024744A" w:rsidP="00265512">
      <w:pPr>
        <w:pStyle w:val="13"/>
        <w:numPr>
          <w:ilvl w:val="0"/>
          <w:numId w:val="52"/>
        </w:numPr>
        <w:spacing w:beforeLines="0" w:after="120" w:line="276" w:lineRule="auto"/>
        <w:ind w:left="418" w:firstLineChars="0" w:hanging="418"/>
        <w:rPr>
          <w:color w:val="000000" w:themeColor="text1"/>
          <w:sz w:val="24"/>
          <w:szCs w:val="24"/>
        </w:rPr>
      </w:pPr>
      <w:r w:rsidRPr="00265512">
        <w:rPr>
          <w:color w:val="000000" w:themeColor="text1"/>
          <w:sz w:val="24"/>
          <w:szCs w:val="24"/>
        </w:rPr>
        <w:t xml:space="preserve">The tumor </w:t>
      </w:r>
      <w:r w:rsidR="008D660D">
        <w:rPr>
          <w:rFonts w:hint="eastAsia"/>
          <w:color w:val="000000" w:themeColor="text1"/>
          <w:sz w:val="24"/>
          <w:szCs w:val="24"/>
        </w:rPr>
        <w:t>cells</w:t>
      </w:r>
      <w:r w:rsidRPr="00265512">
        <w:rPr>
          <w:color w:val="000000" w:themeColor="text1"/>
          <w:sz w:val="24"/>
          <w:szCs w:val="24"/>
        </w:rPr>
        <w:t xml:space="preserve"> of patients must have positive </w:t>
      </w:r>
      <w:r w:rsidRPr="00265512">
        <w:rPr>
          <w:color w:val="000000" w:themeColor="text1"/>
          <w:sz w:val="24"/>
          <w:szCs w:val="24"/>
          <w:lang w:val="en"/>
        </w:rPr>
        <w:t>BCMA expression, as determined by</w:t>
      </w:r>
      <w:r w:rsidRPr="00265512">
        <w:rPr>
          <w:color w:val="000000" w:themeColor="text1"/>
          <w:sz w:val="24"/>
          <w:szCs w:val="24"/>
        </w:rPr>
        <w:t xml:space="preserve"> </w:t>
      </w:r>
      <w:r w:rsidRPr="00265512">
        <w:rPr>
          <w:color w:val="000000" w:themeColor="text1"/>
          <w:sz w:val="24"/>
          <w:szCs w:val="24"/>
          <w:lang w:val="en"/>
        </w:rPr>
        <w:t xml:space="preserve">immunohistochemistry (IHC) or flow cytometry. </w:t>
      </w:r>
    </w:p>
    <w:p w14:paraId="42588607" w14:textId="6261E31A" w:rsidR="0024744A" w:rsidRPr="00265512" w:rsidRDefault="0024744A" w:rsidP="00265512">
      <w:pPr>
        <w:pStyle w:val="13"/>
        <w:numPr>
          <w:ilvl w:val="0"/>
          <w:numId w:val="52"/>
        </w:numPr>
        <w:spacing w:beforeLines="0" w:after="120" w:line="276" w:lineRule="auto"/>
        <w:ind w:left="418" w:firstLineChars="0" w:hanging="418"/>
        <w:rPr>
          <w:color w:val="000000" w:themeColor="text1"/>
          <w:sz w:val="24"/>
          <w:szCs w:val="24"/>
        </w:rPr>
      </w:pPr>
      <w:r w:rsidRPr="00265512">
        <w:rPr>
          <w:color w:val="000000" w:themeColor="text1"/>
          <w:sz w:val="24"/>
          <w:szCs w:val="24"/>
          <w:lang w:val="en"/>
        </w:rPr>
        <w:t xml:space="preserve">Measurable disease at Screening as defined by the following criteria: </w:t>
      </w:r>
    </w:p>
    <w:p w14:paraId="591A8B2A" w14:textId="1376D6C8" w:rsidR="0024744A" w:rsidRPr="00265512" w:rsidRDefault="0024744A" w:rsidP="00265512">
      <w:pPr>
        <w:pStyle w:val="aff"/>
        <w:widowControl w:val="0"/>
        <w:numPr>
          <w:ilvl w:val="0"/>
          <w:numId w:val="43"/>
        </w:numPr>
        <w:spacing w:after="120" w:line="276" w:lineRule="auto"/>
        <w:ind w:left="720" w:hanging="360"/>
        <w:contextualSpacing w:val="0"/>
        <w:jc w:val="both"/>
        <w:rPr>
          <w:rFonts w:ascii="Times New Roman" w:hAnsi="Times New Roman" w:cs="Times New Roman"/>
          <w:color w:val="000000" w:themeColor="text1"/>
          <w:sz w:val="24"/>
          <w:szCs w:val="24"/>
          <w:u w:color="000000"/>
        </w:rPr>
      </w:pPr>
      <w:r w:rsidRPr="00265512">
        <w:rPr>
          <w:rFonts w:ascii="Times New Roman" w:hAnsi="Times New Roman" w:cs="Times New Roman"/>
          <w:color w:val="000000" w:themeColor="text1"/>
          <w:sz w:val="24"/>
          <w:szCs w:val="24"/>
          <w:u w:color="000000"/>
          <w:lang w:val="en"/>
        </w:rPr>
        <w:t xml:space="preserve">Patients with extramedullary myeloma </w:t>
      </w:r>
      <w:r w:rsidR="00EA599D">
        <w:rPr>
          <w:rFonts w:ascii="Times New Roman" w:hAnsi="Times New Roman" w:cs="Times New Roman"/>
          <w:color w:val="000000" w:themeColor="text1"/>
          <w:sz w:val="24"/>
          <w:szCs w:val="24"/>
          <w:u w:color="000000"/>
          <w:lang w:val="en"/>
        </w:rPr>
        <w:t>must have an extramedullary plasmacytoma</w:t>
      </w:r>
      <w:r w:rsidR="008D660D" w:rsidRPr="008D660D">
        <w:rPr>
          <w:rFonts w:ascii="Times New Roman" w:hAnsi="Times New Roman" w:cs="Times New Roman" w:hint="eastAsia"/>
          <w:color w:val="000000" w:themeColor="text1"/>
          <w:sz w:val="24"/>
          <w:szCs w:val="24"/>
          <w:u w:color="000000"/>
          <w:lang w:val="en"/>
        </w:rPr>
        <w:t xml:space="preserve"> at least </w:t>
      </w:r>
      <w:r w:rsidR="008D660D" w:rsidRPr="008D660D">
        <w:rPr>
          <w:rFonts w:ascii="Times New Roman" w:hAnsi="Times New Roman" w:cs="Times New Roman" w:hint="eastAsia"/>
          <w:color w:val="000000" w:themeColor="text1"/>
          <w:sz w:val="24"/>
          <w:szCs w:val="24"/>
          <w:u w:color="000000"/>
          <w:lang w:val="en"/>
        </w:rPr>
        <w:t>≥</w:t>
      </w:r>
      <w:r w:rsidR="00EA599D">
        <w:rPr>
          <w:rFonts w:ascii="Times New Roman" w:eastAsiaTheme="minorEastAsia" w:hAnsi="Times New Roman" w:cs="Times New Roman" w:hint="eastAsia"/>
          <w:color w:val="000000" w:themeColor="text1"/>
          <w:sz w:val="24"/>
          <w:szCs w:val="24"/>
          <w:u w:color="000000"/>
          <w:lang w:val="en" w:eastAsia="zh-CN"/>
        </w:rPr>
        <w:t xml:space="preserve"> </w:t>
      </w:r>
      <w:r w:rsidR="008D660D" w:rsidRPr="008D660D">
        <w:rPr>
          <w:rFonts w:ascii="Times New Roman" w:hAnsi="Times New Roman" w:cs="Times New Roman" w:hint="eastAsia"/>
          <w:color w:val="000000" w:themeColor="text1"/>
          <w:sz w:val="24"/>
          <w:szCs w:val="24"/>
          <w:u w:color="000000"/>
          <w:lang w:val="en"/>
        </w:rPr>
        <w:t>2 cm in maximum diameter or have serous effusion in which monoclonal plasma cells are detectable</w:t>
      </w:r>
      <w:r w:rsidRPr="00265512">
        <w:rPr>
          <w:rFonts w:ascii="Times New Roman" w:hAnsi="Times New Roman" w:cs="Times New Roman"/>
          <w:color w:val="000000" w:themeColor="text1"/>
          <w:sz w:val="24"/>
          <w:szCs w:val="24"/>
          <w:u w:color="000000"/>
          <w:lang w:val="en"/>
        </w:rPr>
        <w:t xml:space="preserve">. </w:t>
      </w:r>
    </w:p>
    <w:p w14:paraId="6A59B52E" w14:textId="636B1497" w:rsidR="0024744A" w:rsidRPr="00265512" w:rsidRDefault="0024744A" w:rsidP="00265512">
      <w:pPr>
        <w:pStyle w:val="13"/>
        <w:numPr>
          <w:ilvl w:val="0"/>
          <w:numId w:val="52"/>
        </w:numPr>
        <w:spacing w:beforeLines="0" w:after="120" w:line="276" w:lineRule="auto"/>
        <w:ind w:left="418" w:firstLineChars="0" w:hanging="418"/>
        <w:rPr>
          <w:color w:val="000000" w:themeColor="text1"/>
          <w:sz w:val="24"/>
          <w:szCs w:val="24"/>
        </w:rPr>
      </w:pPr>
      <w:r w:rsidRPr="00265512">
        <w:rPr>
          <w:color w:val="000000" w:themeColor="text1"/>
          <w:sz w:val="24"/>
          <w:szCs w:val="24"/>
          <w:lang w:val="en"/>
        </w:rPr>
        <w:t xml:space="preserve">Eastern Cooperative Oncology Group (ECOG) performance status of 0 to 2 (see </w:t>
      </w:r>
      <w:r w:rsidR="00750591" w:rsidRPr="00750591">
        <w:rPr>
          <w:color w:val="0000FF"/>
          <w:sz w:val="24"/>
          <w:szCs w:val="24"/>
          <w:lang w:val="en"/>
        </w:rPr>
        <w:fldChar w:fldCharType="begin"/>
      </w:r>
      <w:r w:rsidR="00750591" w:rsidRPr="00750591">
        <w:rPr>
          <w:color w:val="0000FF"/>
          <w:sz w:val="24"/>
          <w:szCs w:val="24"/>
          <w:lang w:val="en"/>
        </w:rPr>
        <w:instrText xml:space="preserve"> REF app1 \h  \* MERGEFORMAT </w:instrText>
      </w:r>
      <w:r w:rsidR="00750591" w:rsidRPr="00750591">
        <w:rPr>
          <w:color w:val="0000FF"/>
          <w:sz w:val="24"/>
          <w:szCs w:val="24"/>
          <w:lang w:val="en"/>
        </w:rPr>
      </w:r>
      <w:r w:rsidR="00750591" w:rsidRPr="00750591">
        <w:rPr>
          <w:color w:val="0000FF"/>
          <w:sz w:val="24"/>
          <w:szCs w:val="24"/>
          <w:lang w:val="en"/>
        </w:rPr>
        <w:fldChar w:fldCharType="separate"/>
      </w:r>
      <w:r w:rsidR="00750591" w:rsidRPr="00750591">
        <w:rPr>
          <w:color w:val="0000FF"/>
        </w:rPr>
        <w:t>Appendix </w:t>
      </w:r>
      <w:r w:rsidR="00750591" w:rsidRPr="00750591">
        <w:rPr>
          <w:noProof/>
          <w:color w:val="0000FF"/>
        </w:rPr>
        <w:t>1</w:t>
      </w:r>
      <w:r w:rsidR="00750591" w:rsidRPr="00750591">
        <w:rPr>
          <w:color w:val="0000FF"/>
          <w:sz w:val="24"/>
          <w:szCs w:val="24"/>
          <w:lang w:val="en"/>
        </w:rPr>
        <w:fldChar w:fldCharType="end"/>
      </w:r>
      <w:r w:rsidRPr="00265512">
        <w:rPr>
          <w:color w:val="000000" w:themeColor="text1"/>
          <w:sz w:val="24"/>
          <w:szCs w:val="24"/>
          <w:lang w:val="en"/>
        </w:rPr>
        <w:t xml:space="preserve"> for ECOG performance status score). </w:t>
      </w:r>
    </w:p>
    <w:p w14:paraId="0E888745" w14:textId="143ED07E" w:rsidR="0024744A" w:rsidRPr="00265512" w:rsidRDefault="0024744A" w:rsidP="00265512">
      <w:pPr>
        <w:pStyle w:val="13"/>
        <w:numPr>
          <w:ilvl w:val="0"/>
          <w:numId w:val="52"/>
        </w:numPr>
        <w:spacing w:beforeLines="0" w:after="120" w:line="276" w:lineRule="auto"/>
        <w:ind w:left="418" w:firstLineChars="0" w:hanging="418"/>
        <w:rPr>
          <w:color w:val="000000" w:themeColor="text1"/>
          <w:sz w:val="24"/>
          <w:szCs w:val="24"/>
        </w:rPr>
      </w:pPr>
      <w:r w:rsidRPr="00265512">
        <w:rPr>
          <w:color w:val="000000" w:themeColor="text1"/>
          <w:sz w:val="24"/>
          <w:szCs w:val="24"/>
          <w:lang w:val="en"/>
        </w:rPr>
        <w:t xml:space="preserve">Have an expected survival of ≥12 weeks. </w:t>
      </w:r>
    </w:p>
    <w:p w14:paraId="26BA2893" w14:textId="190ACB62" w:rsidR="0024744A" w:rsidRPr="00265512" w:rsidRDefault="0024744A" w:rsidP="00265512">
      <w:pPr>
        <w:pStyle w:val="13"/>
        <w:numPr>
          <w:ilvl w:val="0"/>
          <w:numId w:val="52"/>
        </w:numPr>
        <w:spacing w:beforeLines="0" w:after="120" w:line="276" w:lineRule="auto"/>
        <w:ind w:left="418" w:firstLineChars="0" w:hanging="418"/>
        <w:rPr>
          <w:color w:val="000000" w:themeColor="text1"/>
          <w:sz w:val="24"/>
          <w:szCs w:val="24"/>
        </w:rPr>
      </w:pPr>
      <w:r w:rsidRPr="00265512">
        <w:rPr>
          <w:color w:val="000000" w:themeColor="text1"/>
          <w:sz w:val="24"/>
          <w:szCs w:val="24"/>
          <w:lang w:val="en"/>
        </w:rPr>
        <w:t xml:space="preserve">Patients must have adequate organ function and meet all of the following laboratory test results before enrollment: </w:t>
      </w:r>
    </w:p>
    <w:p w14:paraId="4EB36652" w14:textId="698AE845" w:rsidR="0024744A" w:rsidRPr="00265512" w:rsidRDefault="00F26339" w:rsidP="00265512">
      <w:pPr>
        <w:pStyle w:val="aff3"/>
        <w:numPr>
          <w:ilvl w:val="0"/>
          <w:numId w:val="43"/>
        </w:numPr>
        <w:topLinePunct/>
        <w:adjustRightInd w:val="0"/>
        <w:spacing w:after="120" w:line="276" w:lineRule="auto"/>
        <w:ind w:left="720" w:firstLineChars="0" w:hanging="360"/>
        <w:rPr>
          <w:color w:val="000000" w:themeColor="text1"/>
        </w:rPr>
      </w:pPr>
      <w:r w:rsidRPr="00F26339">
        <w:t xml:space="preserve"> </w:t>
      </w:r>
      <w:r w:rsidRPr="00F26339">
        <w:rPr>
          <w:color w:val="000000" w:themeColor="text1"/>
          <w:lang w:val="en"/>
        </w:rPr>
        <w:t>Complete blood count (CBC)</w:t>
      </w:r>
      <w:r w:rsidR="0024744A" w:rsidRPr="00265512">
        <w:rPr>
          <w:color w:val="000000" w:themeColor="text1"/>
          <w:lang w:val="en"/>
        </w:rPr>
        <w:t>: absolute neutrophil count (ANC) ≥</w:t>
      </w:r>
      <w:r w:rsidR="00EA599D">
        <w:rPr>
          <w:color w:val="000000" w:themeColor="text1"/>
          <w:lang w:val="en"/>
        </w:rPr>
        <w:t xml:space="preserve"> </w:t>
      </w:r>
      <w:r w:rsidR="0024744A" w:rsidRPr="00265512">
        <w:rPr>
          <w:color w:val="000000" w:themeColor="text1"/>
          <w:lang w:val="en"/>
        </w:rPr>
        <w:t>1 × 10</w:t>
      </w:r>
      <w:r w:rsidR="0024744A" w:rsidRPr="00265512">
        <w:rPr>
          <w:color w:val="000000" w:themeColor="text1"/>
          <w:vertAlign w:val="superscript"/>
          <w:lang w:val="en"/>
        </w:rPr>
        <w:t>9</w:t>
      </w:r>
      <w:r w:rsidR="0024744A" w:rsidRPr="00265512">
        <w:rPr>
          <w:color w:val="000000" w:themeColor="text1"/>
          <w:lang w:val="en"/>
        </w:rPr>
        <w:t>/L; absolute lymphocyte count (ALC) ≥0.3 × 10</w:t>
      </w:r>
      <w:r w:rsidR="0024744A" w:rsidRPr="00265512">
        <w:rPr>
          <w:color w:val="000000" w:themeColor="text1"/>
          <w:vertAlign w:val="superscript"/>
          <w:lang w:val="en"/>
        </w:rPr>
        <w:t>9</w:t>
      </w:r>
      <w:r w:rsidR="0024744A" w:rsidRPr="00265512">
        <w:rPr>
          <w:color w:val="000000" w:themeColor="text1"/>
          <w:lang w:val="en"/>
        </w:rPr>
        <w:t xml:space="preserve">/L; platelet count </w:t>
      </w:r>
      <w:r w:rsidR="00F458B7">
        <w:rPr>
          <w:color w:val="000000" w:themeColor="text1"/>
          <w:lang w:val="en"/>
        </w:rPr>
        <w:t>≥</w:t>
      </w:r>
      <w:r w:rsidR="0024744A" w:rsidRPr="00265512">
        <w:rPr>
          <w:color w:val="000000" w:themeColor="text1"/>
          <w:lang w:val="en"/>
        </w:rPr>
        <w:t>50 × 10</w:t>
      </w:r>
      <w:r w:rsidR="0024744A" w:rsidRPr="00265512">
        <w:rPr>
          <w:color w:val="000000" w:themeColor="text1"/>
          <w:vertAlign w:val="superscript"/>
          <w:lang w:val="en"/>
        </w:rPr>
        <w:t>9</w:t>
      </w:r>
      <w:r w:rsidR="0024744A" w:rsidRPr="00265512">
        <w:rPr>
          <w:color w:val="000000" w:themeColor="text1"/>
          <w:lang w:val="en"/>
        </w:rPr>
        <w:t xml:space="preserve">/L; hemoglobin </w:t>
      </w:r>
      <w:r w:rsidR="00F458B7">
        <w:rPr>
          <w:color w:val="000000" w:themeColor="text1"/>
          <w:lang w:val="en"/>
        </w:rPr>
        <w:t>≥</w:t>
      </w:r>
      <w:r w:rsidR="00EA599D">
        <w:rPr>
          <w:color w:val="000000" w:themeColor="text1"/>
          <w:lang w:val="en"/>
        </w:rPr>
        <w:t xml:space="preserve"> </w:t>
      </w:r>
      <w:r w:rsidR="0024744A" w:rsidRPr="00265512">
        <w:rPr>
          <w:color w:val="000000" w:themeColor="text1"/>
          <w:lang w:val="en"/>
        </w:rPr>
        <w:t>60</w:t>
      </w:r>
      <w:r w:rsidR="0024744A" w:rsidRPr="00265512">
        <w:rPr>
          <w:color w:val="000000" w:themeColor="text1"/>
        </w:rPr>
        <w:t> </w:t>
      </w:r>
      <w:r w:rsidR="0024744A" w:rsidRPr="00265512">
        <w:rPr>
          <w:color w:val="000000" w:themeColor="text1"/>
          <w:lang w:val="en"/>
        </w:rPr>
        <w:t xml:space="preserve">g/L. </w:t>
      </w:r>
    </w:p>
    <w:p w14:paraId="5369263D" w14:textId="10FD8C9D" w:rsidR="0024744A" w:rsidRPr="00265512" w:rsidRDefault="0024744A" w:rsidP="00265512">
      <w:pPr>
        <w:pStyle w:val="aff3"/>
        <w:numPr>
          <w:ilvl w:val="0"/>
          <w:numId w:val="43"/>
        </w:numPr>
        <w:topLinePunct/>
        <w:adjustRightInd w:val="0"/>
        <w:spacing w:after="120" w:line="276" w:lineRule="auto"/>
        <w:ind w:left="720" w:firstLineChars="0" w:hanging="360"/>
        <w:rPr>
          <w:color w:val="000000" w:themeColor="text1"/>
        </w:rPr>
      </w:pPr>
      <w:r w:rsidRPr="00265512">
        <w:rPr>
          <w:color w:val="000000" w:themeColor="text1"/>
          <w:lang w:val="en"/>
        </w:rPr>
        <w:t xml:space="preserve">Liver function: alanine aminotransferase (ALT) and aspartate aminotransferase (AST) </w:t>
      </w:r>
      <w:r w:rsidR="00F458B7">
        <w:rPr>
          <w:color w:val="000000" w:themeColor="text1"/>
          <w:lang w:val="en"/>
        </w:rPr>
        <w:t>≤</w:t>
      </w:r>
      <w:r w:rsidR="00EA599D">
        <w:rPr>
          <w:color w:val="000000" w:themeColor="text1"/>
          <w:lang w:val="en"/>
        </w:rPr>
        <w:t xml:space="preserve"> </w:t>
      </w:r>
      <w:r w:rsidRPr="00265512">
        <w:rPr>
          <w:color w:val="000000" w:themeColor="text1"/>
          <w:lang w:val="en"/>
        </w:rPr>
        <w:t>2.5 × the upper limit of normal (ULN); serum total bilirubin (STB) ≤</w:t>
      </w:r>
      <w:r w:rsidR="00EA599D">
        <w:rPr>
          <w:color w:val="000000" w:themeColor="text1"/>
          <w:lang w:val="en"/>
        </w:rPr>
        <w:t xml:space="preserve"> </w:t>
      </w:r>
      <w:r w:rsidRPr="00265512">
        <w:rPr>
          <w:color w:val="000000" w:themeColor="text1"/>
          <w:lang w:val="en"/>
        </w:rPr>
        <w:t xml:space="preserve">1.5 × </w:t>
      </w:r>
      <w:r w:rsidR="006A2113" w:rsidRPr="00265512">
        <w:rPr>
          <w:color w:val="000000" w:themeColor="text1"/>
          <w:lang w:val="en"/>
        </w:rPr>
        <w:t>ULN.</w:t>
      </w:r>
      <w:r w:rsidRPr="00265512">
        <w:rPr>
          <w:color w:val="000000" w:themeColor="text1"/>
          <w:lang w:val="en"/>
        </w:rPr>
        <w:t xml:space="preserve"> </w:t>
      </w:r>
    </w:p>
    <w:p w14:paraId="03ECD2D2" w14:textId="29698BC6" w:rsidR="0024744A" w:rsidRPr="00265512" w:rsidRDefault="0024744A" w:rsidP="00265512">
      <w:pPr>
        <w:pStyle w:val="aff3"/>
        <w:numPr>
          <w:ilvl w:val="0"/>
          <w:numId w:val="43"/>
        </w:numPr>
        <w:topLinePunct/>
        <w:adjustRightInd w:val="0"/>
        <w:spacing w:after="120" w:line="276" w:lineRule="auto"/>
        <w:ind w:left="720" w:firstLineChars="0" w:hanging="360"/>
        <w:rPr>
          <w:color w:val="000000" w:themeColor="text1"/>
        </w:rPr>
      </w:pPr>
      <w:r w:rsidRPr="00265512">
        <w:rPr>
          <w:color w:val="000000" w:themeColor="text1"/>
          <w:lang w:val="en"/>
        </w:rPr>
        <w:t>Renal function: creatinine clearance (</w:t>
      </w:r>
      <w:proofErr w:type="spellStart"/>
      <w:r w:rsidRPr="00265512">
        <w:rPr>
          <w:color w:val="000000" w:themeColor="text1"/>
          <w:lang w:val="en"/>
        </w:rPr>
        <w:t>CrCl</w:t>
      </w:r>
      <w:proofErr w:type="spellEnd"/>
      <w:r w:rsidRPr="00265512">
        <w:rPr>
          <w:color w:val="000000" w:themeColor="text1"/>
          <w:lang w:val="en"/>
        </w:rPr>
        <w:t xml:space="preserve">) calculated using Cockcroft-Gault formula </w:t>
      </w:r>
      <w:r w:rsidR="00F458B7">
        <w:rPr>
          <w:color w:val="000000" w:themeColor="text1"/>
          <w:lang w:val="en"/>
        </w:rPr>
        <w:t>≥</w:t>
      </w:r>
      <w:r w:rsidRPr="00265512">
        <w:rPr>
          <w:color w:val="000000" w:themeColor="text1"/>
          <w:lang w:val="en"/>
        </w:rPr>
        <w:t>40</w:t>
      </w:r>
      <w:r w:rsidRPr="00265512">
        <w:rPr>
          <w:color w:val="000000" w:themeColor="text1"/>
        </w:rPr>
        <w:t> </w:t>
      </w:r>
      <w:r w:rsidRPr="00265512">
        <w:rPr>
          <w:color w:val="000000" w:themeColor="text1"/>
          <w:lang w:val="en"/>
        </w:rPr>
        <w:t xml:space="preserve">mL/min (not applicable if the investigator determines that the abnormal renal function </w:t>
      </w:r>
      <w:proofErr w:type="gramStart"/>
      <w:r w:rsidRPr="00265512">
        <w:rPr>
          <w:color w:val="000000" w:themeColor="text1"/>
          <w:lang w:val="en"/>
        </w:rPr>
        <w:t xml:space="preserve">is </w:t>
      </w:r>
      <w:r w:rsidR="00EA599D">
        <w:rPr>
          <w:color w:val="000000" w:themeColor="text1"/>
          <w:lang w:val="en"/>
        </w:rPr>
        <w:t xml:space="preserve"> </w:t>
      </w:r>
      <w:r w:rsidRPr="00265512">
        <w:rPr>
          <w:color w:val="000000" w:themeColor="text1"/>
          <w:lang w:val="en"/>
        </w:rPr>
        <w:t>caused</w:t>
      </w:r>
      <w:proofErr w:type="gramEnd"/>
      <w:r w:rsidRPr="00265512">
        <w:rPr>
          <w:color w:val="000000" w:themeColor="text1"/>
          <w:lang w:val="en"/>
        </w:rPr>
        <w:t xml:space="preserve"> by the progression of </w:t>
      </w:r>
      <w:r w:rsidR="00EA599D">
        <w:rPr>
          <w:color w:val="000000" w:themeColor="text1"/>
          <w:lang w:val="en"/>
        </w:rPr>
        <w:t xml:space="preserve">the </w:t>
      </w:r>
      <w:r w:rsidRPr="00265512">
        <w:rPr>
          <w:color w:val="000000" w:themeColor="text1"/>
          <w:lang w:val="en"/>
        </w:rPr>
        <w:t xml:space="preserve">primary </w:t>
      </w:r>
      <w:r w:rsidR="006A2113" w:rsidRPr="00265512">
        <w:rPr>
          <w:color w:val="000000" w:themeColor="text1"/>
          <w:lang w:val="en"/>
        </w:rPr>
        <w:t>disease</w:t>
      </w:r>
      <w:r w:rsidR="006A2113" w:rsidRPr="00265512" w:rsidDel="004F4570">
        <w:rPr>
          <w:color w:val="000000" w:themeColor="text1"/>
          <w:lang w:val="en"/>
        </w:rPr>
        <w:t>.</w:t>
      </w:r>
    </w:p>
    <w:p w14:paraId="2F6081E8" w14:textId="77777777" w:rsidR="0024744A" w:rsidRPr="00265512" w:rsidRDefault="0024744A" w:rsidP="00265512">
      <w:pPr>
        <w:pStyle w:val="aff3"/>
        <w:topLinePunct/>
        <w:adjustRightInd w:val="0"/>
        <w:spacing w:after="120" w:line="276" w:lineRule="auto"/>
        <w:ind w:left="720" w:firstLineChars="0" w:hanging="360"/>
        <w:rPr>
          <w:color w:val="000000" w:themeColor="text1"/>
        </w:rPr>
      </w:pPr>
      <w:r w:rsidRPr="00265512">
        <w:rPr>
          <w:noProof/>
          <w:color w:val="000000" w:themeColor="text1"/>
          <w:kern w:val="0"/>
          <w:lang w:val="en"/>
        </w:rPr>
        <mc:AlternateContent>
          <mc:Choice Requires="wps">
            <w:drawing>
              <wp:anchor distT="0" distB="0" distL="114300" distR="114300" simplePos="0" relativeHeight="251661312" behindDoc="0" locked="0" layoutInCell="1" allowOverlap="1" wp14:anchorId="356329EB" wp14:editId="384BF037">
                <wp:simplePos x="0" y="0"/>
                <wp:positionH relativeFrom="column">
                  <wp:posOffset>619125</wp:posOffset>
                </wp:positionH>
                <wp:positionV relativeFrom="paragraph">
                  <wp:posOffset>57150</wp:posOffset>
                </wp:positionV>
                <wp:extent cx="3183255" cy="527050"/>
                <wp:effectExtent l="0" t="0" r="0" b="0"/>
                <wp:wrapNone/>
                <wp:docPr id="3" name="文本框 1"/>
                <wp:cNvGraphicFramePr/>
                <a:graphic xmlns:a="http://schemas.openxmlformats.org/drawingml/2006/main">
                  <a:graphicData uri="http://schemas.microsoft.com/office/word/2010/wordprocessingShape">
                    <wps:wsp>
                      <wps:cNvSpPr txBox="1"/>
                      <wps:spPr>
                        <a:xfrm>
                          <a:off x="0" y="0"/>
                          <a:ext cx="3183255" cy="527050"/>
                        </a:xfrm>
                        <a:prstGeom prst="rect">
                          <a:avLst/>
                        </a:prstGeom>
                        <a:noFill/>
                        <a:ln>
                          <a:noFill/>
                        </a:ln>
                        <a:effectLst/>
                      </wps:spPr>
                      <wps:txbx>
                        <w:txbxContent>
                          <w:p w14:paraId="197BBE84" w14:textId="77777777" w:rsidR="008D660D" w:rsidRDefault="008D660D" w:rsidP="0024744A">
                            <w:pPr>
                              <w:pStyle w:val="aff2"/>
                              <w:spacing w:before="0" w:beforeAutospacing="0" w:after="0" w:afterAutospacing="0"/>
                              <w:ind w:left="480" w:hanging="480"/>
                              <w:jc w:val="center"/>
                              <w:rPr>
                                <w:rFonts w:eastAsiaTheme="minorEastAsia"/>
                              </w:rPr>
                            </w:pPr>
                            <w:r>
                              <w:rPr>
                                <w:rFonts w:eastAsiaTheme="minorEastAsia"/>
                                <w:color w:val="000000"/>
                                <w:kern w:val="24"/>
                                <w:lang w:val="en"/>
                              </w:rPr>
                              <w:t>C</w:t>
                            </w:r>
                            <m:oMath>
                              <m:r>
                                <m:rPr>
                                  <m:sty m:val="p"/>
                                </m:rPr>
                                <w:rPr>
                                  <w:rFonts w:ascii="Cambria Math" w:eastAsiaTheme="minorEastAsia" w:hAnsi="Cambria Math"/>
                                  <w:color w:val="000000"/>
                                  <w:kern w:val="24"/>
                                </w:rPr>
                                <m:t>rC</m:t>
                              </m:r>
                              <m:r>
                                <w:rPr>
                                  <w:rFonts w:ascii="Cambria Math" w:eastAsiaTheme="minorEastAsia" w:hAnsi="Cambria Math"/>
                                  <w:color w:val="000000"/>
                                  <w:kern w:val="24"/>
                                </w:rPr>
                                <m:t>l=</m:t>
                              </m:r>
                              <m:f>
                                <m:fPr>
                                  <m:ctrlPr>
                                    <w:rPr>
                                      <w:rFonts w:ascii="Cambria Math" w:eastAsiaTheme="minorEastAsia" w:hAnsi="Cambria Math"/>
                                      <w:i/>
                                      <w:iCs/>
                                      <w:color w:val="000000"/>
                                      <w:kern w:val="24"/>
                                    </w:rPr>
                                  </m:ctrlPr>
                                </m:fPr>
                                <m:num>
                                  <m:d>
                                    <m:dPr>
                                      <m:ctrlPr>
                                        <w:rPr>
                                          <w:rFonts w:ascii="Cambria Math" w:eastAsiaTheme="minorEastAsia" w:hAnsi="Cambria Math"/>
                                          <w:i/>
                                          <w:iCs/>
                                          <w:color w:val="000000"/>
                                          <w:kern w:val="24"/>
                                        </w:rPr>
                                      </m:ctrlPr>
                                    </m:dPr>
                                    <m:e>
                                      <m:r>
                                        <w:rPr>
                                          <w:rFonts w:ascii="Cambria Math" w:eastAsiaTheme="minorEastAsia" w:hAnsi="Cambria Math"/>
                                          <w:color w:val="000000"/>
                                          <w:kern w:val="24"/>
                                        </w:rPr>
                                        <m:t>140-age</m:t>
                                      </m:r>
                                    </m:e>
                                  </m:d>
                                  <m:r>
                                    <w:rPr>
                                      <w:rFonts w:ascii="Cambria Math" w:eastAsiaTheme="minorEastAsia" w:hAnsi="Cambria Math"/>
                                      <w:color w:val="000000"/>
                                      <w:kern w:val="24"/>
                                    </w:rPr>
                                    <m:t>×Body weight</m:t>
                                  </m:r>
                                  <m:d>
                                    <m:dPr>
                                      <m:ctrlPr>
                                        <w:rPr>
                                          <w:rFonts w:ascii="Cambria Math" w:eastAsiaTheme="minorEastAsia" w:hAnsi="Cambria Math"/>
                                          <w:i/>
                                          <w:iCs/>
                                          <w:color w:val="000000"/>
                                          <w:kern w:val="24"/>
                                        </w:rPr>
                                      </m:ctrlPr>
                                    </m:dPr>
                                    <m:e>
                                      <m:r>
                                        <w:rPr>
                                          <w:rFonts w:ascii="Cambria Math" w:eastAsiaTheme="minorEastAsia" w:hAnsi="Cambria Math"/>
                                          <w:color w:val="000000"/>
                                          <w:kern w:val="24"/>
                                        </w:rPr>
                                        <m:t>kg</m:t>
                                      </m:r>
                                    </m:e>
                                  </m:d>
                                </m:num>
                                <m:den>
                                  <m:r>
                                    <w:rPr>
                                      <w:rFonts w:ascii="Cambria Math" w:eastAsiaTheme="minorEastAsia" w:hAnsi="Cambria Math"/>
                                      <w:color w:val="000000"/>
                                      <w:kern w:val="24"/>
                                    </w:rPr>
                                    <m:t>72×Serum creatine</m:t>
                                  </m:r>
                                  <m:d>
                                    <m:dPr>
                                      <m:ctrlPr>
                                        <w:rPr>
                                          <w:rFonts w:ascii="Cambria Math" w:eastAsiaTheme="minorEastAsia" w:hAnsi="Cambria Math"/>
                                          <w:i/>
                                          <w:iCs/>
                                          <w:color w:val="000000"/>
                                          <w:kern w:val="24"/>
                                        </w:rPr>
                                      </m:ctrlPr>
                                    </m:dPr>
                                    <m:e>
                                      <m:f>
                                        <m:fPr>
                                          <m:ctrlPr>
                                            <w:rPr>
                                              <w:rFonts w:ascii="Cambria Math" w:eastAsiaTheme="minorEastAsia" w:hAnsi="Cambria Math"/>
                                              <w:i/>
                                              <w:color w:val="000000"/>
                                              <w:kern w:val="24"/>
                                            </w:rPr>
                                          </m:ctrlPr>
                                        </m:fPr>
                                        <m:num>
                                          <m:r>
                                            <w:rPr>
                                              <w:rFonts w:ascii="Cambria Math" w:eastAsiaTheme="minorEastAsia" w:hAnsi="Cambria Math"/>
                                              <w:color w:val="000000"/>
                                              <w:kern w:val="24"/>
                                            </w:rPr>
                                            <m:t>mg</m:t>
                                          </m:r>
                                        </m:num>
                                        <m:den>
                                          <m:r>
                                            <w:rPr>
                                              <w:rFonts w:ascii="Cambria Math" w:eastAsiaTheme="minorEastAsia" w:hAnsi="Cambria Math"/>
                                              <w:color w:val="000000"/>
                                              <w:kern w:val="24"/>
                                            </w:rPr>
                                            <m:t>dL</m:t>
                                          </m:r>
                                        </m:den>
                                      </m:f>
                                    </m:e>
                                  </m:d>
                                </m:den>
                              </m:f>
                              <m:r>
                                <w:rPr>
                                  <w:rFonts w:ascii="Cambria Math" w:eastAsiaTheme="minorEastAsia" w:hAnsi="Cambria Math"/>
                                  <w:color w:val="000000"/>
                                  <w:kern w:val="24"/>
                                </w:rPr>
                                <m:t>(×0.85 F)</m:t>
                              </m:r>
                            </m:oMath>
                          </w:p>
                        </w:txbxContent>
                      </wps:txbx>
                      <wps:bodyPr wrap="square" lIns="0" tIns="0" rIns="0" bIns="0" rtlCol="0">
                        <a:noAutofit/>
                      </wps:bodyPr>
                    </wps:wsp>
                  </a:graphicData>
                </a:graphic>
              </wp:anchor>
            </w:drawing>
          </mc:Choice>
          <mc:Fallback>
            <w:pict>
              <v:shape w14:anchorId="356329EB" id="_x0000_s1027" type="#_x0000_t202" style="position:absolute;left:0;text-align:left;margin-left:48.75pt;margin-top:4.5pt;width:250.65pt;height:41.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" filled="f" stroked="f">
                <v:textbox inset="0,0,0,0">
                  <w:txbxContent>
                    <w:p w14:paraId="197BBE84" w14:textId="77777777" w:rsidR="008D660D" w:rsidRDefault="008D660D" w:rsidP="0024744A">
                      <w:pPr>
                        <w:pStyle w:val="aff2"/>
                        <w:spacing w:before="0" w:beforeAutospacing="0" w:after="0" w:afterAutospacing="0"/>
                        <w:ind w:left="480" w:hanging="480"/>
                        <w:jc w:val="center"/>
                        <w:rPr>
                          <w:rFonts w:eastAsiaTheme="minorEastAsia"/>
                        </w:rPr>
                      </w:pPr>
                      <w:r>
                        <w:rPr>
                          <w:rFonts w:eastAsiaTheme="minorEastAsia"/>
                          <w:color w:val="000000"/>
                          <w:kern w:val="24"/>
                          <w:lang w:val="en"/>
                        </w:rPr>
                        <w:t>C</w:t>
                      </w:r>
                      <m:oMath>
                        <m:r>
                          <m:rPr>
                            <m:sty m:val="p"/>
                          </m:rPr>
                          <w:rPr>
                            <w:rFonts w:ascii="Cambria Math" w:eastAsiaTheme="minorEastAsia" w:hAnsi="Cambria Math"/>
                            <w:color w:val="000000"/>
                            <w:kern w:val="24"/>
                          </w:rPr>
                          <m:t>rC</m:t>
                        </m:r>
                        <m:r>
                          <w:rPr>
                            <w:rFonts w:ascii="Cambria Math" w:eastAsiaTheme="minorEastAsia" w:hAnsi="Cambria Math"/>
                            <w:color w:val="000000"/>
                            <w:kern w:val="24"/>
                          </w:rPr>
                          <m:t>l=</m:t>
                        </m:r>
                        <m:f>
                          <m:fPr>
                            <m:ctrlPr>
                              <w:rPr>
                                <w:rFonts w:ascii="Cambria Math" w:eastAsiaTheme="minorEastAsia" w:hAnsi="Cambria Math"/>
                                <w:i/>
                                <w:iCs/>
                                <w:color w:val="000000"/>
                                <w:kern w:val="24"/>
                              </w:rPr>
                            </m:ctrlPr>
                          </m:fPr>
                          <m:num>
                            <m:d>
                              <m:dPr>
                                <m:ctrlPr>
                                  <w:rPr>
                                    <w:rFonts w:ascii="Cambria Math" w:eastAsiaTheme="minorEastAsia" w:hAnsi="Cambria Math"/>
                                    <w:i/>
                                    <w:iCs/>
                                    <w:color w:val="000000"/>
                                    <w:kern w:val="24"/>
                                  </w:rPr>
                                </m:ctrlPr>
                              </m:dPr>
                              <m:e>
                                <m:r>
                                  <w:rPr>
                                    <w:rFonts w:ascii="Cambria Math" w:eastAsiaTheme="minorEastAsia" w:hAnsi="Cambria Math"/>
                                    <w:color w:val="000000"/>
                                    <w:kern w:val="24"/>
                                  </w:rPr>
                                  <m:t>140-age</m:t>
                                </m:r>
                              </m:e>
                            </m:d>
                            <m:r>
                              <w:rPr>
                                <w:rFonts w:ascii="Cambria Math" w:eastAsiaTheme="minorEastAsia" w:hAnsi="Cambria Math"/>
                                <w:color w:val="000000"/>
                                <w:kern w:val="24"/>
                              </w:rPr>
                              <m:t>×Body weight</m:t>
                            </m:r>
                            <m:d>
                              <m:dPr>
                                <m:ctrlPr>
                                  <w:rPr>
                                    <w:rFonts w:ascii="Cambria Math" w:eastAsiaTheme="minorEastAsia" w:hAnsi="Cambria Math"/>
                                    <w:i/>
                                    <w:iCs/>
                                    <w:color w:val="000000"/>
                                    <w:kern w:val="24"/>
                                  </w:rPr>
                                </m:ctrlPr>
                              </m:dPr>
                              <m:e>
                                <m:r>
                                  <w:rPr>
                                    <w:rFonts w:ascii="Cambria Math" w:eastAsiaTheme="minorEastAsia" w:hAnsi="Cambria Math"/>
                                    <w:color w:val="000000"/>
                                    <w:kern w:val="24"/>
                                  </w:rPr>
                                  <m:t>kg</m:t>
                                </m:r>
                              </m:e>
                            </m:d>
                          </m:num>
                          <m:den>
                            <m:r>
                              <w:rPr>
                                <w:rFonts w:ascii="Cambria Math" w:eastAsiaTheme="minorEastAsia" w:hAnsi="Cambria Math"/>
                                <w:color w:val="000000"/>
                                <w:kern w:val="24"/>
                              </w:rPr>
                              <m:t>72×Serum creatine</m:t>
                            </m:r>
                            <m:d>
                              <m:dPr>
                                <m:ctrlPr>
                                  <w:rPr>
                                    <w:rFonts w:ascii="Cambria Math" w:eastAsiaTheme="minorEastAsia" w:hAnsi="Cambria Math"/>
                                    <w:i/>
                                    <w:iCs/>
                                    <w:color w:val="000000"/>
                                    <w:kern w:val="24"/>
                                  </w:rPr>
                                </m:ctrlPr>
                              </m:dPr>
                              <m:e>
                                <m:f>
                                  <m:fPr>
                                    <m:ctrlPr>
                                      <w:rPr>
                                        <w:rFonts w:ascii="Cambria Math" w:eastAsiaTheme="minorEastAsia" w:hAnsi="Cambria Math"/>
                                        <w:i/>
                                        <w:color w:val="000000"/>
                                        <w:kern w:val="24"/>
                                      </w:rPr>
                                    </m:ctrlPr>
                                  </m:fPr>
                                  <m:num>
                                    <m:r>
                                      <w:rPr>
                                        <w:rFonts w:ascii="Cambria Math" w:eastAsiaTheme="minorEastAsia" w:hAnsi="Cambria Math"/>
                                        <w:color w:val="000000"/>
                                        <w:kern w:val="24"/>
                                      </w:rPr>
                                      <m:t>mg</m:t>
                                    </m:r>
                                  </m:num>
                                  <m:den>
                                    <m:r>
                                      <w:rPr>
                                        <w:rFonts w:ascii="Cambria Math" w:eastAsiaTheme="minorEastAsia" w:hAnsi="Cambria Math"/>
                                        <w:color w:val="000000"/>
                                        <w:kern w:val="24"/>
                                      </w:rPr>
                                      <m:t>dL</m:t>
                                    </m:r>
                                  </m:den>
                                </m:f>
                              </m:e>
                            </m:d>
                          </m:den>
                        </m:f>
                        <m:r>
                          <w:rPr>
                            <w:rFonts w:ascii="Cambria Math" w:eastAsiaTheme="minorEastAsia" w:hAnsi="Cambria Math"/>
                            <w:color w:val="000000"/>
                            <w:kern w:val="24"/>
                          </w:rPr>
                          <m:t>(×0.85 F)</m:t>
                        </m:r>
                      </m:oMath>
                    </w:p>
                  </w:txbxContent>
                </v:textbox>
              </v:shape>
            </w:pict>
          </mc:Fallback>
        </mc:AlternateContent>
      </w:r>
    </w:p>
    <w:p w14:paraId="24645CED" w14:textId="77777777" w:rsidR="0024744A" w:rsidRPr="00265512" w:rsidRDefault="0024744A" w:rsidP="00265512">
      <w:pPr>
        <w:pStyle w:val="aff3"/>
        <w:topLinePunct/>
        <w:adjustRightInd w:val="0"/>
        <w:spacing w:after="120" w:line="276" w:lineRule="auto"/>
        <w:ind w:left="720" w:firstLineChars="0" w:hanging="360"/>
        <w:rPr>
          <w:color w:val="000000" w:themeColor="text1"/>
        </w:rPr>
      </w:pPr>
    </w:p>
    <w:p w14:paraId="394DBA0D" w14:textId="1B269E27" w:rsidR="0024744A" w:rsidRPr="00265512" w:rsidRDefault="0024744A" w:rsidP="00265512">
      <w:pPr>
        <w:pStyle w:val="aff3"/>
        <w:numPr>
          <w:ilvl w:val="0"/>
          <w:numId w:val="43"/>
        </w:numPr>
        <w:topLinePunct/>
        <w:adjustRightInd w:val="0"/>
        <w:spacing w:after="120" w:line="276" w:lineRule="auto"/>
        <w:ind w:left="720" w:firstLineChars="0" w:hanging="360"/>
        <w:rPr>
          <w:color w:val="000000" w:themeColor="text1"/>
        </w:rPr>
      </w:pPr>
      <w:r w:rsidRPr="00265512">
        <w:rPr>
          <w:color w:val="000000" w:themeColor="text1"/>
          <w:lang w:val="en"/>
        </w:rPr>
        <w:t>Coagulation function: fibrinogen ≥</w:t>
      </w:r>
      <w:r w:rsidR="00EA599D">
        <w:rPr>
          <w:color w:val="000000" w:themeColor="text1"/>
          <w:lang w:val="en"/>
        </w:rPr>
        <w:t xml:space="preserve"> </w:t>
      </w:r>
      <w:r w:rsidRPr="00265512">
        <w:rPr>
          <w:color w:val="000000" w:themeColor="text1"/>
          <w:lang w:val="en"/>
        </w:rPr>
        <w:t xml:space="preserve">1.0 g/L; activated partial thromboplastin time (APTT) </w:t>
      </w:r>
      <w:r w:rsidR="00F458B7">
        <w:rPr>
          <w:color w:val="000000" w:themeColor="text1"/>
          <w:lang w:val="en"/>
        </w:rPr>
        <w:t>≤</w:t>
      </w:r>
      <w:r w:rsidR="00EA599D">
        <w:rPr>
          <w:color w:val="000000" w:themeColor="text1"/>
          <w:lang w:val="en"/>
        </w:rPr>
        <w:t xml:space="preserve"> </w:t>
      </w:r>
      <w:r w:rsidRPr="00265512">
        <w:rPr>
          <w:color w:val="000000" w:themeColor="text1"/>
          <w:lang w:val="en"/>
        </w:rPr>
        <w:t>1.5 × ULN, prothrombin time (PT) ≤</w:t>
      </w:r>
      <w:r w:rsidR="00EA599D">
        <w:rPr>
          <w:color w:val="000000" w:themeColor="text1"/>
          <w:lang w:val="en"/>
        </w:rPr>
        <w:t xml:space="preserve"> </w:t>
      </w:r>
      <w:r w:rsidRPr="00265512">
        <w:rPr>
          <w:color w:val="000000" w:themeColor="text1"/>
          <w:lang w:val="en"/>
        </w:rPr>
        <w:t xml:space="preserve">1.5 × ULN. </w:t>
      </w:r>
    </w:p>
    <w:p w14:paraId="75E76946" w14:textId="4502A047" w:rsidR="0024744A" w:rsidRPr="00265512" w:rsidRDefault="0024744A" w:rsidP="00265512">
      <w:pPr>
        <w:pStyle w:val="aff3"/>
        <w:numPr>
          <w:ilvl w:val="0"/>
          <w:numId w:val="43"/>
        </w:numPr>
        <w:topLinePunct/>
        <w:adjustRightInd w:val="0"/>
        <w:spacing w:after="120" w:line="276" w:lineRule="auto"/>
        <w:ind w:left="720" w:firstLineChars="0" w:hanging="360"/>
        <w:rPr>
          <w:color w:val="000000" w:themeColor="text1"/>
        </w:rPr>
      </w:pPr>
      <w:r w:rsidRPr="00265512">
        <w:rPr>
          <w:color w:val="000000" w:themeColor="text1"/>
          <w:lang w:val="en"/>
        </w:rPr>
        <w:t xml:space="preserve">Oxygen saturation &gt;91%. </w:t>
      </w:r>
    </w:p>
    <w:p w14:paraId="49BE997E" w14:textId="10CB8AFA" w:rsidR="0024744A" w:rsidRPr="00265512" w:rsidRDefault="0024744A" w:rsidP="00265512">
      <w:pPr>
        <w:pStyle w:val="aff3"/>
        <w:numPr>
          <w:ilvl w:val="0"/>
          <w:numId w:val="43"/>
        </w:numPr>
        <w:topLinePunct/>
        <w:adjustRightInd w:val="0"/>
        <w:spacing w:after="120" w:line="276" w:lineRule="auto"/>
        <w:ind w:left="720" w:firstLineChars="0" w:hanging="360"/>
        <w:rPr>
          <w:color w:val="000000" w:themeColor="text1"/>
        </w:rPr>
      </w:pPr>
      <w:r w:rsidRPr="00265512">
        <w:rPr>
          <w:color w:val="000000" w:themeColor="text1"/>
          <w:lang w:val="en"/>
        </w:rPr>
        <w:t xml:space="preserve">Left ventricular ejection fraction (LVEF) ≥50%. </w:t>
      </w:r>
    </w:p>
    <w:p w14:paraId="30134261" w14:textId="6A082BF0" w:rsidR="0024744A" w:rsidRPr="00265512" w:rsidRDefault="0024744A" w:rsidP="00265512">
      <w:pPr>
        <w:pStyle w:val="13"/>
        <w:numPr>
          <w:ilvl w:val="0"/>
          <w:numId w:val="52"/>
        </w:numPr>
        <w:spacing w:beforeLines="0" w:after="120" w:line="276" w:lineRule="auto"/>
        <w:ind w:left="418" w:firstLineChars="0" w:hanging="418"/>
        <w:rPr>
          <w:color w:val="000000" w:themeColor="text1"/>
          <w:sz w:val="24"/>
          <w:szCs w:val="24"/>
        </w:rPr>
      </w:pPr>
      <w:r w:rsidRPr="00265512">
        <w:rPr>
          <w:color w:val="000000" w:themeColor="text1"/>
          <w:sz w:val="24"/>
          <w:szCs w:val="24"/>
          <w:lang w:val="en"/>
        </w:rPr>
        <w:t>Patients and their spouse</w:t>
      </w:r>
      <w:r w:rsidR="00EA599D">
        <w:rPr>
          <w:color w:val="000000" w:themeColor="text1"/>
          <w:sz w:val="24"/>
          <w:szCs w:val="24"/>
          <w:lang w:val="en"/>
        </w:rPr>
        <w:t>s</w:t>
      </w:r>
      <w:r w:rsidRPr="00265512">
        <w:rPr>
          <w:color w:val="000000" w:themeColor="text1"/>
          <w:sz w:val="24"/>
          <w:szCs w:val="24"/>
          <w:lang w:val="en"/>
        </w:rPr>
        <w:t xml:space="preserve"> agree to use reliable contraceptive methods, devices, or medicines </w:t>
      </w:r>
      <w:r w:rsidRPr="00265512">
        <w:rPr>
          <w:color w:val="000000" w:themeColor="text1"/>
          <w:sz w:val="24"/>
          <w:szCs w:val="24"/>
          <w:lang w:val="en"/>
        </w:rPr>
        <w:lastRenderedPageBreak/>
        <w:t xml:space="preserve">(excluding the safe period contraception) within one year after CAR-T cell infusion. </w:t>
      </w:r>
    </w:p>
    <w:p w14:paraId="6DE64147" w14:textId="338E002E" w:rsidR="0024744A" w:rsidRPr="00265512" w:rsidRDefault="0024744A" w:rsidP="00265512">
      <w:pPr>
        <w:pStyle w:val="13"/>
        <w:numPr>
          <w:ilvl w:val="0"/>
          <w:numId w:val="52"/>
        </w:numPr>
        <w:spacing w:beforeLines="0" w:after="120" w:line="276" w:lineRule="auto"/>
        <w:ind w:left="418" w:firstLineChars="0" w:hanging="418"/>
        <w:rPr>
          <w:color w:val="000000" w:themeColor="text1"/>
          <w:sz w:val="24"/>
          <w:szCs w:val="24"/>
        </w:rPr>
      </w:pPr>
      <w:r w:rsidRPr="00265512">
        <w:rPr>
          <w:color w:val="000000" w:themeColor="text1"/>
          <w:sz w:val="24"/>
          <w:szCs w:val="24"/>
          <w:lang w:val="en"/>
        </w:rPr>
        <w:t>Patients must sign the</w:t>
      </w:r>
      <w:r w:rsidR="008D660D" w:rsidRPr="008D660D">
        <w:t xml:space="preserve"> </w:t>
      </w:r>
      <w:r w:rsidR="008D660D" w:rsidRPr="008D660D">
        <w:rPr>
          <w:color w:val="000000" w:themeColor="text1"/>
          <w:sz w:val="24"/>
          <w:szCs w:val="24"/>
          <w:lang w:val="en"/>
        </w:rPr>
        <w:t>written</w:t>
      </w:r>
      <w:r w:rsidRPr="00265512">
        <w:rPr>
          <w:color w:val="000000" w:themeColor="text1"/>
          <w:sz w:val="24"/>
          <w:szCs w:val="24"/>
          <w:lang w:val="en"/>
        </w:rPr>
        <w:t xml:space="preserve"> informed consent form approved Ethics Committee </w:t>
      </w:r>
      <w:r w:rsidR="008D660D">
        <w:rPr>
          <w:color w:val="000000" w:themeColor="text1"/>
          <w:sz w:val="24"/>
          <w:szCs w:val="24"/>
          <w:lang w:val="en"/>
        </w:rPr>
        <w:t>themselves</w:t>
      </w:r>
      <w:r w:rsidRPr="00265512">
        <w:rPr>
          <w:color w:val="000000" w:themeColor="text1"/>
          <w:sz w:val="24"/>
          <w:szCs w:val="24"/>
          <w:lang w:val="en"/>
        </w:rPr>
        <w:t xml:space="preserve"> before any screening procedures.</w:t>
      </w:r>
    </w:p>
    <w:p w14:paraId="6EB89C81" w14:textId="750B14F3" w:rsidR="00FC7470" w:rsidRPr="00C820E8" w:rsidRDefault="00FC7470" w:rsidP="006F53AF">
      <w:pPr>
        <w:pStyle w:val="20"/>
      </w:pPr>
      <w:bookmarkStart w:id="60" w:name="_Toc112064838"/>
      <w:r>
        <w:t>Exclusion Criteria</w:t>
      </w:r>
      <w:bookmarkEnd w:id="59"/>
      <w:bookmarkEnd w:id="60"/>
    </w:p>
    <w:p w14:paraId="3FD27BBD" w14:textId="7BE44F32" w:rsidR="0024744A" w:rsidRPr="004322E6" w:rsidRDefault="0024744A" w:rsidP="004322E6">
      <w:bookmarkStart w:id="61" w:name="_Ref509398392"/>
      <w:r w:rsidRPr="009114B8">
        <w:rPr>
          <w:lang w:val="en"/>
        </w:rPr>
        <w:t xml:space="preserve">Patients </w:t>
      </w:r>
      <w:r w:rsidRPr="004322E6">
        <w:rPr>
          <w:lang w:val="en"/>
        </w:rPr>
        <w:t>who meet any of the following criteria will be excluded:</w:t>
      </w:r>
    </w:p>
    <w:p w14:paraId="5B52934F" w14:textId="60BBC29B" w:rsidR="0024744A" w:rsidRPr="009114B8" w:rsidRDefault="0024744A" w:rsidP="009114B8">
      <w:pPr>
        <w:pStyle w:val="aff"/>
        <w:widowControl w:val="0"/>
        <w:numPr>
          <w:ilvl w:val="0"/>
          <w:numId w:val="53"/>
        </w:numPr>
        <w:spacing w:after="120" w:line="276" w:lineRule="auto"/>
        <w:ind w:left="418" w:hanging="418"/>
        <w:contextualSpacing w:val="0"/>
        <w:jc w:val="both"/>
        <w:rPr>
          <w:rFonts w:ascii="Times New Roman" w:hAnsi="Times New Roman" w:cs="Times New Roman"/>
          <w:color w:val="000000" w:themeColor="text1"/>
          <w:sz w:val="24"/>
          <w:szCs w:val="24"/>
        </w:rPr>
      </w:pPr>
      <w:r w:rsidRPr="009114B8">
        <w:rPr>
          <w:rFonts w:ascii="Times New Roman" w:hAnsi="Times New Roman" w:cs="Times New Roman"/>
          <w:color w:val="000000" w:themeColor="text1"/>
          <w:sz w:val="24"/>
          <w:szCs w:val="24"/>
          <w:lang w:val="en"/>
        </w:rPr>
        <w:t xml:space="preserve">Patients with known resistance to </w:t>
      </w:r>
      <w:r w:rsidR="00F31A05">
        <w:rPr>
          <w:rFonts w:ascii="Times New Roman" w:hAnsi="Times New Roman" w:cs="Times New Roman"/>
          <w:color w:val="000000" w:themeColor="text1"/>
          <w:sz w:val="24"/>
          <w:szCs w:val="24"/>
          <w:lang w:val="en"/>
        </w:rPr>
        <w:t>Selinexor</w:t>
      </w:r>
      <w:r w:rsidRPr="009114B8">
        <w:rPr>
          <w:rFonts w:ascii="Times New Roman" w:hAnsi="Times New Roman" w:cs="Times New Roman"/>
          <w:color w:val="000000" w:themeColor="text1"/>
          <w:sz w:val="24"/>
          <w:szCs w:val="24"/>
          <w:lang w:val="en"/>
        </w:rPr>
        <w:t xml:space="preserve">. </w:t>
      </w:r>
    </w:p>
    <w:p w14:paraId="09EA27E0" w14:textId="2A2C5C0A" w:rsidR="0024744A" w:rsidRPr="009114B8" w:rsidRDefault="0024744A" w:rsidP="009114B8">
      <w:pPr>
        <w:pStyle w:val="13"/>
        <w:numPr>
          <w:ilvl w:val="0"/>
          <w:numId w:val="53"/>
        </w:numPr>
        <w:spacing w:beforeLines="0" w:after="120" w:line="276" w:lineRule="auto"/>
        <w:ind w:left="418" w:firstLineChars="0" w:hanging="418"/>
        <w:rPr>
          <w:color w:val="000000" w:themeColor="text1"/>
          <w:sz w:val="24"/>
          <w:szCs w:val="24"/>
        </w:rPr>
      </w:pPr>
      <w:r w:rsidRPr="009114B8">
        <w:rPr>
          <w:color w:val="000000" w:themeColor="text1"/>
          <w:sz w:val="24"/>
          <w:szCs w:val="24"/>
          <w:lang w:val="en"/>
        </w:rPr>
        <w:t xml:space="preserve">Patients with graft-versus-host disease (GVHD) or autoimmune diseases requiring long-term immunosuppressive therapy. </w:t>
      </w:r>
    </w:p>
    <w:p w14:paraId="77087E9C" w14:textId="0FE154ED" w:rsidR="0024744A" w:rsidRPr="009114B8" w:rsidRDefault="0024744A" w:rsidP="009114B8">
      <w:pPr>
        <w:pStyle w:val="13"/>
        <w:numPr>
          <w:ilvl w:val="0"/>
          <w:numId w:val="53"/>
        </w:numPr>
        <w:spacing w:beforeLines="0" w:after="120" w:line="276" w:lineRule="auto"/>
        <w:ind w:left="418" w:firstLineChars="0" w:hanging="418"/>
        <w:rPr>
          <w:color w:val="000000" w:themeColor="text1"/>
          <w:sz w:val="24"/>
          <w:szCs w:val="24"/>
        </w:rPr>
      </w:pPr>
      <w:r w:rsidRPr="009114B8">
        <w:rPr>
          <w:color w:val="000000" w:themeColor="text1"/>
          <w:sz w:val="24"/>
          <w:szCs w:val="24"/>
          <w:lang w:val="en"/>
        </w:rPr>
        <w:t xml:space="preserve">Patients have received the following prior cancer therapies:  </w:t>
      </w:r>
    </w:p>
    <w:p w14:paraId="1BEE1664" w14:textId="2FEA1C48" w:rsidR="0024744A" w:rsidRPr="009114B8" w:rsidRDefault="0024744A" w:rsidP="009114B8">
      <w:pPr>
        <w:pStyle w:val="13"/>
        <w:numPr>
          <w:ilvl w:val="0"/>
          <w:numId w:val="45"/>
        </w:numPr>
        <w:spacing w:beforeLines="0" w:after="120" w:line="276" w:lineRule="auto"/>
        <w:ind w:left="720" w:firstLineChars="0" w:hanging="360"/>
        <w:rPr>
          <w:color w:val="000000" w:themeColor="text1"/>
          <w:sz w:val="24"/>
          <w:szCs w:val="24"/>
        </w:rPr>
      </w:pPr>
      <w:r w:rsidRPr="009114B8">
        <w:rPr>
          <w:color w:val="000000" w:themeColor="text1"/>
          <w:sz w:val="24"/>
          <w:szCs w:val="24"/>
          <w:lang w:val="en"/>
        </w:rPr>
        <w:t>Monoclonal antibody therapy for MM within 21 days before the monocyte collection, or</w:t>
      </w:r>
    </w:p>
    <w:p w14:paraId="17DDCD94" w14:textId="434BBC70" w:rsidR="0024744A" w:rsidRPr="009114B8" w:rsidRDefault="0024744A" w:rsidP="009114B8">
      <w:pPr>
        <w:pStyle w:val="13"/>
        <w:numPr>
          <w:ilvl w:val="0"/>
          <w:numId w:val="45"/>
        </w:numPr>
        <w:spacing w:beforeLines="0" w:after="120" w:line="276" w:lineRule="auto"/>
        <w:ind w:left="720" w:firstLineChars="0" w:hanging="360"/>
        <w:rPr>
          <w:color w:val="000000" w:themeColor="text1"/>
          <w:sz w:val="24"/>
          <w:szCs w:val="24"/>
        </w:rPr>
      </w:pPr>
      <w:r w:rsidRPr="009114B8">
        <w:rPr>
          <w:color w:val="000000" w:themeColor="text1"/>
          <w:sz w:val="24"/>
          <w:szCs w:val="24"/>
          <w:lang w:val="en"/>
        </w:rPr>
        <w:t xml:space="preserve">Cytotoxic chemotherapy or proteasome inhibitors within 14 days before the monocyte collection, or </w:t>
      </w:r>
    </w:p>
    <w:p w14:paraId="332452AD" w14:textId="30255737" w:rsidR="0024744A" w:rsidRPr="009114B8" w:rsidRDefault="0024744A" w:rsidP="009114B8">
      <w:pPr>
        <w:pStyle w:val="13"/>
        <w:numPr>
          <w:ilvl w:val="0"/>
          <w:numId w:val="45"/>
        </w:numPr>
        <w:spacing w:beforeLines="0" w:after="120" w:line="276" w:lineRule="auto"/>
        <w:ind w:left="720" w:firstLineChars="0" w:hanging="360"/>
        <w:rPr>
          <w:color w:val="000000" w:themeColor="text1"/>
          <w:sz w:val="24"/>
          <w:szCs w:val="24"/>
        </w:rPr>
      </w:pPr>
      <w:r w:rsidRPr="009114B8">
        <w:rPr>
          <w:color w:val="000000" w:themeColor="text1"/>
          <w:sz w:val="24"/>
          <w:szCs w:val="24"/>
          <w:lang w:val="en"/>
        </w:rPr>
        <w:t>Immunomodulatory agents within</w:t>
      </w:r>
      <w:r w:rsidRPr="009114B8">
        <w:rPr>
          <w:color w:val="000000" w:themeColor="text1"/>
          <w:sz w:val="24"/>
          <w:szCs w:val="24"/>
        </w:rPr>
        <w:t xml:space="preserve"> </w:t>
      </w:r>
      <w:r w:rsidR="00EA599D">
        <w:rPr>
          <w:color w:val="000000" w:themeColor="text1"/>
          <w:sz w:val="24"/>
          <w:szCs w:val="24"/>
        </w:rPr>
        <w:t>seven</w:t>
      </w:r>
      <w:r w:rsidRPr="009114B8">
        <w:rPr>
          <w:color w:val="000000" w:themeColor="text1"/>
          <w:sz w:val="24"/>
          <w:szCs w:val="24"/>
          <w:lang w:val="en"/>
        </w:rPr>
        <w:t xml:space="preserve"> days before the monocyte collection, or</w:t>
      </w:r>
    </w:p>
    <w:p w14:paraId="13847B43" w14:textId="616129A0" w:rsidR="0024744A" w:rsidRPr="009114B8" w:rsidRDefault="0024744A" w:rsidP="009114B8">
      <w:pPr>
        <w:pStyle w:val="13"/>
        <w:numPr>
          <w:ilvl w:val="0"/>
          <w:numId w:val="45"/>
        </w:numPr>
        <w:spacing w:beforeLines="0" w:after="120" w:line="276" w:lineRule="auto"/>
        <w:ind w:left="720" w:firstLineChars="0" w:hanging="360"/>
        <w:rPr>
          <w:color w:val="000000" w:themeColor="text1"/>
          <w:sz w:val="24"/>
          <w:szCs w:val="24"/>
        </w:rPr>
      </w:pPr>
      <w:r w:rsidRPr="009114B8">
        <w:rPr>
          <w:color w:val="000000" w:themeColor="text1"/>
          <w:sz w:val="24"/>
          <w:szCs w:val="24"/>
          <w:lang w:val="en"/>
        </w:rPr>
        <w:t xml:space="preserve">Other cancer therapy other than those listed above within 30 days before the monocyte collection. </w:t>
      </w:r>
    </w:p>
    <w:p w14:paraId="5C796698" w14:textId="0387F607" w:rsidR="0024744A" w:rsidRPr="009114B8" w:rsidRDefault="0024744A" w:rsidP="009114B8">
      <w:pPr>
        <w:pStyle w:val="13"/>
        <w:numPr>
          <w:ilvl w:val="0"/>
          <w:numId w:val="53"/>
        </w:numPr>
        <w:spacing w:beforeLines="0" w:after="120" w:line="276" w:lineRule="auto"/>
        <w:ind w:left="418" w:firstLineChars="0" w:hanging="418"/>
        <w:rPr>
          <w:color w:val="000000" w:themeColor="text1"/>
          <w:sz w:val="24"/>
          <w:szCs w:val="24"/>
        </w:rPr>
      </w:pPr>
      <w:r w:rsidRPr="009114B8">
        <w:rPr>
          <w:color w:val="000000" w:themeColor="text1"/>
          <w:sz w:val="24"/>
          <w:szCs w:val="24"/>
          <w:lang w:val="en"/>
        </w:rPr>
        <w:t>Patients ha</w:t>
      </w:r>
      <w:r w:rsidR="00EA599D">
        <w:rPr>
          <w:color w:val="000000" w:themeColor="text1"/>
          <w:sz w:val="24"/>
          <w:szCs w:val="24"/>
          <w:lang w:val="en"/>
        </w:rPr>
        <w:t>d</w:t>
      </w:r>
      <w:r w:rsidRPr="009114B8">
        <w:rPr>
          <w:color w:val="000000" w:themeColor="text1"/>
          <w:sz w:val="24"/>
          <w:szCs w:val="24"/>
          <w:lang w:val="en"/>
        </w:rPr>
        <w:t xml:space="preserve"> received a therapeutic dose of corticosteroids (defined as prednisone or equivalent </w:t>
      </w:r>
      <w:r w:rsidR="00F458B7">
        <w:rPr>
          <w:color w:val="000000" w:themeColor="text1"/>
          <w:sz w:val="24"/>
          <w:szCs w:val="24"/>
          <w:lang w:val="en"/>
        </w:rPr>
        <w:t>&gt;</w:t>
      </w:r>
      <w:r w:rsidR="00EA599D">
        <w:rPr>
          <w:color w:val="000000" w:themeColor="text1"/>
          <w:sz w:val="24"/>
          <w:szCs w:val="24"/>
          <w:lang w:val="en"/>
        </w:rPr>
        <w:t xml:space="preserve"> </w:t>
      </w:r>
      <w:r w:rsidRPr="009114B8">
        <w:rPr>
          <w:color w:val="000000" w:themeColor="text1"/>
          <w:sz w:val="24"/>
          <w:szCs w:val="24"/>
          <w:lang w:val="en"/>
        </w:rPr>
        <w:t>20 mg/day) within</w:t>
      </w:r>
      <w:r w:rsidRPr="009114B8">
        <w:rPr>
          <w:color w:val="000000" w:themeColor="text1"/>
          <w:sz w:val="24"/>
          <w:szCs w:val="24"/>
        </w:rPr>
        <w:t xml:space="preserve"> </w:t>
      </w:r>
      <w:r w:rsidR="00EA599D">
        <w:rPr>
          <w:color w:val="000000" w:themeColor="text1"/>
          <w:sz w:val="24"/>
          <w:szCs w:val="24"/>
        </w:rPr>
        <w:t>seven</w:t>
      </w:r>
      <w:r w:rsidRPr="009114B8">
        <w:rPr>
          <w:color w:val="000000" w:themeColor="text1"/>
          <w:sz w:val="24"/>
          <w:szCs w:val="24"/>
          <w:lang w:val="en"/>
        </w:rPr>
        <w:t xml:space="preserve"> days before </w:t>
      </w:r>
      <w:r w:rsidR="008D660D">
        <w:rPr>
          <w:color w:val="000000" w:themeColor="text1"/>
          <w:sz w:val="24"/>
          <w:szCs w:val="24"/>
          <w:lang w:val="en"/>
        </w:rPr>
        <w:t>s</w:t>
      </w:r>
      <w:r w:rsidR="008D660D" w:rsidRPr="009114B8">
        <w:rPr>
          <w:color w:val="000000" w:themeColor="text1"/>
          <w:sz w:val="24"/>
          <w:szCs w:val="24"/>
          <w:lang w:val="en"/>
        </w:rPr>
        <w:t>creening</w:t>
      </w:r>
      <w:r w:rsidRPr="009114B8">
        <w:rPr>
          <w:color w:val="000000" w:themeColor="text1"/>
          <w:sz w:val="24"/>
          <w:szCs w:val="24"/>
          <w:lang w:val="en"/>
        </w:rPr>
        <w:t xml:space="preserve">, </w:t>
      </w:r>
      <w:r w:rsidR="00DC7C18" w:rsidRPr="009114B8">
        <w:rPr>
          <w:color w:val="000000" w:themeColor="text1"/>
          <w:sz w:val="24"/>
          <w:szCs w:val="24"/>
          <w:lang w:val="en"/>
        </w:rPr>
        <w:t>apart from</w:t>
      </w:r>
      <w:r w:rsidRPr="009114B8">
        <w:rPr>
          <w:color w:val="000000" w:themeColor="text1"/>
          <w:sz w:val="24"/>
          <w:szCs w:val="24"/>
          <w:lang w:val="en"/>
        </w:rPr>
        <w:t xml:space="preserve"> physiological replacement, topical, and inhaled steroids. </w:t>
      </w:r>
    </w:p>
    <w:p w14:paraId="3861CA55" w14:textId="11F619FA" w:rsidR="0024744A" w:rsidRPr="009114B8" w:rsidRDefault="0024744A" w:rsidP="009114B8">
      <w:pPr>
        <w:pStyle w:val="13"/>
        <w:numPr>
          <w:ilvl w:val="0"/>
          <w:numId w:val="53"/>
        </w:numPr>
        <w:spacing w:beforeLines="0" w:after="120" w:line="276" w:lineRule="auto"/>
        <w:ind w:left="418" w:firstLineChars="0" w:hanging="418"/>
        <w:rPr>
          <w:color w:val="000000" w:themeColor="text1"/>
          <w:sz w:val="24"/>
          <w:szCs w:val="24"/>
        </w:rPr>
      </w:pPr>
      <w:r w:rsidRPr="009114B8">
        <w:rPr>
          <w:color w:val="000000" w:themeColor="text1"/>
          <w:sz w:val="24"/>
          <w:szCs w:val="24"/>
          <w:lang w:val="en"/>
        </w:rPr>
        <w:t>Patients with hypertension cannot be controlled by medication.</w:t>
      </w:r>
    </w:p>
    <w:p w14:paraId="1A9BF50D" w14:textId="23154EB0" w:rsidR="0024744A" w:rsidRPr="009114B8" w:rsidRDefault="0024744A" w:rsidP="005918BD">
      <w:pPr>
        <w:pStyle w:val="13"/>
        <w:numPr>
          <w:ilvl w:val="0"/>
          <w:numId w:val="53"/>
        </w:numPr>
        <w:spacing w:beforeLines="0" w:after="120" w:line="276" w:lineRule="auto"/>
        <w:ind w:left="418" w:firstLineChars="0" w:hanging="418"/>
        <w:rPr>
          <w:color w:val="000000" w:themeColor="text1"/>
          <w:kern w:val="0"/>
          <w:sz w:val="24"/>
          <w:szCs w:val="24"/>
        </w:rPr>
      </w:pPr>
      <w:r w:rsidRPr="009114B8">
        <w:rPr>
          <w:color w:val="000000" w:themeColor="text1"/>
          <w:kern w:val="0"/>
          <w:sz w:val="24"/>
          <w:szCs w:val="24"/>
          <w:lang w:val="en"/>
        </w:rPr>
        <w:t xml:space="preserve">Severe heart disease: including but not limited to unstable angina, myocardial infarction (within </w:t>
      </w:r>
      <w:r w:rsidR="00EA599D">
        <w:rPr>
          <w:color w:val="000000" w:themeColor="text1"/>
          <w:kern w:val="0"/>
          <w:sz w:val="24"/>
          <w:szCs w:val="24"/>
        </w:rPr>
        <w:t>six</w:t>
      </w:r>
      <w:r w:rsidRPr="009114B8">
        <w:rPr>
          <w:color w:val="000000" w:themeColor="text1"/>
          <w:kern w:val="0"/>
          <w:sz w:val="24"/>
          <w:szCs w:val="24"/>
          <w:lang w:val="en"/>
        </w:rPr>
        <w:t xml:space="preserve"> months before </w:t>
      </w:r>
      <w:r w:rsidR="008D660D">
        <w:rPr>
          <w:color w:val="000000" w:themeColor="text1"/>
          <w:kern w:val="0"/>
          <w:sz w:val="24"/>
          <w:szCs w:val="24"/>
        </w:rPr>
        <w:t>s</w:t>
      </w:r>
      <w:proofErr w:type="spellStart"/>
      <w:r w:rsidR="008D660D" w:rsidRPr="009114B8">
        <w:rPr>
          <w:color w:val="000000" w:themeColor="text1"/>
          <w:kern w:val="0"/>
          <w:sz w:val="24"/>
          <w:szCs w:val="24"/>
          <w:lang w:val="en"/>
        </w:rPr>
        <w:t>creening</w:t>
      </w:r>
      <w:proofErr w:type="spellEnd"/>
      <w:r w:rsidRPr="009114B8">
        <w:rPr>
          <w:color w:val="000000" w:themeColor="text1"/>
          <w:kern w:val="0"/>
          <w:sz w:val="24"/>
          <w:szCs w:val="24"/>
          <w:lang w:val="en"/>
        </w:rPr>
        <w:t xml:space="preserve">), congestive heart failure (New York Heart Association [NYHA] functional classification </w:t>
      </w:r>
      <w:r w:rsidR="00F458B7">
        <w:rPr>
          <w:color w:val="000000" w:themeColor="text1"/>
          <w:kern w:val="0"/>
          <w:sz w:val="24"/>
          <w:szCs w:val="24"/>
          <w:lang w:val="en"/>
        </w:rPr>
        <w:t>≥</w:t>
      </w:r>
      <w:r w:rsidR="00EA599D">
        <w:rPr>
          <w:color w:val="000000" w:themeColor="text1"/>
          <w:kern w:val="0"/>
          <w:sz w:val="24"/>
          <w:szCs w:val="24"/>
          <w:lang w:val="en"/>
        </w:rPr>
        <w:t xml:space="preserve"> </w:t>
      </w:r>
      <w:r w:rsidRPr="009114B8">
        <w:rPr>
          <w:color w:val="000000" w:themeColor="text1"/>
          <w:kern w:val="0"/>
          <w:sz w:val="24"/>
          <w:szCs w:val="24"/>
          <w:lang w:val="en"/>
        </w:rPr>
        <w:t xml:space="preserve">class III), serious cardiac arrhythmia. </w:t>
      </w:r>
    </w:p>
    <w:p w14:paraId="6C14A2DA" w14:textId="258965DB" w:rsidR="0024744A" w:rsidRPr="009114B8" w:rsidRDefault="0024744A" w:rsidP="005918BD">
      <w:pPr>
        <w:pStyle w:val="13"/>
        <w:numPr>
          <w:ilvl w:val="0"/>
          <w:numId w:val="53"/>
        </w:numPr>
        <w:spacing w:beforeLines="0" w:after="120" w:line="276" w:lineRule="auto"/>
        <w:ind w:left="418" w:firstLineChars="0" w:hanging="418"/>
        <w:rPr>
          <w:color w:val="000000" w:themeColor="text1"/>
          <w:kern w:val="0"/>
          <w:sz w:val="24"/>
          <w:szCs w:val="24"/>
        </w:rPr>
      </w:pPr>
      <w:r w:rsidRPr="009114B8">
        <w:rPr>
          <w:color w:val="000000" w:themeColor="text1"/>
          <w:sz w:val="24"/>
          <w:szCs w:val="24"/>
          <w:lang w:val="en"/>
        </w:rPr>
        <w:t xml:space="preserve">Any unstable systemic disease as judged by the investigator: including but not limited to severe liver, renal, or metabolic disease requiring medication. </w:t>
      </w:r>
    </w:p>
    <w:p w14:paraId="6EB868B3" w14:textId="6FB7D371" w:rsidR="0024744A" w:rsidRPr="009114B8" w:rsidRDefault="0024744A" w:rsidP="005918BD">
      <w:pPr>
        <w:pStyle w:val="13"/>
        <w:numPr>
          <w:ilvl w:val="0"/>
          <w:numId w:val="53"/>
        </w:numPr>
        <w:spacing w:beforeLines="0" w:after="120" w:line="276" w:lineRule="auto"/>
        <w:ind w:left="418" w:firstLineChars="0" w:hanging="418"/>
        <w:rPr>
          <w:color w:val="000000" w:themeColor="text1"/>
          <w:kern w:val="0"/>
          <w:sz w:val="24"/>
          <w:szCs w:val="24"/>
        </w:rPr>
      </w:pPr>
      <w:r w:rsidRPr="009114B8">
        <w:rPr>
          <w:color w:val="000000" w:themeColor="text1"/>
          <w:kern w:val="0"/>
          <w:sz w:val="24"/>
          <w:szCs w:val="24"/>
          <w:lang w:val="en"/>
        </w:rPr>
        <w:t xml:space="preserve">Malignant tumors other than MM within </w:t>
      </w:r>
      <w:r w:rsidR="00EA599D">
        <w:rPr>
          <w:color w:val="000000" w:themeColor="text1"/>
          <w:kern w:val="0"/>
          <w:sz w:val="24"/>
          <w:szCs w:val="24"/>
          <w:lang w:val="en"/>
        </w:rPr>
        <w:t>five</w:t>
      </w:r>
      <w:r w:rsidRPr="009114B8">
        <w:rPr>
          <w:color w:val="000000" w:themeColor="text1"/>
          <w:kern w:val="0"/>
          <w:sz w:val="24"/>
          <w:szCs w:val="24"/>
          <w:lang w:val="en"/>
        </w:rPr>
        <w:t xml:space="preserve"> years before Screening, excluding adequately treated carcinoma in situ of </w:t>
      </w:r>
      <w:r w:rsidR="00EA599D">
        <w:rPr>
          <w:color w:val="000000" w:themeColor="text1"/>
          <w:kern w:val="0"/>
          <w:sz w:val="24"/>
          <w:szCs w:val="24"/>
          <w:lang w:val="en"/>
        </w:rPr>
        <w:t xml:space="preserve">the </w:t>
      </w:r>
      <w:r w:rsidRPr="009114B8">
        <w:rPr>
          <w:color w:val="000000" w:themeColor="text1"/>
          <w:kern w:val="0"/>
          <w:sz w:val="24"/>
          <w:szCs w:val="24"/>
          <w:lang w:val="en"/>
        </w:rPr>
        <w:t xml:space="preserve">cervix, basal cell or squamous cell skin cancer, localized prostate cancer following radical prostatectomy, </w:t>
      </w:r>
      <w:r w:rsidR="00EA599D">
        <w:rPr>
          <w:color w:val="000000" w:themeColor="text1"/>
          <w:kern w:val="0"/>
          <w:sz w:val="24"/>
          <w:szCs w:val="24"/>
          <w:lang w:val="en"/>
        </w:rPr>
        <w:t xml:space="preserve">and </w:t>
      </w:r>
      <w:r w:rsidRPr="009114B8">
        <w:rPr>
          <w:color w:val="000000" w:themeColor="text1"/>
          <w:kern w:val="0"/>
          <w:sz w:val="24"/>
          <w:szCs w:val="24"/>
          <w:lang w:val="en"/>
        </w:rPr>
        <w:t xml:space="preserve">ductal carcinoma in situ after mastectomy. </w:t>
      </w:r>
    </w:p>
    <w:p w14:paraId="33957D42" w14:textId="1C7B88D5" w:rsidR="0024744A" w:rsidRPr="009114B8" w:rsidRDefault="0024744A" w:rsidP="005918BD">
      <w:pPr>
        <w:pStyle w:val="13"/>
        <w:numPr>
          <w:ilvl w:val="0"/>
          <w:numId w:val="53"/>
        </w:numPr>
        <w:spacing w:beforeLines="0" w:after="120" w:line="276" w:lineRule="auto"/>
        <w:ind w:left="418" w:firstLineChars="0" w:hanging="418"/>
        <w:rPr>
          <w:color w:val="000000" w:themeColor="text1"/>
          <w:sz w:val="24"/>
          <w:szCs w:val="24"/>
        </w:rPr>
      </w:pPr>
      <w:r w:rsidRPr="009114B8">
        <w:rPr>
          <w:color w:val="000000" w:themeColor="text1"/>
          <w:sz w:val="24"/>
          <w:szCs w:val="24"/>
          <w:lang w:val="en"/>
        </w:rPr>
        <w:t xml:space="preserve">Patients with a history of solid organ transplantation.  </w:t>
      </w:r>
    </w:p>
    <w:p w14:paraId="08F32BEA" w14:textId="01C6F556" w:rsidR="0024744A" w:rsidRPr="009114B8" w:rsidRDefault="0024744A" w:rsidP="005918BD">
      <w:pPr>
        <w:pStyle w:val="13"/>
        <w:numPr>
          <w:ilvl w:val="0"/>
          <w:numId w:val="53"/>
        </w:numPr>
        <w:spacing w:beforeLines="0" w:after="120" w:line="276" w:lineRule="auto"/>
        <w:ind w:left="418" w:firstLineChars="0" w:hanging="418"/>
        <w:rPr>
          <w:color w:val="000000" w:themeColor="text1"/>
          <w:sz w:val="24"/>
          <w:szCs w:val="24"/>
        </w:rPr>
      </w:pPr>
      <w:r w:rsidRPr="009114B8">
        <w:rPr>
          <w:color w:val="000000" w:themeColor="text1"/>
          <w:sz w:val="24"/>
          <w:szCs w:val="24"/>
          <w:lang w:val="en"/>
        </w:rPr>
        <w:t xml:space="preserve">Have undergone major surgeries within </w:t>
      </w:r>
      <w:r w:rsidR="00EA599D">
        <w:rPr>
          <w:color w:val="000000" w:themeColor="text1"/>
          <w:sz w:val="24"/>
          <w:szCs w:val="24"/>
          <w:lang w:val="en"/>
        </w:rPr>
        <w:t>two</w:t>
      </w:r>
      <w:r w:rsidRPr="009114B8">
        <w:rPr>
          <w:color w:val="000000" w:themeColor="text1"/>
          <w:sz w:val="24"/>
          <w:szCs w:val="24"/>
          <w:lang w:val="en"/>
        </w:rPr>
        <w:t xml:space="preserve"> weeks before the monocyte collection or planned surgeries within </w:t>
      </w:r>
      <w:r w:rsidR="00EA599D">
        <w:rPr>
          <w:color w:val="000000" w:themeColor="text1"/>
          <w:sz w:val="24"/>
          <w:szCs w:val="24"/>
          <w:lang w:val="en"/>
        </w:rPr>
        <w:t>two</w:t>
      </w:r>
      <w:r w:rsidRPr="009114B8">
        <w:rPr>
          <w:color w:val="000000" w:themeColor="text1"/>
          <w:sz w:val="24"/>
          <w:szCs w:val="24"/>
          <w:lang w:val="en"/>
        </w:rPr>
        <w:t xml:space="preserve"> weeks after the study treatment (patients planning for local anesthesia may participate in this study). </w:t>
      </w:r>
    </w:p>
    <w:p w14:paraId="73E868CD" w14:textId="51E38A1F" w:rsidR="0024744A" w:rsidRPr="009114B8" w:rsidRDefault="0024744A" w:rsidP="005918BD">
      <w:pPr>
        <w:pStyle w:val="13"/>
        <w:numPr>
          <w:ilvl w:val="0"/>
          <w:numId w:val="53"/>
        </w:numPr>
        <w:spacing w:beforeLines="0" w:after="120" w:line="276" w:lineRule="auto"/>
        <w:ind w:left="418" w:firstLineChars="0" w:hanging="418"/>
        <w:rPr>
          <w:color w:val="000000" w:themeColor="text1"/>
          <w:sz w:val="24"/>
          <w:szCs w:val="24"/>
        </w:rPr>
      </w:pPr>
      <w:r w:rsidRPr="009114B8">
        <w:rPr>
          <w:color w:val="000000" w:themeColor="text1"/>
          <w:sz w:val="24"/>
          <w:szCs w:val="24"/>
          <w:lang w:val="en"/>
        </w:rPr>
        <w:lastRenderedPageBreak/>
        <w:t xml:space="preserve">Have received other interventional clinical trial medications within </w:t>
      </w:r>
      <w:r w:rsidR="00EA599D">
        <w:rPr>
          <w:color w:val="000000" w:themeColor="text1"/>
          <w:sz w:val="24"/>
          <w:szCs w:val="24"/>
          <w:lang w:val="en"/>
        </w:rPr>
        <w:t>one</w:t>
      </w:r>
      <w:r w:rsidRPr="009114B8">
        <w:rPr>
          <w:color w:val="000000" w:themeColor="text1"/>
          <w:sz w:val="24"/>
          <w:szCs w:val="24"/>
          <w:lang w:val="en"/>
        </w:rPr>
        <w:t xml:space="preserve"> month before signing the informed consent form.  </w:t>
      </w:r>
    </w:p>
    <w:p w14:paraId="3609748A" w14:textId="4A16B9DD" w:rsidR="0024744A" w:rsidRPr="009114B8" w:rsidRDefault="0024744A" w:rsidP="005918BD">
      <w:pPr>
        <w:pStyle w:val="13"/>
        <w:numPr>
          <w:ilvl w:val="0"/>
          <w:numId w:val="53"/>
        </w:numPr>
        <w:spacing w:beforeLines="0" w:after="120" w:line="276" w:lineRule="auto"/>
        <w:ind w:left="418" w:firstLineChars="0" w:hanging="418"/>
        <w:rPr>
          <w:color w:val="000000" w:themeColor="text1"/>
          <w:sz w:val="24"/>
          <w:szCs w:val="24"/>
        </w:rPr>
      </w:pPr>
      <w:r w:rsidRPr="009114B8">
        <w:rPr>
          <w:color w:val="000000" w:themeColor="text1"/>
          <w:kern w:val="0"/>
          <w:sz w:val="24"/>
          <w:szCs w:val="24"/>
          <w:lang w:val="en"/>
        </w:rPr>
        <w:t xml:space="preserve">Have any uncontrolled and active infection within </w:t>
      </w:r>
      <w:r w:rsidR="00EA599D">
        <w:rPr>
          <w:color w:val="000000" w:themeColor="text1"/>
          <w:kern w:val="0"/>
          <w:sz w:val="24"/>
          <w:szCs w:val="24"/>
          <w:lang w:val="en"/>
        </w:rPr>
        <w:t>seven</w:t>
      </w:r>
      <w:r w:rsidRPr="009114B8">
        <w:rPr>
          <w:color w:val="000000" w:themeColor="text1"/>
          <w:kern w:val="0"/>
          <w:sz w:val="24"/>
          <w:szCs w:val="24"/>
          <w:lang w:val="en"/>
        </w:rPr>
        <w:t xml:space="preserve"> days before the monocyte collection. </w:t>
      </w:r>
    </w:p>
    <w:p w14:paraId="23C8938C" w14:textId="0C55792A" w:rsidR="0024744A" w:rsidRPr="009114B8" w:rsidRDefault="0024744A" w:rsidP="005918BD">
      <w:pPr>
        <w:pStyle w:val="13"/>
        <w:numPr>
          <w:ilvl w:val="0"/>
          <w:numId w:val="53"/>
        </w:numPr>
        <w:spacing w:beforeLines="0" w:after="120" w:line="276" w:lineRule="auto"/>
        <w:ind w:left="418" w:firstLineChars="0" w:hanging="418"/>
        <w:rPr>
          <w:color w:val="000000" w:themeColor="text1"/>
          <w:sz w:val="24"/>
          <w:szCs w:val="24"/>
          <w:lang w:val="en"/>
        </w:rPr>
      </w:pPr>
      <w:r w:rsidRPr="009114B8">
        <w:rPr>
          <w:color w:val="000000" w:themeColor="text1"/>
          <w:sz w:val="24"/>
          <w:szCs w:val="24"/>
          <w:lang w:val="en"/>
        </w:rPr>
        <w:t>Have positive hepatitis B surface antigen (</w:t>
      </w:r>
      <w:proofErr w:type="spellStart"/>
      <w:r w:rsidRPr="009114B8">
        <w:rPr>
          <w:color w:val="000000" w:themeColor="text1"/>
          <w:sz w:val="24"/>
          <w:szCs w:val="24"/>
          <w:lang w:val="en"/>
        </w:rPr>
        <w:t>H</w:t>
      </w:r>
      <w:r w:rsidR="00657324" w:rsidRPr="009114B8">
        <w:rPr>
          <w:color w:val="000000" w:themeColor="text1"/>
          <w:sz w:val="24"/>
          <w:szCs w:val="24"/>
          <w:lang w:val="en"/>
        </w:rPr>
        <w:t>b</w:t>
      </w:r>
      <w:r w:rsidRPr="009114B8">
        <w:rPr>
          <w:color w:val="000000" w:themeColor="text1"/>
          <w:sz w:val="24"/>
          <w:szCs w:val="24"/>
          <w:lang w:val="en"/>
        </w:rPr>
        <w:t>sAg</w:t>
      </w:r>
      <w:proofErr w:type="spellEnd"/>
      <w:r w:rsidRPr="009114B8">
        <w:rPr>
          <w:color w:val="000000" w:themeColor="text1"/>
          <w:sz w:val="24"/>
          <w:szCs w:val="24"/>
          <w:lang w:val="en"/>
        </w:rPr>
        <w:t xml:space="preserve">), or positive </w:t>
      </w:r>
      <w:bookmarkStart w:id="62" w:name="_Hlk111915184"/>
      <w:r w:rsidRPr="009114B8">
        <w:rPr>
          <w:color w:val="000000" w:themeColor="text1"/>
          <w:sz w:val="24"/>
          <w:szCs w:val="24"/>
          <w:lang w:val="en"/>
        </w:rPr>
        <w:t>hepatitis B core antibody</w:t>
      </w:r>
      <w:bookmarkEnd w:id="62"/>
      <w:r w:rsidRPr="009114B8">
        <w:rPr>
          <w:color w:val="000000" w:themeColor="text1"/>
          <w:sz w:val="24"/>
          <w:szCs w:val="24"/>
          <w:lang w:val="en"/>
        </w:rPr>
        <w:t xml:space="preserve"> (</w:t>
      </w:r>
      <w:proofErr w:type="spellStart"/>
      <w:r w:rsidRPr="009114B8">
        <w:rPr>
          <w:color w:val="000000" w:themeColor="text1"/>
          <w:sz w:val="24"/>
          <w:szCs w:val="24"/>
          <w:lang w:val="en"/>
        </w:rPr>
        <w:t>H</w:t>
      </w:r>
      <w:r w:rsidR="00657324" w:rsidRPr="009114B8">
        <w:rPr>
          <w:color w:val="000000" w:themeColor="text1"/>
          <w:sz w:val="24"/>
          <w:szCs w:val="24"/>
          <w:lang w:val="en"/>
        </w:rPr>
        <w:t>b</w:t>
      </w:r>
      <w:r w:rsidRPr="009114B8">
        <w:rPr>
          <w:color w:val="000000" w:themeColor="text1"/>
          <w:sz w:val="24"/>
          <w:szCs w:val="24"/>
          <w:lang w:val="en"/>
        </w:rPr>
        <w:t>cAb</w:t>
      </w:r>
      <w:proofErr w:type="spellEnd"/>
      <w:r w:rsidRPr="009114B8">
        <w:rPr>
          <w:color w:val="000000" w:themeColor="text1"/>
          <w:sz w:val="24"/>
          <w:szCs w:val="24"/>
          <w:lang w:val="en"/>
        </w:rPr>
        <w:t xml:space="preserve">) and detectable hepatitis B virus (HBV) DNA in the peripheral blood; positive hepatitis C virus (HCV) antibody and positive HCV RNA; positive human immunodeficiency virus (HIV) antibody; positive in </w:t>
      </w:r>
      <w:bookmarkStart w:id="63" w:name="_Hlk111912655"/>
      <w:r w:rsidRPr="009114B8">
        <w:rPr>
          <w:color w:val="000000" w:themeColor="text1"/>
          <w:sz w:val="24"/>
          <w:szCs w:val="24"/>
          <w:lang w:val="en"/>
        </w:rPr>
        <w:t>cytomegalovirus</w:t>
      </w:r>
      <w:bookmarkEnd w:id="63"/>
      <w:r w:rsidRPr="009114B8">
        <w:rPr>
          <w:color w:val="000000" w:themeColor="text1"/>
          <w:sz w:val="24"/>
          <w:szCs w:val="24"/>
          <w:lang w:val="en"/>
        </w:rPr>
        <w:t xml:space="preserve"> DNA test; positive in syphilis test. </w:t>
      </w:r>
    </w:p>
    <w:p w14:paraId="60D12B4A" w14:textId="5592C9AE" w:rsidR="0024744A" w:rsidRPr="009114B8" w:rsidRDefault="0024744A" w:rsidP="005918BD">
      <w:pPr>
        <w:pStyle w:val="13"/>
        <w:numPr>
          <w:ilvl w:val="0"/>
          <w:numId w:val="53"/>
        </w:numPr>
        <w:spacing w:beforeLines="0" w:after="120" w:line="276" w:lineRule="auto"/>
        <w:ind w:left="418" w:firstLineChars="0" w:hanging="418"/>
        <w:rPr>
          <w:color w:val="000000" w:themeColor="text1"/>
          <w:sz w:val="24"/>
          <w:szCs w:val="24"/>
          <w:lang w:val="en"/>
        </w:rPr>
      </w:pPr>
      <w:r w:rsidRPr="009114B8">
        <w:rPr>
          <w:color w:val="000000" w:themeColor="text1"/>
          <w:sz w:val="24"/>
          <w:szCs w:val="24"/>
          <w:lang w:val="en"/>
        </w:rPr>
        <w:t xml:space="preserve">Women who are pregnant or breastfeeding. </w:t>
      </w:r>
    </w:p>
    <w:p w14:paraId="53769005" w14:textId="7B4FFE69" w:rsidR="0024744A" w:rsidRPr="009114B8" w:rsidRDefault="0024744A" w:rsidP="005918BD">
      <w:pPr>
        <w:pStyle w:val="13"/>
        <w:numPr>
          <w:ilvl w:val="0"/>
          <w:numId w:val="53"/>
        </w:numPr>
        <w:spacing w:beforeLines="0" w:after="120" w:line="276" w:lineRule="auto"/>
        <w:ind w:left="418" w:firstLineChars="0" w:hanging="418"/>
        <w:rPr>
          <w:color w:val="000000" w:themeColor="text1"/>
          <w:sz w:val="24"/>
          <w:szCs w:val="24"/>
          <w:lang w:val="en"/>
        </w:rPr>
      </w:pPr>
      <w:r w:rsidRPr="009114B8">
        <w:rPr>
          <w:color w:val="000000" w:themeColor="text1"/>
          <w:sz w:val="24"/>
          <w:szCs w:val="24"/>
          <w:lang w:val="en"/>
        </w:rPr>
        <w:t>Any mental illness, consciousness disorders, or central nervous system disease.</w:t>
      </w:r>
    </w:p>
    <w:p w14:paraId="067FFD5E" w14:textId="1962721E" w:rsidR="0024744A" w:rsidRPr="009114B8" w:rsidRDefault="0024744A" w:rsidP="005918BD">
      <w:pPr>
        <w:pStyle w:val="13"/>
        <w:numPr>
          <w:ilvl w:val="0"/>
          <w:numId w:val="53"/>
        </w:numPr>
        <w:spacing w:beforeLines="0" w:after="120" w:line="276" w:lineRule="auto"/>
        <w:ind w:left="418" w:firstLineChars="0" w:hanging="418"/>
        <w:rPr>
          <w:color w:val="000000" w:themeColor="text1"/>
          <w:sz w:val="24"/>
          <w:szCs w:val="24"/>
          <w:lang w:val="en"/>
        </w:rPr>
      </w:pPr>
      <w:r w:rsidRPr="009114B8">
        <w:rPr>
          <w:color w:val="000000" w:themeColor="text1"/>
          <w:sz w:val="24"/>
          <w:szCs w:val="24"/>
          <w:lang w:val="en"/>
        </w:rPr>
        <w:t xml:space="preserve">Other conditions inappropriate for enrollment in the judgment of the investigator. </w:t>
      </w:r>
    </w:p>
    <w:p w14:paraId="79D78E10" w14:textId="600F2BB5" w:rsidR="00FC7470" w:rsidRDefault="00B25DFA" w:rsidP="005918BD">
      <w:pPr>
        <w:pStyle w:val="20"/>
        <w:jc w:val="both"/>
      </w:pPr>
      <w:bookmarkStart w:id="64" w:name="_Toc112064839"/>
      <w:bookmarkEnd w:id="61"/>
      <w:r w:rsidRPr="00B25DFA">
        <w:t>Study Termination and Withdrawal</w:t>
      </w:r>
      <w:bookmarkEnd w:id="64"/>
    </w:p>
    <w:p w14:paraId="410CB345" w14:textId="7B977B8F" w:rsidR="00B25DFA" w:rsidRPr="00B25DFA" w:rsidRDefault="00B25DFA" w:rsidP="005918BD">
      <w:pPr>
        <w:pStyle w:val="30"/>
        <w:jc w:val="both"/>
      </w:pPr>
      <w:bookmarkStart w:id="65" w:name="_Toc112064840"/>
      <w:r w:rsidRPr="00B25DFA">
        <w:t>Study Termination/Suspension</w:t>
      </w:r>
      <w:bookmarkEnd w:id="65"/>
    </w:p>
    <w:p w14:paraId="70DAD732" w14:textId="71325A48" w:rsidR="00B25DFA" w:rsidRPr="001822A0" w:rsidRDefault="00B25DFA" w:rsidP="00591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bookmarkStart w:id="66" w:name="_Hlk111841095"/>
      <w:r w:rsidRPr="001822A0">
        <w:rPr>
          <w:lang w:val="en"/>
        </w:rPr>
        <w:t xml:space="preserve">The study may be stopped or suspended if the following condition occurs: </w:t>
      </w:r>
    </w:p>
    <w:bookmarkEnd w:id="66"/>
    <w:p w14:paraId="167E7A0D" w14:textId="293E8728" w:rsidR="00B25DFA" w:rsidRPr="00B25DFA" w:rsidRDefault="00B25DFA" w:rsidP="005918BD">
      <w:pPr>
        <w:pStyle w:val="Bullet1"/>
        <w:numPr>
          <w:ilvl w:val="0"/>
          <w:numId w:val="0"/>
        </w:numPr>
        <w:jc w:val="both"/>
        <w:rPr>
          <w:b/>
          <w:bCs/>
        </w:rPr>
      </w:pPr>
      <w:r w:rsidRPr="00B25DFA">
        <w:rPr>
          <w:b/>
          <w:bCs/>
        </w:rPr>
        <w:t xml:space="preserve">The investigator can stop/suspend the study. </w:t>
      </w:r>
    </w:p>
    <w:p w14:paraId="0D1D09E3" w14:textId="64E53417" w:rsidR="00B25DFA" w:rsidRPr="001822A0" w:rsidRDefault="00B25DFA" w:rsidP="00591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822A0">
        <w:rPr>
          <w:lang w:val="en"/>
        </w:rPr>
        <w:t xml:space="preserve">Before stopping/suspending a study, the investigator must inform the sponsor, ethics committee, institution, and relevant regulatory authorities and clarify the reasons. After the study termination/suspension, the re-initiation of the study must be approved by the ethics committee. </w:t>
      </w:r>
    </w:p>
    <w:p w14:paraId="2E10EFAE" w14:textId="4BD48D1D" w:rsidR="00B25DFA" w:rsidRPr="00B25DFA" w:rsidRDefault="00B25DFA" w:rsidP="005918BD">
      <w:pPr>
        <w:pStyle w:val="Bullet1"/>
        <w:numPr>
          <w:ilvl w:val="0"/>
          <w:numId w:val="0"/>
        </w:numPr>
        <w:jc w:val="both"/>
        <w:rPr>
          <w:b/>
          <w:bCs/>
        </w:rPr>
      </w:pPr>
      <w:r w:rsidRPr="00B25DFA">
        <w:rPr>
          <w:b/>
          <w:bCs/>
        </w:rPr>
        <w:t xml:space="preserve">Termination/suspension required by the Ethics Committee. </w:t>
      </w:r>
    </w:p>
    <w:p w14:paraId="5AC7B21D" w14:textId="298DD359" w:rsidR="00B25DFA" w:rsidRPr="001822A0" w:rsidRDefault="00B25DFA" w:rsidP="00591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822A0">
        <w:rPr>
          <w:lang w:val="en"/>
        </w:rPr>
        <w:t>Reasons for study termination/suspension</w:t>
      </w:r>
      <w:r w:rsidRPr="001822A0" w:rsidDel="004C4B09">
        <w:rPr>
          <w:lang w:val="en"/>
        </w:rPr>
        <w:t xml:space="preserve"> </w:t>
      </w:r>
      <w:r w:rsidRPr="001822A0">
        <w:rPr>
          <w:lang w:val="en"/>
        </w:rPr>
        <w:t xml:space="preserve">include but not limited to the following: </w:t>
      </w:r>
    </w:p>
    <w:p w14:paraId="3A08DC73" w14:textId="480C4A45" w:rsidR="00B25DFA" w:rsidRPr="001822A0" w:rsidRDefault="00B25DFA" w:rsidP="005918BD">
      <w:pPr>
        <w:pStyle w:val="Bullet1"/>
        <w:jc w:val="both"/>
        <w:rPr>
          <w:szCs w:val="24"/>
        </w:rPr>
      </w:pPr>
      <w:r w:rsidRPr="001822A0">
        <w:rPr>
          <w:szCs w:val="24"/>
        </w:rPr>
        <w:t xml:space="preserve">The number and severity of AEs in this study suggest that continuing the study would cause significant harm to the patients. </w:t>
      </w:r>
    </w:p>
    <w:p w14:paraId="00FE006C" w14:textId="559E8F46" w:rsidR="00B25DFA" w:rsidRPr="001822A0" w:rsidRDefault="00B25DFA" w:rsidP="005918BD">
      <w:pPr>
        <w:pStyle w:val="Bullet1"/>
        <w:jc w:val="both"/>
        <w:rPr>
          <w:szCs w:val="24"/>
        </w:rPr>
      </w:pPr>
      <w:r w:rsidRPr="001822A0">
        <w:rPr>
          <w:szCs w:val="24"/>
        </w:rPr>
        <w:t xml:space="preserve">Existing clinical data are of poor quality to continue this study. </w:t>
      </w:r>
    </w:p>
    <w:p w14:paraId="2B62DE24" w14:textId="69B1390E" w:rsidR="00B25DFA" w:rsidRPr="001822A0" w:rsidRDefault="00B25DFA" w:rsidP="005918BD">
      <w:pPr>
        <w:pStyle w:val="Bullet1"/>
        <w:jc w:val="both"/>
        <w:rPr>
          <w:szCs w:val="24"/>
        </w:rPr>
      </w:pPr>
      <w:r w:rsidRPr="001822A0">
        <w:rPr>
          <w:szCs w:val="24"/>
        </w:rPr>
        <w:t xml:space="preserve">The study may be terminated due to changes in regulations and policies of national authorities. </w:t>
      </w:r>
    </w:p>
    <w:p w14:paraId="72DEC0E2" w14:textId="38623892" w:rsidR="005F6E13" w:rsidRDefault="00B25DFA" w:rsidP="005918BD">
      <w:pPr>
        <w:pStyle w:val="30"/>
        <w:jc w:val="both"/>
      </w:pPr>
      <w:bookmarkStart w:id="67" w:name="_Toc112064841"/>
      <w:bookmarkStart w:id="68" w:name="_Toc188593501"/>
      <w:bookmarkStart w:id="69" w:name="_Toc188618572"/>
      <w:bookmarkStart w:id="70" w:name="_Toc192465950"/>
      <w:r w:rsidRPr="00B25DFA">
        <w:t>Withdrawal Criteria</w:t>
      </w:r>
      <w:bookmarkEnd w:id="67"/>
    </w:p>
    <w:bookmarkEnd w:id="68"/>
    <w:bookmarkEnd w:id="69"/>
    <w:bookmarkEnd w:id="70"/>
    <w:p w14:paraId="5B40B9BD" w14:textId="345290EC" w:rsidR="00B25DFA" w:rsidRPr="009114B8" w:rsidRDefault="00B25DFA" w:rsidP="00591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9114B8">
        <w:rPr>
          <w:lang w:val="en"/>
        </w:rPr>
        <w:t xml:space="preserve">Withdrawal means that patients who are lost to follow-up in this study due to disease progression, initiation of new cancer therapies, or other reasons. </w:t>
      </w:r>
    </w:p>
    <w:p w14:paraId="5D228191" w14:textId="79580B00" w:rsidR="00B25DFA" w:rsidRPr="009114B8" w:rsidRDefault="00B25DFA" w:rsidP="00591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9114B8">
        <w:rPr>
          <w:lang w:val="en"/>
        </w:rPr>
        <w:t xml:space="preserve">All patients can withdraw their informed consent from the study at any time without prejudice or penalty. The investigator should collect the reasons and time for premature discontinuation, perform appropriate observations and evaluations, and complete the withdrawal visit/end-of-study visit as specified in the protocol. </w:t>
      </w:r>
    </w:p>
    <w:p w14:paraId="0FD185D3" w14:textId="4E5B92E1" w:rsidR="00B25DFA" w:rsidRPr="009114B8" w:rsidRDefault="00B25DFA" w:rsidP="00591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9114B8">
        <w:rPr>
          <w:lang w:val="en"/>
        </w:rPr>
        <w:lastRenderedPageBreak/>
        <w:t xml:space="preserve">Patients who withdraw from the study with treatment-related AEs should be followed up until the AE returns to the baseline or stabilizes. AEs may not be followed if further improvement is not expected in the </w:t>
      </w:r>
      <w:r w:rsidR="00EA599D">
        <w:rPr>
          <w:lang w:val="en"/>
        </w:rPr>
        <w:t>investigator's judgment</w:t>
      </w:r>
      <w:r w:rsidRPr="009114B8">
        <w:rPr>
          <w:lang w:val="en"/>
        </w:rPr>
        <w:t>. For such case</w:t>
      </w:r>
      <w:r w:rsidR="00EA599D">
        <w:rPr>
          <w:lang w:val="en"/>
        </w:rPr>
        <w:t>s</w:t>
      </w:r>
      <w:r w:rsidRPr="009114B8">
        <w:rPr>
          <w:lang w:val="en"/>
        </w:rPr>
        <w:t xml:space="preserve">, the investigator should maintain a record of </w:t>
      </w:r>
      <w:r w:rsidR="00EA599D">
        <w:rPr>
          <w:lang w:val="en"/>
        </w:rPr>
        <w:t>thei</w:t>
      </w:r>
      <w:r w:rsidRPr="009114B8">
        <w:rPr>
          <w:lang w:val="en"/>
        </w:rPr>
        <w:t xml:space="preserve">r opinion in the source documentation for patients. </w:t>
      </w:r>
    </w:p>
    <w:p w14:paraId="7407A393" w14:textId="03B4EDD0" w:rsidR="00B25DFA" w:rsidRPr="009114B8" w:rsidRDefault="008D660D" w:rsidP="00591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lang w:val="en"/>
        </w:rPr>
        <w:t>T</w:t>
      </w:r>
      <w:r w:rsidRPr="009114B8">
        <w:rPr>
          <w:lang w:val="en"/>
        </w:rPr>
        <w:t xml:space="preserve">he </w:t>
      </w:r>
      <w:r w:rsidR="00B25DFA" w:rsidRPr="009114B8">
        <w:rPr>
          <w:lang w:val="en"/>
        </w:rPr>
        <w:t>investigator should make every effort to contact patients who have received treatment but failed to complete the study</w:t>
      </w:r>
      <w:r w:rsidR="00EA599D">
        <w:rPr>
          <w:lang w:val="en"/>
        </w:rPr>
        <w:t>,</w:t>
      </w:r>
      <w:r w:rsidR="00B25DFA" w:rsidRPr="009114B8">
        <w:rPr>
          <w:lang w:val="en"/>
        </w:rPr>
        <w:t xml:space="preserve"> </w:t>
      </w:r>
      <w:r>
        <w:rPr>
          <w:lang w:val="en"/>
        </w:rPr>
        <w:t>or</w:t>
      </w:r>
      <w:r w:rsidRPr="009114B8">
        <w:rPr>
          <w:lang w:val="en"/>
        </w:rPr>
        <w:t xml:space="preserve"> </w:t>
      </w:r>
      <w:r w:rsidR="00B25DFA" w:rsidRPr="009114B8">
        <w:rPr>
          <w:lang w:val="en"/>
        </w:rPr>
        <w:t xml:space="preserve">in the event </w:t>
      </w:r>
      <w:r>
        <w:rPr>
          <w:lang w:val="en"/>
        </w:rPr>
        <w:t xml:space="preserve">that </w:t>
      </w:r>
      <w:r w:rsidR="00B25DFA" w:rsidRPr="009114B8">
        <w:rPr>
          <w:lang w:val="en"/>
        </w:rPr>
        <w:t xml:space="preserve">a patient fails to complete the follow-up visits, the contact details should be documented </w:t>
      </w:r>
      <w:r>
        <w:rPr>
          <w:lang w:val="en"/>
        </w:rPr>
        <w:t>t</w:t>
      </w:r>
      <w:r w:rsidRPr="009114B8">
        <w:rPr>
          <w:lang w:val="en"/>
        </w:rPr>
        <w:t xml:space="preserve">hroughout the study </w:t>
      </w:r>
      <w:r w:rsidR="00B25DFA" w:rsidRPr="009114B8">
        <w:rPr>
          <w:lang w:val="en"/>
        </w:rPr>
        <w:t>(e</w:t>
      </w:r>
      <w:r w:rsidR="00EA599D">
        <w:rPr>
          <w:lang w:val="en"/>
        </w:rPr>
        <w:t>.g.</w:t>
      </w:r>
      <w:r w:rsidR="00B25DFA" w:rsidRPr="009114B8">
        <w:rPr>
          <w:lang w:val="en"/>
        </w:rPr>
        <w:t>, the time and date of telephone contact, and the evidence of letter delivery, etc</w:t>
      </w:r>
      <w:r w:rsidR="00EA599D">
        <w:rPr>
          <w:lang w:val="en"/>
        </w:rPr>
        <w:t>.</w:t>
      </w:r>
      <w:r w:rsidR="00B25DFA" w:rsidRPr="009114B8">
        <w:rPr>
          <w:lang w:val="en"/>
        </w:rPr>
        <w:t xml:space="preserve">). </w:t>
      </w:r>
    </w:p>
    <w:p w14:paraId="641B39E2" w14:textId="77777777" w:rsidR="00B25DFA" w:rsidRPr="009114B8" w:rsidRDefault="00B25DFA" w:rsidP="00591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9114B8">
        <w:rPr>
          <w:lang w:val="en"/>
        </w:rPr>
        <w:t>The reasons for premature discontinuation must be recorded on the source document and the electronic case report form (eCRF). </w:t>
      </w:r>
    </w:p>
    <w:p w14:paraId="03887A22" w14:textId="77777777" w:rsidR="00B25DFA" w:rsidRPr="009114B8" w:rsidRDefault="00B25DFA" w:rsidP="00591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00A09383" w14:textId="1294CC15" w:rsidR="00FC7470" w:rsidRPr="00C820E8" w:rsidRDefault="00C471BE" w:rsidP="005918BD">
      <w:pPr>
        <w:pStyle w:val="1"/>
        <w:jc w:val="both"/>
      </w:pPr>
      <w:bookmarkStart w:id="71" w:name="_Toc112064842"/>
      <w:r>
        <w:lastRenderedPageBreak/>
        <w:t xml:space="preserve">STUDY </w:t>
      </w:r>
      <w:r w:rsidR="00270C9D" w:rsidRPr="00C820E8">
        <w:t>TREATMENTS</w:t>
      </w:r>
      <w:bookmarkEnd w:id="71"/>
    </w:p>
    <w:p w14:paraId="24E9076C" w14:textId="4313A20F" w:rsidR="00740F81" w:rsidRPr="00740F81" w:rsidRDefault="00740F81" w:rsidP="005918BD">
      <w:pPr>
        <w:pStyle w:val="20"/>
        <w:jc w:val="both"/>
        <w:rPr>
          <w:rFonts w:ascii="Times New Roman" w:eastAsia="Times New Roman" w:hAnsi="Times New Roman"/>
          <w:szCs w:val="24"/>
        </w:rPr>
      </w:pPr>
      <w:bookmarkStart w:id="72" w:name="_Hlt529774802"/>
      <w:bookmarkStart w:id="73" w:name="_Toc112064843"/>
      <w:bookmarkStart w:id="74" w:name="_Toc17726199"/>
      <w:bookmarkStart w:id="75" w:name="_Toc233187159"/>
      <w:bookmarkStart w:id="76" w:name="_Toc233431184"/>
      <w:bookmarkEnd w:id="72"/>
      <w:r>
        <w:rPr>
          <w:rFonts w:ascii="Times New Roman" w:eastAsia="Times New Roman" w:hAnsi="Times New Roman"/>
          <w:szCs w:val="24"/>
        </w:rPr>
        <w:t>Study Treatment Description</w:t>
      </w:r>
      <w:bookmarkEnd w:id="73"/>
    </w:p>
    <w:p w14:paraId="5491EEAB" w14:textId="50929EF8" w:rsidR="00AF1BED" w:rsidRDefault="00AF1BED" w:rsidP="005918BD">
      <w:pPr>
        <w:pStyle w:val="30"/>
        <w:jc w:val="both"/>
      </w:pPr>
      <w:bookmarkStart w:id="77" w:name="_Toc112064844"/>
      <w:r>
        <w:t>Details of Study Treatment</w:t>
      </w:r>
      <w:bookmarkEnd w:id="77"/>
    </w:p>
    <w:p w14:paraId="23E97EEA" w14:textId="32CE2A3D" w:rsidR="009114B8" w:rsidRPr="009114B8" w:rsidRDefault="009114B8" w:rsidP="005918BD">
      <w:pPr>
        <w:pStyle w:val="4"/>
        <w:jc w:val="both"/>
      </w:pPr>
      <w:bookmarkStart w:id="78" w:name="_Toc112064845"/>
      <w:r>
        <w:t>CT103A</w:t>
      </w:r>
      <w:bookmarkEnd w:id="78"/>
    </w:p>
    <w:p w14:paraId="27D4A08B" w14:textId="07534B86" w:rsidR="00740F81" w:rsidRPr="004322E6" w:rsidRDefault="00740F81" w:rsidP="005918BD">
      <w:pPr>
        <w:jc w:val="both"/>
        <w:rPr>
          <w:rFonts w:eastAsia="瀹嬩綋"/>
        </w:rPr>
      </w:pPr>
      <w:bookmarkStart w:id="79" w:name="_Ref99733255"/>
      <w:r w:rsidRPr="004322E6">
        <w:rPr>
          <w:rFonts w:eastAsia="瀹嬩綋"/>
          <w:b/>
          <w:bCs/>
          <w:lang w:val="en"/>
        </w:rPr>
        <w:t>Treatment name:</w:t>
      </w:r>
      <w:r w:rsidRPr="004322E6">
        <w:rPr>
          <w:rFonts w:eastAsia="瀹嬩綋"/>
          <w:lang w:val="en"/>
        </w:rPr>
        <w:t xml:space="preserve"> </w:t>
      </w:r>
      <w:r w:rsidR="00F31A05">
        <w:rPr>
          <w:rFonts w:eastAsia="瀹嬩綋"/>
        </w:rPr>
        <w:t>fully human</w:t>
      </w:r>
      <w:r w:rsidRPr="004322E6">
        <w:rPr>
          <w:rFonts w:eastAsia="瀹嬩綋"/>
        </w:rPr>
        <w:t xml:space="preserve"> </w:t>
      </w:r>
      <w:r w:rsidRPr="004322E6">
        <w:rPr>
          <w:rFonts w:eastAsia="瀹嬩綋"/>
          <w:lang w:val="en"/>
        </w:rPr>
        <w:t>BCMA CAR-T Cell Injection (CT103A)</w:t>
      </w:r>
    </w:p>
    <w:p w14:paraId="231FC293" w14:textId="77777777" w:rsidR="00740F81" w:rsidRPr="004322E6" w:rsidRDefault="00740F81" w:rsidP="005918BD">
      <w:pPr>
        <w:jc w:val="both"/>
        <w:rPr>
          <w:rFonts w:eastAsia="瀹嬩綋"/>
        </w:rPr>
      </w:pPr>
      <w:r w:rsidRPr="004322E6">
        <w:rPr>
          <w:rFonts w:eastAsia="瀹嬩綋"/>
          <w:b/>
          <w:bCs/>
          <w:lang w:val="en"/>
        </w:rPr>
        <w:t>Dosage:</w:t>
      </w:r>
      <w:r w:rsidRPr="004322E6">
        <w:rPr>
          <w:rFonts w:eastAsia="瀹嬩綋"/>
          <w:lang w:val="en"/>
        </w:rPr>
        <w:t xml:space="preserve"> 1.0×10</w:t>
      </w:r>
      <w:r w:rsidRPr="004322E6">
        <w:rPr>
          <w:rFonts w:eastAsia="瀹嬩綋"/>
          <w:vertAlign w:val="superscript"/>
          <w:lang w:val="en"/>
        </w:rPr>
        <w:t>6</w:t>
      </w:r>
      <w:r w:rsidRPr="004322E6">
        <w:rPr>
          <w:rFonts w:eastAsia="瀹嬩綋"/>
          <w:lang w:val="en"/>
        </w:rPr>
        <w:t xml:space="preserve"> CAR-T/kg</w:t>
      </w:r>
    </w:p>
    <w:p w14:paraId="14783F39" w14:textId="070E9F9B" w:rsidR="00740F81" w:rsidRPr="009114B8" w:rsidRDefault="00740F81" w:rsidP="005918BD">
      <w:pPr>
        <w:jc w:val="both"/>
        <w:rPr>
          <w:rFonts w:eastAsia="瀹嬩綋"/>
        </w:rPr>
      </w:pPr>
      <w:r w:rsidRPr="00C52B53">
        <w:rPr>
          <w:rFonts w:eastAsia="瀹嬩綋"/>
          <w:b/>
          <w:bCs/>
          <w:lang w:val="en"/>
        </w:rPr>
        <w:t>Active ingredient:</w:t>
      </w:r>
      <w:r w:rsidRPr="009114B8">
        <w:rPr>
          <w:rFonts w:eastAsia="瀹嬩綋"/>
          <w:lang w:val="en"/>
        </w:rPr>
        <w:t xml:space="preserve"> </w:t>
      </w:r>
      <w:r w:rsidR="00F31A05">
        <w:rPr>
          <w:rFonts w:eastAsia="瀹嬩綋"/>
        </w:rPr>
        <w:t>fully human</w:t>
      </w:r>
      <w:r w:rsidRPr="009114B8">
        <w:rPr>
          <w:rFonts w:eastAsia="瀹嬩綋"/>
          <w:lang w:val="en"/>
        </w:rPr>
        <w:t xml:space="preserve"> BCMA</w:t>
      </w:r>
      <w:r w:rsidRPr="009114B8">
        <w:rPr>
          <w:rFonts w:eastAsia="瀹嬩綋"/>
        </w:rPr>
        <w:t xml:space="preserve"> </w:t>
      </w:r>
      <w:r w:rsidRPr="009114B8">
        <w:rPr>
          <w:rFonts w:eastAsia="瀹嬩綋"/>
          <w:lang w:val="en"/>
        </w:rPr>
        <w:t>CAR-T Cell Injection</w:t>
      </w:r>
    </w:p>
    <w:p w14:paraId="72144371" w14:textId="2D5569C0" w:rsidR="00740F81" w:rsidRPr="004322E6" w:rsidRDefault="00740F81" w:rsidP="005918BD">
      <w:pPr>
        <w:jc w:val="both"/>
        <w:rPr>
          <w:rFonts w:eastAsia="瀹嬩綋"/>
        </w:rPr>
      </w:pPr>
      <w:r w:rsidRPr="00C52B53">
        <w:rPr>
          <w:rFonts w:eastAsia="瀹嬩綋"/>
          <w:b/>
          <w:bCs/>
          <w:lang w:val="en"/>
        </w:rPr>
        <w:t>Excipients:</w:t>
      </w:r>
      <w:r w:rsidRPr="009114B8">
        <w:rPr>
          <w:rFonts w:eastAsia="瀹嬩綋"/>
          <w:lang w:val="en"/>
        </w:rPr>
        <w:t xml:space="preserve"> compound electrolyte injection, human serum albumin, glucose injection, vitamin C injection</w:t>
      </w:r>
      <w:r w:rsidRPr="004322E6">
        <w:rPr>
          <w:rFonts w:eastAsia="瀹嬩綋"/>
          <w:lang w:val="en"/>
        </w:rPr>
        <w:t xml:space="preserve">, </w:t>
      </w:r>
      <w:r w:rsidRPr="009114B8">
        <w:rPr>
          <w:rFonts w:eastAsia="瀹嬩綋"/>
          <w:lang w:val="en"/>
        </w:rPr>
        <w:t>c</w:t>
      </w:r>
      <w:r w:rsidRPr="004322E6">
        <w:rPr>
          <w:rFonts w:eastAsia="瀹嬩綋"/>
          <w:lang w:val="en"/>
        </w:rPr>
        <w:t xml:space="preserve">ompound </w:t>
      </w:r>
      <w:r w:rsidRPr="009114B8">
        <w:rPr>
          <w:rFonts w:eastAsia="瀹嬩綋"/>
          <w:lang w:val="en"/>
        </w:rPr>
        <w:t>a</w:t>
      </w:r>
      <w:r w:rsidRPr="004322E6">
        <w:rPr>
          <w:rFonts w:eastAsia="瀹嬩綋"/>
          <w:lang w:val="en"/>
        </w:rPr>
        <w:t xml:space="preserve">mino </w:t>
      </w:r>
      <w:r w:rsidRPr="009114B8">
        <w:rPr>
          <w:rFonts w:eastAsia="瀹嬩綋"/>
          <w:lang w:val="en"/>
        </w:rPr>
        <w:t>a</w:t>
      </w:r>
      <w:r w:rsidRPr="004322E6">
        <w:rPr>
          <w:rFonts w:eastAsia="瀹嬩綋"/>
          <w:lang w:val="en"/>
        </w:rPr>
        <w:t xml:space="preserve">cid </w:t>
      </w:r>
      <w:r w:rsidRPr="009114B8">
        <w:rPr>
          <w:rFonts w:eastAsia="瀹嬩綋"/>
          <w:lang w:val="en"/>
        </w:rPr>
        <w:t>i</w:t>
      </w:r>
      <w:r w:rsidRPr="004322E6">
        <w:rPr>
          <w:rFonts w:eastAsia="瀹嬩綋"/>
          <w:lang w:val="en"/>
        </w:rPr>
        <w:t xml:space="preserve">njection (18AA-II), </w:t>
      </w:r>
      <w:r w:rsidRPr="009114B8">
        <w:rPr>
          <w:rFonts w:eastAsia="瀹嬩綋"/>
          <w:lang w:val="en"/>
        </w:rPr>
        <w:t>d</w:t>
      </w:r>
      <w:r w:rsidRPr="004322E6">
        <w:rPr>
          <w:rFonts w:eastAsia="瀹嬩綋"/>
          <w:lang w:val="en"/>
        </w:rPr>
        <w:t xml:space="preserve">imethyl sulfoxide (DMSO)  </w:t>
      </w:r>
    </w:p>
    <w:p w14:paraId="6B121A75" w14:textId="36CE7F48" w:rsidR="00740F81" w:rsidRPr="009114B8" w:rsidRDefault="00740F81" w:rsidP="005918BD">
      <w:pPr>
        <w:jc w:val="both"/>
        <w:rPr>
          <w:rFonts w:eastAsia="瀹嬩綋"/>
        </w:rPr>
      </w:pPr>
      <w:r w:rsidRPr="00C52B53">
        <w:rPr>
          <w:rFonts w:eastAsia="瀹嬩綋"/>
          <w:b/>
          <w:bCs/>
          <w:lang w:val="en"/>
        </w:rPr>
        <w:t>Packag</w:t>
      </w:r>
      <w:r w:rsidR="00974C81">
        <w:rPr>
          <w:rFonts w:eastAsia="瀹嬩綋" w:hint="eastAsia"/>
          <w:b/>
          <w:bCs/>
          <w:lang w:val="en" w:eastAsia="zh-CN"/>
        </w:rPr>
        <w:t>e</w:t>
      </w:r>
      <w:r w:rsidRPr="00C52B53">
        <w:rPr>
          <w:rFonts w:eastAsia="瀹嬩綋"/>
          <w:b/>
          <w:bCs/>
          <w:lang w:val="en"/>
        </w:rPr>
        <w:t>:</w:t>
      </w:r>
      <w:r w:rsidRPr="009114B8">
        <w:rPr>
          <w:rFonts w:eastAsia="瀹嬩綋"/>
          <w:lang w:val="en"/>
        </w:rPr>
        <w:t xml:space="preserve"> 1.0×10</w:t>
      </w:r>
      <w:r w:rsidRPr="008D660D">
        <w:rPr>
          <w:rFonts w:eastAsia="瀹嬩綋"/>
          <w:vertAlign w:val="superscript"/>
          <w:lang w:val="en"/>
        </w:rPr>
        <w:t xml:space="preserve">6 </w:t>
      </w:r>
      <w:r w:rsidRPr="009114B8">
        <w:rPr>
          <w:rFonts w:eastAsia="瀹嬩綋"/>
          <w:lang w:val="en"/>
        </w:rPr>
        <w:t>CAR-T/kg, 20 mL</w:t>
      </w:r>
    </w:p>
    <w:p w14:paraId="308DF623" w14:textId="1432E78E" w:rsidR="00740F81" w:rsidRPr="009114B8" w:rsidRDefault="00740F81" w:rsidP="005918BD">
      <w:pPr>
        <w:jc w:val="both"/>
        <w:rPr>
          <w:rFonts w:eastAsia="瀹嬩綋"/>
        </w:rPr>
      </w:pPr>
      <w:r w:rsidRPr="00C52B53">
        <w:rPr>
          <w:rFonts w:eastAsia="瀹嬩綋"/>
          <w:b/>
          <w:bCs/>
          <w:lang w:val="en"/>
        </w:rPr>
        <w:t>Appearance:</w:t>
      </w:r>
      <w:r w:rsidRPr="009114B8">
        <w:rPr>
          <w:rFonts w:eastAsia="瀹嬩綋"/>
          <w:lang w:val="en"/>
        </w:rPr>
        <w:t xml:space="preserve"> white or yellowish frozen solid, yellowish suspension liquid after thawed</w:t>
      </w:r>
    </w:p>
    <w:p w14:paraId="51286B77" w14:textId="533FEECE" w:rsidR="00740F81" w:rsidRPr="009114B8" w:rsidRDefault="00740F81" w:rsidP="005918BD">
      <w:pPr>
        <w:jc w:val="both"/>
        <w:rPr>
          <w:rFonts w:eastAsia="瀹嬩綋"/>
        </w:rPr>
      </w:pPr>
      <w:r w:rsidRPr="00C52B53">
        <w:rPr>
          <w:rFonts w:eastAsia="瀹嬩綋"/>
          <w:b/>
          <w:bCs/>
          <w:lang w:val="en"/>
        </w:rPr>
        <w:t>Storage and transportation conditions:</w:t>
      </w:r>
      <w:r w:rsidRPr="009114B8">
        <w:rPr>
          <w:rFonts w:eastAsia="瀹嬩綋"/>
          <w:lang w:val="en"/>
        </w:rPr>
        <w:t xml:space="preserve"> store in a gas-phase liquid nitrogen container (</w:t>
      </w:r>
      <w:r w:rsidRPr="009114B8">
        <w:rPr>
          <w:lang w:val="en"/>
        </w:rPr>
        <w:t>＜</w:t>
      </w:r>
      <w:r w:rsidR="009114B8">
        <w:rPr>
          <w:rFonts w:eastAsia="瀹嬩綋"/>
          <w:lang w:val="en"/>
        </w:rPr>
        <w:t>−</w:t>
      </w:r>
      <w:r w:rsidRPr="009114B8">
        <w:rPr>
          <w:rFonts w:eastAsia="瀹嬩綋"/>
          <w:lang w:val="en"/>
        </w:rPr>
        <w:t>130</w:t>
      </w:r>
      <w:r w:rsidR="00C52B53" w:rsidRPr="00C358E7">
        <w:rPr>
          <w:rFonts w:eastAsia="CIDFont+F1"/>
          <w:color w:val="000000"/>
        </w:rPr>
        <w:t> </w:t>
      </w:r>
      <w:r w:rsidRPr="009114B8">
        <w:rPr>
          <w:rFonts w:eastAsia="瀹嬩綋"/>
          <w:lang w:val="en"/>
        </w:rPr>
        <w:t>℃</w:t>
      </w:r>
      <w:r w:rsidR="00DA6021">
        <w:rPr>
          <w:rFonts w:eastAsia="瀹嬩綋"/>
          <w:lang w:val="en"/>
        </w:rPr>
        <w:t>)</w:t>
      </w:r>
      <w:r w:rsidRPr="009114B8">
        <w:rPr>
          <w:rFonts w:eastAsia="瀹嬩綋"/>
          <w:lang w:val="en"/>
        </w:rPr>
        <w:t>; transport in a liquid nitrogen transport container (</w:t>
      </w:r>
      <w:r w:rsidRPr="009114B8">
        <w:rPr>
          <w:lang w:val="en"/>
        </w:rPr>
        <w:t>＜</w:t>
      </w:r>
      <w:r w:rsidR="00C52B53">
        <w:rPr>
          <w:rFonts w:eastAsia="瀹嬩綋"/>
          <w:lang w:val="en"/>
        </w:rPr>
        <w:t>−</w:t>
      </w:r>
      <w:r w:rsidRPr="009114B8">
        <w:rPr>
          <w:rFonts w:eastAsia="瀹嬩綋"/>
          <w:lang w:val="en"/>
        </w:rPr>
        <w:t>130 ℃</w:t>
      </w:r>
      <w:r w:rsidR="00DA6021">
        <w:rPr>
          <w:rFonts w:eastAsia="瀹嬩綋"/>
          <w:lang w:val="en"/>
        </w:rPr>
        <w:t>)</w:t>
      </w:r>
    </w:p>
    <w:p w14:paraId="16AF8A67" w14:textId="77777777" w:rsidR="00740F81" w:rsidRPr="004322E6" w:rsidRDefault="00740F81" w:rsidP="005918BD">
      <w:pPr>
        <w:jc w:val="both"/>
        <w:rPr>
          <w:rFonts w:eastAsia="瀹嬩綋"/>
        </w:rPr>
      </w:pPr>
      <w:r w:rsidRPr="004322E6">
        <w:rPr>
          <w:rFonts w:eastAsia="瀹嬩綋"/>
          <w:b/>
          <w:bCs/>
          <w:lang w:val="en"/>
        </w:rPr>
        <w:t>Manufacturer</w:t>
      </w:r>
      <w:r w:rsidRPr="004322E6">
        <w:rPr>
          <w:rFonts w:eastAsia="瀹嬩綋"/>
          <w:lang w:val="en"/>
        </w:rPr>
        <w:t>: Nanjing IASO Biotherapeutics Ltd.</w:t>
      </w:r>
    </w:p>
    <w:p w14:paraId="675D408C" w14:textId="6A9E4440" w:rsidR="00740F81" w:rsidRPr="009114B8" w:rsidRDefault="00F31A05" w:rsidP="005918BD">
      <w:pPr>
        <w:pStyle w:val="4"/>
        <w:jc w:val="both"/>
      </w:pPr>
      <w:r>
        <w:rPr>
          <w:rFonts w:eastAsia="瀹嬩綋"/>
          <w:lang w:val="en"/>
        </w:rPr>
        <w:t>Selinexor</w:t>
      </w:r>
    </w:p>
    <w:p w14:paraId="7F821E5C" w14:textId="54AD44C8" w:rsidR="00740F81" w:rsidRDefault="00740F81" w:rsidP="005918BD">
      <w:pPr>
        <w:jc w:val="both"/>
        <w:rPr>
          <w:rFonts w:eastAsia="瀹嬩綋"/>
        </w:rPr>
      </w:pPr>
      <w:r w:rsidRPr="00C52B53">
        <w:rPr>
          <w:rFonts w:eastAsia="瀹嬩綋"/>
          <w:b/>
          <w:bCs/>
          <w:lang w:val="en"/>
        </w:rPr>
        <w:t>Treatment name:</w:t>
      </w:r>
      <w:r>
        <w:rPr>
          <w:rFonts w:eastAsia="瀹嬩綋"/>
          <w:lang w:val="en"/>
        </w:rPr>
        <w:t xml:space="preserve"> </w:t>
      </w:r>
      <w:r w:rsidR="00F31A05">
        <w:rPr>
          <w:rFonts w:eastAsia="瀹嬩綋"/>
          <w:lang w:val="en"/>
        </w:rPr>
        <w:t>Selinexor</w:t>
      </w:r>
    </w:p>
    <w:p w14:paraId="3DD3B804" w14:textId="77777777" w:rsidR="00740F81" w:rsidRPr="004322E6" w:rsidRDefault="00740F81" w:rsidP="005918BD">
      <w:pPr>
        <w:jc w:val="both"/>
        <w:rPr>
          <w:rFonts w:eastAsia="瀹嬩綋"/>
        </w:rPr>
      </w:pPr>
      <w:r w:rsidRPr="004322E6">
        <w:rPr>
          <w:rFonts w:eastAsia="瀹嬩綋"/>
          <w:b/>
          <w:bCs/>
          <w:lang w:val="en"/>
        </w:rPr>
        <w:t>Brand name:</w:t>
      </w:r>
      <w:r w:rsidRPr="004322E6">
        <w:rPr>
          <w:rFonts w:eastAsia="瀹嬩綋"/>
          <w:lang w:val="en"/>
        </w:rPr>
        <w:t xml:space="preserve"> </w:t>
      </w:r>
      <w:proofErr w:type="spellStart"/>
      <w:r w:rsidRPr="004322E6">
        <w:rPr>
          <w:rFonts w:eastAsia="瀹嬩綋"/>
          <w:lang w:val="en"/>
        </w:rPr>
        <w:t>Xpovio</w:t>
      </w:r>
      <w:proofErr w:type="spellEnd"/>
    </w:p>
    <w:p w14:paraId="7E475062" w14:textId="4D6C2F9A" w:rsidR="00740F81" w:rsidRPr="004322E6" w:rsidRDefault="00740F81" w:rsidP="005918BD">
      <w:pPr>
        <w:jc w:val="both"/>
        <w:rPr>
          <w:rFonts w:eastAsia="瀹嬩綋"/>
        </w:rPr>
      </w:pPr>
      <w:r w:rsidRPr="004322E6">
        <w:rPr>
          <w:rFonts w:eastAsia="瀹嬩綋"/>
          <w:b/>
          <w:bCs/>
          <w:lang w:val="en"/>
        </w:rPr>
        <w:t>Dosage:</w:t>
      </w:r>
      <w:r w:rsidRPr="004322E6">
        <w:rPr>
          <w:rFonts w:eastAsia="瀹嬩綋"/>
          <w:lang w:val="en"/>
        </w:rPr>
        <w:t xml:space="preserve"> once </w:t>
      </w:r>
      <w:r>
        <w:rPr>
          <w:rFonts w:eastAsia="瀹嬩綋"/>
          <w:lang w:val="en"/>
        </w:rPr>
        <w:t xml:space="preserve">a </w:t>
      </w:r>
      <w:r w:rsidRPr="004322E6">
        <w:rPr>
          <w:rFonts w:eastAsia="瀹嬩綋"/>
          <w:lang w:val="en"/>
        </w:rPr>
        <w:t xml:space="preserve">week, </w:t>
      </w:r>
      <w:r>
        <w:rPr>
          <w:rFonts w:eastAsia="瀹嬩綋"/>
          <w:lang w:val="en"/>
        </w:rPr>
        <w:t>with</w:t>
      </w:r>
      <w:r w:rsidRPr="004322E6">
        <w:rPr>
          <w:rFonts w:eastAsia="瀹嬩綋"/>
          <w:lang w:val="en"/>
        </w:rPr>
        <w:t xml:space="preserve"> different dos</w:t>
      </w:r>
      <w:r>
        <w:rPr>
          <w:rFonts w:eastAsia="瀹嬩綋"/>
          <w:lang w:val="en"/>
        </w:rPr>
        <w:t>age</w:t>
      </w:r>
      <w:r w:rsidRPr="004322E6">
        <w:rPr>
          <w:rFonts w:eastAsia="瀹嬩綋"/>
          <w:lang w:val="en"/>
        </w:rPr>
        <w:t xml:space="preserve"> groups: 20</w:t>
      </w:r>
      <w:r>
        <w:rPr>
          <w:rFonts w:eastAsia="瀹嬩綋"/>
          <w:lang w:val="en"/>
        </w:rPr>
        <w:t xml:space="preserve"> </w:t>
      </w:r>
      <w:r w:rsidRPr="004322E6">
        <w:rPr>
          <w:rFonts w:eastAsia="瀹嬩綋"/>
          <w:lang w:val="en"/>
        </w:rPr>
        <w:t>mg/week and 40</w:t>
      </w:r>
      <w:r>
        <w:rPr>
          <w:rFonts w:eastAsia="瀹嬩綋"/>
          <w:lang w:val="en"/>
        </w:rPr>
        <w:t xml:space="preserve"> </w:t>
      </w:r>
      <w:r w:rsidRPr="004322E6">
        <w:rPr>
          <w:rFonts w:eastAsia="瀹嬩綋"/>
          <w:lang w:val="en"/>
        </w:rPr>
        <w:t xml:space="preserve">mg/week. </w:t>
      </w:r>
    </w:p>
    <w:p w14:paraId="10E3C521" w14:textId="4A6B165D" w:rsidR="00740F81" w:rsidRPr="004322E6" w:rsidRDefault="00740F81" w:rsidP="005918BD">
      <w:pPr>
        <w:jc w:val="both"/>
        <w:rPr>
          <w:rFonts w:eastAsia="瀹嬩綋"/>
        </w:rPr>
      </w:pPr>
      <w:r w:rsidRPr="004322E6">
        <w:rPr>
          <w:rFonts w:eastAsia="瀹嬩綋"/>
          <w:b/>
          <w:bCs/>
          <w:lang w:val="en"/>
        </w:rPr>
        <w:t>Storage:</w:t>
      </w:r>
      <w:r w:rsidRPr="004322E6">
        <w:rPr>
          <w:rFonts w:eastAsia="瀹嬩綋"/>
          <w:lang w:val="en"/>
        </w:rPr>
        <w:t xml:space="preserve"> </w:t>
      </w:r>
      <w:r>
        <w:rPr>
          <w:rFonts w:eastAsia="瀹嬩綋"/>
          <w:lang w:val="en"/>
        </w:rPr>
        <w:t>s</w:t>
      </w:r>
      <w:r w:rsidRPr="004322E6">
        <w:rPr>
          <w:rFonts w:eastAsia="瀹嬩綋"/>
          <w:lang w:val="en"/>
        </w:rPr>
        <w:t>tore at or below 30</w:t>
      </w:r>
      <w:r w:rsidR="001822A0">
        <w:rPr>
          <w:rFonts w:eastAsia="瀹嬩綋"/>
          <w:lang w:val="en"/>
        </w:rPr>
        <w:t xml:space="preserve"> </w:t>
      </w:r>
      <w:r w:rsidRPr="004322E6">
        <w:rPr>
          <w:rFonts w:eastAsia="瀹嬩綋"/>
          <w:lang w:val="en"/>
        </w:rPr>
        <w:t xml:space="preserve">℃. </w:t>
      </w:r>
    </w:p>
    <w:p w14:paraId="0D0E2A7B" w14:textId="0945CB73" w:rsidR="00740F81" w:rsidRDefault="00740F81" w:rsidP="005918BD">
      <w:pPr>
        <w:jc w:val="both"/>
        <w:rPr>
          <w:rFonts w:eastAsia="瀹嬩綋"/>
          <w:lang w:val="en"/>
        </w:rPr>
      </w:pPr>
      <w:r w:rsidRPr="004322E6">
        <w:rPr>
          <w:rFonts w:eastAsia="瀹嬩綋"/>
          <w:b/>
          <w:bCs/>
          <w:lang w:val="en"/>
        </w:rPr>
        <w:t>Manufacturer:</w:t>
      </w:r>
      <w:r w:rsidRPr="004322E6">
        <w:rPr>
          <w:rFonts w:eastAsia="瀹嬩綋"/>
          <w:lang w:val="en"/>
        </w:rPr>
        <w:t xml:space="preserve"> </w:t>
      </w:r>
      <w:proofErr w:type="spellStart"/>
      <w:r w:rsidRPr="00447CC8">
        <w:rPr>
          <w:rFonts w:eastAsia="瀹嬩綋"/>
          <w:lang w:val="en"/>
        </w:rPr>
        <w:t>Karyopharm</w:t>
      </w:r>
      <w:proofErr w:type="spellEnd"/>
    </w:p>
    <w:p w14:paraId="41B127BA" w14:textId="53DA9D59" w:rsidR="00740F81" w:rsidRPr="00740F81" w:rsidRDefault="00740F81" w:rsidP="005918BD">
      <w:pPr>
        <w:pStyle w:val="30"/>
        <w:jc w:val="both"/>
      </w:pPr>
      <w:bookmarkStart w:id="80" w:name="_Toc112064847"/>
      <w:r w:rsidRPr="00740F81">
        <w:t>Bridging Therapy</w:t>
      </w:r>
      <w:bookmarkEnd w:id="80"/>
    </w:p>
    <w:p w14:paraId="444DDE91" w14:textId="541F850A" w:rsidR="00740F81" w:rsidRPr="00CE1BB5" w:rsidRDefault="00740F81" w:rsidP="00591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CE1BB5">
        <w:rPr>
          <w:lang w:val="en"/>
        </w:rPr>
        <w:t>Bridging therapy may be used at the discretion of the investigator following monocyte collection</w:t>
      </w:r>
      <w:r w:rsidR="000C507E">
        <w:rPr>
          <w:lang w:val="en"/>
        </w:rPr>
        <w:t xml:space="preserve"> and be ended </w:t>
      </w:r>
      <w:r w:rsidR="00EA599D">
        <w:rPr>
          <w:lang w:val="en"/>
        </w:rPr>
        <w:t>seven</w:t>
      </w:r>
      <w:r w:rsidR="000C507E">
        <w:rPr>
          <w:lang w:val="en"/>
        </w:rPr>
        <w:t xml:space="preserve"> days</w:t>
      </w:r>
      <w:r w:rsidRPr="00CE1BB5">
        <w:rPr>
          <w:lang w:val="en"/>
        </w:rPr>
        <w:t xml:space="preserve"> </w:t>
      </w:r>
      <w:r w:rsidR="000C507E">
        <w:rPr>
          <w:lang w:val="en"/>
        </w:rPr>
        <w:t>before</w:t>
      </w:r>
      <w:r w:rsidR="000C507E" w:rsidRPr="00CE1BB5">
        <w:rPr>
          <w:lang w:val="en"/>
        </w:rPr>
        <w:t xml:space="preserve"> </w:t>
      </w:r>
      <w:r w:rsidRPr="00CE1BB5">
        <w:rPr>
          <w:lang w:val="en"/>
        </w:rPr>
        <w:t xml:space="preserve">lymphodepleting conditioning to maintain the </w:t>
      </w:r>
      <w:r w:rsidR="000C507E">
        <w:rPr>
          <w:lang w:val="en"/>
        </w:rPr>
        <w:t xml:space="preserve">patients in a </w:t>
      </w:r>
      <w:r w:rsidRPr="00CE1BB5">
        <w:rPr>
          <w:lang w:val="en"/>
        </w:rPr>
        <w:t xml:space="preserve">stable status. </w:t>
      </w:r>
      <w:r w:rsidR="00F31A05">
        <w:rPr>
          <w:lang w:val="en"/>
        </w:rPr>
        <w:t>Selinexor</w:t>
      </w:r>
      <w:r w:rsidR="00D475CB">
        <w:rPr>
          <w:lang w:val="en"/>
        </w:rPr>
        <w:t>-based regimen</w:t>
      </w:r>
      <w:r w:rsidR="00EA599D">
        <w:rPr>
          <w:lang w:val="en"/>
        </w:rPr>
        <w:t>s</w:t>
      </w:r>
      <w:r w:rsidRPr="00CE1BB5">
        <w:rPr>
          <w:lang w:val="en"/>
        </w:rPr>
        <w:t xml:space="preserve"> will be used as bridging therapy. Baseline assessments will be performed at least </w:t>
      </w:r>
      <w:r w:rsidR="00EA599D">
        <w:rPr>
          <w:lang w:val="en"/>
        </w:rPr>
        <w:t>seven</w:t>
      </w:r>
      <w:r w:rsidRPr="00CE1BB5">
        <w:rPr>
          <w:lang w:val="en"/>
        </w:rPr>
        <w:t xml:space="preserve"> days after bridging therapy. Patients who achieve complete remission after the bridging therapy are not allowed to receive the lymphodepleting conditioning regimen. </w:t>
      </w:r>
    </w:p>
    <w:p w14:paraId="568124D8" w14:textId="1DF8D411" w:rsidR="00740F81" w:rsidRPr="00740F81" w:rsidRDefault="00740F81" w:rsidP="005918BD">
      <w:pPr>
        <w:pStyle w:val="30"/>
        <w:jc w:val="both"/>
      </w:pPr>
      <w:bookmarkStart w:id="81" w:name="_Toc112064848"/>
      <w:r w:rsidRPr="00740F81">
        <w:t>Lymphodepleti</w:t>
      </w:r>
      <w:r w:rsidR="0068329D">
        <w:t>on</w:t>
      </w:r>
      <w:bookmarkEnd w:id="81"/>
    </w:p>
    <w:p w14:paraId="336F49E9" w14:textId="795BCA7F" w:rsidR="00740F81" w:rsidRPr="00CE1BB5" w:rsidRDefault="00740F81" w:rsidP="00591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CE1BB5">
        <w:rPr>
          <w:lang w:val="en"/>
        </w:rPr>
        <w:t xml:space="preserve">The recommended </w:t>
      </w:r>
      <w:bookmarkStart w:id="82" w:name="_Hlk111729326"/>
      <w:r w:rsidRPr="00CE1BB5">
        <w:rPr>
          <w:lang w:val="en"/>
        </w:rPr>
        <w:t>lymphodepleting conditioning</w:t>
      </w:r>
      <w:bookmarkEnd w:id="82"/>
      <w:r w:rsidRPr="00CE1BB5">
        <w:rPr>
          <w:lang w:val="en"/>
        </w:rPr>
        <w:t xml:space="preserve"> regimen is as follows: </w:t>
      </w:r>
    </w:p>
    <w:p w14:paraId="4F734882" w14:textId="1EAAF806" w:rsidR="00740F81" w:rsidRPr="00CE1BB5" w:rsidRDefault="00740F81" w:rsidP="00591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CE1BB5">
        <w:t>C</w:t>
      </w:r>
      <w:proofErr w:type="spellStart"/>
      <w:r w:rsidRPr="00CE1BB5">
        <w:rPr>
          <w:lang w:val="en"/>
        </w:rPr>
        <w:t>yclophosphamide</w:t>
      </w:r>
      <w:proofErr w:type="spellEnd"/>
      <w:r w:rsidRPr="00CE1BB5">
        <w:rPr>
          <w:lang w:val="en"/>
        </w:rPr>
        <w:t xml:space="preserve">, 500 mg/m² intravenous infusion for more than 30 minutes, once daily for </w:t>
      </w:r>
      <w:r w:rsidR="00EA599D">
        <w:rPr>
          <w:lang w:val="en"/>
        </w:rPr>
        <w:t>three</w:t>
      </w:r>
      <w:r w:rsidR="001822A0">
        <w:rPr>
          <w:lang w:val="en"/>
        </w:rPr>
        <w:t> </w:t>
      </w:r>
      <w:r w:rsidRPr="00CE1BB5">
        <w:rPr>
          <w:lang w:val="en"/>
        </w:rPr>
        <w:t>consecutive days.</w:t>
      </w:r>
    </w:p>
    <w:p w14:paraId="14B18D67" w14:textId="4D6B5A4D" w:rsidR="00740F81" w:rsidRPr="00CE1BB5" w:rsidRDefault="00740F81" w:rsidP="00591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CE1BB5">
        <w:lastRenderedPageBreak/>
        <w:t>F</w:t>
      </w:r>
      <w:proofErr w:type="spellStart"/>
      <w:r w:rsidRPr="00CE1BB5">
        <w:rPr>
          <w:lang w:val="en"/>
        </w:rPr>
        <w:t>ludarabine</w:t>
      </w:r>
      <w:proofErr w:type="spellEnd"/>
      <w:r w:rsidRPr="00CE1BB5">
        <w:rPr>
          <w:lang w:val="en"/>
        </w:rPr>
        <w:t xml:space="preserve">, 30 mg/m² intravenous infusion for more than 30 minutes, once daily for </w:t>
      </w:r>
      <w:r w:rsidR="00EA599D">
        <w:rPr>
          <w:lang w:val="en"/>
        </w:rPr>
        <w:t>three</w:t>
      </w:r>
      <w:r w:rsidR="001822A0">
        <w:rPr>
          <w:lang w:val="en"/>
        </w:rPr>
        <w:t> </w:t>
      </w:r>
      <w:r w:rsidRPr="00CE1BB5">
        <w:rPr>
          <w:lang w:val="en"/>
        </w:rPr>
        <w:t>consecutive days.</w:t>
      </w:r>
    </w:p>
    <w:p w14:paraId="7A8A6AA7" w14:textId="2A741404" w:rsidR="00740F81" w:rsidRPr="00CE1BB5" w:rsidRDefault="00740F81" w:rsidP="00591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CE1BB5">
        <w:rPr>
          <w:lang w:val="en"/>
        </w:rPr>
        <w:t xml:space="preserve">If the patient has impaired renal function or other conditions requiring dose adjustment for lymphodepleting chemotherapy, the investigator may adjust the dose after </w:t>
      </w:r>
      <w:r w:rsidR="00EA599D">
        <w:rPr>
          <w:lang w:val="en"/>
        </w:rPr>
        <w:t xml:space="preserve">a </w:t>
      </w:r>
      <w:r w:rsidRPr="00CE1BB5">
        <w:rPr>
          <w:lang w:val="en"/>
        </w:rPr>
        <w:t xml:space="preserve">comprehensive evaluation. </w:t>
      </w:r>
    </w:p>
    <w:p w14:paraId="3F9300C8" w14:textId="02FB6838" w:rsidR="00740F81" w:rsidRPr="00740F81" w:rsidRDefault="00740F81" w:rsidP="005918BD">
      <w:pPr>
        <w:pStyle w:val="30"/>
        <w:jc w:val="both"/>
      </w:pPr>
      <w:bookmarkStart w:id="83" w:name="_Toc111916563"/>
      <w:bookmarkStart w:id="84" w:name="_Toc111916694"/>
      <w:bookmarkStart w:id="85" w:name="_Toc111916820"/>
      <w:bookmarkStart w:id="86" w:name="_Toc111917074"/>
      <w:bookmarkStart w:id="87" w:name="_Toc112052852"/>
      <w:bookmarkStart w:id="88" w:name="_Toc112052989"/>
      <w:bookmarkStart w:id="89" w:name="_Toc112064849"/>
      <w:bookmarkEnd w:id="83"/>
      <w:bookmarkEnd w:id="84"/>
      <w:bookmarkEnd w:id="85"/>
      <w:bookmarkEnd w:id="86"/>
      <w:bookmarkEnd w:id="87"/>
      <w:bookmarkEnd w:id="88"/>
      <w:r w:rsidRPr="00740F81">
        <w:t>Maintenance Therapy (</w:t>
      </w:r>
      <w:r w:rsidR="00F31A05">
        <w:t>Selinexor</w:t>
      </w:r>
      <w:r w:rsidRPr="00740F81">
        <w:t>)</w:t>
      </w:r>
      <w:bookmarkEnd w:id="89"/>
      <w:r w:rsidRPr="00740F81">
        <w:t xml:space="preserve"> </w:t>
      </w:r>
    </w:p>
    <w:p w14:paraId="0591C769" w14:textId="5EAA4FCF" w:rsidR="00740F81" w:rsidRPr="00CE1BB5" w:rsidRDefault="00740F81" w:rsidP="00591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CE1BB5">
        <w:rPr>
          <w:lang w:val="en"/>
        </w:rPr>
        <w:t xml:space="preserve">There are </w:t>
      </w:r>
      <w:r w:rsidR="00EA599D">
        <w:rPr>
          <w:lang w:val="en"/>
        </w:rPr>
        <w:t>two</w:t>
      </w:r>
      <w:r w:rsidRPr="00CE1BB5">
        <w:rPr>
          <w:lang w:val="en"/>
        </w:rPr>
        <w:t xml:space="preserve"> dose groups in this study. Patients in the 20 mg dose group will receive oral </w:t>
      </w:r>
      <w:bookmarkStart w:id="90" w:name="_Hlk111814307"/>
      <w:r w:rsidR="00F31A05">
        <w:rPr>
          <w:lang w:val="en"/>
        </w:rPr>
        <w:t>Selinexor</w:t>
      </w:r>
      <w:r w:rsidRPr="00CE1BB5">
        <w:rPr>
          <w:lang w:val="en"/>
        </w:rPr>
        <w:t xml:space="preserve"> </w:t>
      </w:r>
      <w:bookmarkEnd w:id="90"/>
      <w:r w:rsidRPr="00CE1BB5">
        <w:rPr>
          <w:lang w:val="en"/>
        </w:rPr>
        <w:t>20</w:t>
      </w:r>
      <w:r w:rsidRPr="00CE1BB5">
        <w:t> </w:t>
      </w:r>
      <w:r w:rsidRPr="00CE1BB5">
        <w:rPr>
          <w:lang w:val="en"/>
        </w:rPr>
        <w:t xml:space="preserve">mg/tablet × 1 tablet weekly. Patients in the 40 mg dose group will receive oral </w:t>
      </w:r>
      <w:r w:rsidR="00F31A05">
        <w:rPr>
          <w:lang w:val="en"/>
        </w:rPr>
        <w:t>Selinexor</w:t>
      </w:r>
      <w:r w:rsidRPr="00CE1BB5">
        <w:rPr>
          <w:lang w:val="en"/>
        </w:rPr>
        <w:t xml:space="preserve"> 20 mg/tablet × 2 tablets weekly. </w:t>
      </w:r>
    </w:p>
    <w:p w14:paraId="449BB6F3" w14:textId="4A7E8268" w:rsidR="00740F81" w:rsidRPr="00CE1BB5" w:rsidRDefault="00740F81" w:rsidP="00591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CE1BB5">
        <w:rPr>
          <w:lang w:val="en"/>
        </w:rPr>
        <w:t xml:space="preserve">Patients enrolled in this study will be sequentially enrolled in the </w:t>
      </w:r>
      <w:r w:rsidR="00EA599D">
        <w:rPr>
          <w:lang w:val="en"/>
        </w:rPr>
        <w:t>two</w:t>
      </w:r>
      <w:r w:rsidRPr="00CE1BB5">
        <w:rPr>
          <w:lang w:val="en"/>
        </w:rPr>
        <w:t xml:space="preserve"> dose groups. In the 40</w:t>
      </w:r>
      <w:r w:rsidR="001822A0">
        <w:rPr>
          <w:lang w:val="en"/>
        </w:rPr>
        <w:t> </w:t>
      </w:r>
      <w:r w:rsidRPr="00CE1BB5">
        <w:rPr>
          <w:lang w:val="en"/>
        </w:rPr>
        <w:t xml:space="preserve">mg/week dose group, if </w:t>
      </w:r>
      <w:r w:rsidR="00F31A05">
        <w:rPr>
          <w:lang w:val="en"/>
        </w:rPr>
        <w:t>Selinexor</w:t>
      </w:r>
      <w:r w:rsidRPr="00CE1BB5">
        <w:rPr>
          <w:lang w:val="en"/>
        </w:rPr>
        <w:t>-related AEs occur during the treatment, the dose could be reduced to 20 mg/week after the investigator’s assessment, and the dose could be increased to 40</w:t>
      </w:r>
      <w:r w:rsidR="001822A0">
        <w:rPr>
          <w:lang w:val="en"/>
        </w:rPr>
        <w:t> </w:t>
      </w:r>
      <w:r w:rsidRPr="00CE1BB5">
        <w:rPr>
          <w:lang w:val="en"/>
        </w:rPr>
        <w:t>mg/week after the condition returns to the baseline or stabilizes for ≥</w:t>
      </w:r>
      <w:r w:rsidR="00EA599D">
        <w:rPr>
          <w:lang w:val="en"/>
        </w:rPr>
        <w:t xml:space="preserve"> </w:t>
      </w:r>
      <w:r w:rsidRPr="00CE1BB5">
        <w:rPr>
          <w:lang w:val="en"/>
        </w:rPr>
        <w:t xml:space="preserve">4 weeks. </w:t>
      </w:r>
    </w:p>
    <w:p w14:paraId="02413B21" w14:textId="4100E4D3" w:rsidR="00FC7470" w:rsidRPr="00C820E8" w:rsidRDefault="00740F81" w:rsidP="005918BD">
      <w:pPr>
        <w:pStyle w:val="20"/>
        <w:jc w:val="both"/>
      </w:pPr>
      <w:bookmarkStart w:id="91" w:name="_Toc112064850"/>
      <w:bookmarkEnd w:id="79"/>
      <w:r>
        <w:rPr>
          <w:rFonts w:ascii="Times New Roman" w:eastAsia="宋体" w:hAnsi="Times New Roman"/>
          <w:sz w:val="32"/>
          <w:szCs w:val="32"/>
          <w:lang w:val="en"/>
        </w:rPr>
        <w:t>Administration of CT103A</w:t>
      </w:r>
      <w:bookmarkEnd w:id="91"/>
    </w:p>
    <w:p w14:paraId="6B3928EE" w14:textId="2C3FFF86" w:rsidR="00740F81" w:rsidRDefault="00740F81" w:rsidP="005918BD">
      <w:pPr>
        <w:pStyle w:val="30"/>
        <w:jc w:val="both"/>
      </w:pPr>
      <w:bookmarkStart w:id="92" w:name="_Ref99696137"/>
      <w:bookmarkEnd w:id="74"/>
      <w:bookmarkEnd w:id="75"/>
      <w:bookmarkEnd w:id="76"/>
      <w:r>
        <w:rPr>
          <w:lang w:val="en"/>
        </w:rPr>
        <w:t xml:space="preserve">  </w:t>
      </w:r>
      <w:bookmarkStart w:id="93" w:name="_Toc112064851"/>
      <w:r>
        <w:rPr>
          <w:rFonts w:eastAsia="微软雅黑"/>
          <w:lang w:val="en"/>
        </w:rPr>
        <w:t xml:space="preserve">Method of </w:t>
      </w:r>
      <w:r>
        <w:rPr>
          <w:lang w:val="en"/>
        </w:rPr>
        <w:t>Administration</w:t>
      </w:r>
      <w:bookmarkEnd w:id="93"/>
    </w:p>
    <w:p w14:paraId="0AE434FE" w14:textId="66404406" w:rsidR="00740F81" w:rsidRPr="00CE1BB5" w:rsidRDefault="00740F81" w:rsidP="00591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CE1BB5">
        <w:rPr>
          <w:color w:val="000000"/>
          <w:lang w:val="en"/>
        </w:rPr>
        <w:t xml:space="preserve">Following lymphodepleting conditioning within </w:t>
      </w:r>
      <w:r w:rsidR="00EA599D">
        <w:rPr>
          <w:color w:val="000000"/>
          <w:lang w:val="en"/>
        </w:rPr>
        <w:t>one</w:t>
      </w:r>
      <w:r w:rsidRPr="00CE1BB5">
        <w:rPr>
          <w:color w:val="000000"/>
          <w:lang w:val="en"/>
        </w:rPr>
        <w:t xml:space="preserve"> week before CT103A cell infusion, patients </w:t>
      </w:r>
      <w:r w:rsidR="00EA599D">
        <w:rPr>
          <w:color w:val="000000"/>
          <w:lang w:val="en"/>
        </w:rPr>
        <w:t>eligible for</w:t>
      </w:r>
      <w:r w:rsidRPr="00CE1BB5">
        <w:rPr>
          <w:color w:val="000000"/>
          <w:lang w:val="en"/>
        </w:rPr>
        <w:t xml:space="preserve"> the treatment</w:t>
      </w:r>
      <w:r w:rsidR="00EA599D">
        <w:rPr>
          <w:color w:val="000000"/>
          <w:lang w:val="en"/>
        </w:rPr>
        <w:t>,</w:t>
      </w:r>
      <w:r w:rsidRPr="00CE1BB5">
        <w:rPr>
          <w:color w:val="000000"/>
          <w:lang w:val="en"/>
        </w:rPr>
        <w:t xml:space="preserve"> as judged by the investigator upon assessment</w:t>
      </w:r>
      <w:r w:rsidR="00EA599D">
        <w:rPr>
          <w:color w:val="000000"/>
          <w:lang w:val="en"/>
        </w:rPr>
        <w:t>,</w:t>
      </w:r>
      <w:r w:rsidRPr="00CE1BB5">
        <w:rPr>
          <w:color w:val="000000"/>
          <w:lang w:val="en"/>
        </w:rPr>
        <w:t xml:space="preserve"> will be given CT103A cell infusion. </w:t>
      </w:r>
    </w:p>
    <w:p w14:paraId="6FD1A87F" w14:textId="725D9CA8" w:rsidR="00740F81" w:rsidRPr="00CE1BB5" w:rsidRDefault="00740F81" w:rsidP="00591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CE1BB5">
        <w:rPr>
          <w:b/>
          <w:bCs/>
          <w:color w:val="000000"/>
          <w:lang w:val="en"/>
        </w:rPr>
        <w:t xml:space="preserve">Premedication: </w:t>
      </w:r>
      <w:r w:rsidRPr="00CE1BB5">
        <w:rPr>
          <w:color w:val="000000"/>
          <w:lang w:val="en"/>
        </w:rPr>
        <w:t xml:space="preserve">Patients are to be pre-medicated with 25 mg promethazine or 20 mg diphenhydramine hydrochloride intramuscularly 15 to 30 minutes before the infusion of CT103A cells. Acetaminophen or other nonsteroidal anti-inflammatory medications could be administered in the event of </w:t>
      </w:r>
      <w:r w:rsidR="00EA599D">
        <w:rPr>
          <w:color w:val="000000"/>
          <w:lang w:val="en"/>
        </w:rPr>
        <w:t xml:space="preserve">a </w:t>
      </w:r>
      <w:r w:rsidRPr="00CE1BB5">
        <w:rPr>
          <w:color w:val="000000"/>
          <w:lang w:val="en"/>
        </w:rPr>
        <w:t>fever (not caused by infection). Given that glucocorticoids may affect the survival of T cells, systemic glucocorticoids, such as hydrocortisone, prednisone, methylprednisolone, or dexamethasone, are not recommended except in life-threatening emergencies.</w:t>
      </w:r>
    </w:p>
    <w:p w14:paraId="214A2588" w14:textId="0838B03E" w:rsidR="00740F81" w:rsidRPr="00CE1BB5" w:rsidRDefault="00740F81" w:rsidP="00591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CE1BB5">
        <w:rPr>
          <w:b/>
          <w:bCs/>
          <w:color w:val="000000"/>
          <w:lang w:val="en"/>
        </w:rPr>
        <w:t xml:space="preserve">Transportation of </w:t>
      </w:r>
      <w:r w:rsidR="005918BD" w:rsidRPr="005918BD">
        <w:rPr>
          <w:rFonts w:eastAsia="微软雅黑"/>
          <w:b/>
          <w:color w:val="000000"/>
          <w:lang w:val="en"/>
        </w:rPr>
        <w:t>CT103A product</w:t>
      </w:r>
      <w:r w:rsidRPr="00CE1BB5">
        <w:rPr>
          <w:b/>
          <w:bCs/>
          <w:color w:val="000000"/>
          <w:lang w:val="en"/>
        </w:rPr>
        <w:t xml:space="preserve">: </w:t>
      </w:r>
      <w:r w:rsidRPr="00CE1BB5">
        <w:rPr>
          <w:color w:val="000000"/>
          <w:lang w:val="en"/>
        </w:rPr>
        <w:t xml:space="preserve">CT103A cells are stored in gas-phase liquid nitrogen and transported below </w:t>
      </w:r>
      <w:r w:rsidR="00CE1BB5">
        <w:rPr>
          <w:color w:val="000000"/>
          <w:lang w:val="en"/>
        </w:rPr>
        <w:t>−</w:t>
      </w:r>
      <w:r w:rsidRPr="00CE1BB5">
        <w:rPr>
          <w:color w:val="000000"/>
          <w:lang w:val="en"/>
        </w:rPr>
        <w:t xml:space="preserve">130 ℃ to clinical sites. </w:t>
      </w:r>
    </w:p>
    <w:p w14:paraId="348EA461" w14:textId="01CDDEB8" w:rsidR="00740F81" w:rsidRPr="00CE1BB5" w:rsidRDefault="005918BD" w:rsidP="00591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en"/>
        </w:rPr>
      </w:pPr>
      <w:r w:rsidRPr="005918BD">
        <w:rPr>
          <w:b/>
          <w:bCs/>
          <w:color w:val="000000"/>
          <w:lang w:val="en"/>
        </w:rPr>
        <w:t>CT103A product</w:t>
      </w:r>
      <w:r w:rsidR="00740F81" w:rsidRPr="00CE1BB5">
        <w:rPr>
          <w:b/>
          <w:bCs/>
          <w:color w:val="000000"/>
          <w:lang w:val="en"/>
        </w:rPr>
        <w:t xml:space="preserve"> resuscitation: </w:t>
      </w:r>
      <w:r w:rsidR="00740F81" w:rsidRPr="00CE1BB5">
        <w:rPr>
          <w:color w:val="000000"/>
          <w:lang w:val="en"/>
        </w:rPr>
        <w:t xml:space="preserve">The resuscitation will be conducted according to </w:t>
      </w:r>
      <w:r w:rsidR="001822A0" w:rsidRPr="001822A0">
        <w:rPr>
          <w:color w:val="000000"/>
          <w:lang w:val="en"/>
        </w:rPr>
        <w:t xml:space="preserve">standard operating procedure </w:t>
      </w:r>
      <w:r w:rsidR="001822A0">
        <w:rPr>
          <w:color w:val="000000"/>
          <w:lang w:val="en"/>
        </w:rPr>
        <w:t>(</w:t>
      </w:r>
      <w:r w:rsidR="00740F81" w:rsidRPr="00CE1BB5">
        <w:rPr>
          <w:color w:val="000000"/>
          <w:lang w:val="en"/>
        </w:rPr>
        <w:t>SOP</w:t>
      </w:r>
      <w:r w:rsidR="001822A0">
        <w:rPr>
          <w:color w:val="000000"/>
          <w:lang w:val="en"/>
        </w:rPr>
        <w:t>)</w:t>
      </w:r>
      <w:r w:rsidR="00740F81" w:rsidRPr="00CE1BB5">
        <w:rPr>
          <w:color w:val="000000"/>
          <w:lang w:val="en"/>
        </w:rPr>
        <w:t xml:space="preserve"> or the manual of the study treatment. </w:t>
      </w:r>
    </w:p>
    <w:p w14:paraId="5F44EC23" w14:textId="77777777" w:rsidR="00740F81" w:rsidRPr="00CE1BB5" w:rsidRDefault="00740F81" w:rsidP="00591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CE1BB5">
        <w:rPr>
          <w:color w:val="000000"/>
          <w:lang w:val="en"/>
        </w:rPr>
        <w:t>If the package is damaged, leaky, or has signs of damage, the infusion is prohibited.</w:t>
      </w:r>
    </w:p>
    <w:p w14:paraId="6527EB8A" w14:textId="51E5E20E" w:rsidR="00740F81" w:rsidRPr="00CE1BB5" w:rsidRDefault="00740F81" w:rsidP="00591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CE1BB5">
        <w:rPr>
          <w:b/>
          <w:bCs/>
          <w:color w:val="000000"/>
          <w:lang w:val="en"/>
        </w:rPr>
        <w:t xml:space="preserve">Infusion of </w:t>
      </w:r>
      <w:r w:rsidR="005918BD" w:rsidRPr="005918BD">
        <w:rPr>
          <w:b/>
          <w:bCs/>
          <w:color w:val="000000"/>
          <w:lang w:val="en"/>
        </w:rPr>
        <w:t>CT103A product</w:t>
      </w:r>
      <w:r w:rsidRPr="00CE1BB5">
        <w:rPr>
          <w:b/>
          <w:bCs/>
          <w:color w:val="000000"/>
          <w:lang w:val="en"/>
        </w:rPr>
        <w:t xml:space="preserve">: </w:t>
      </w:r>
      <w:r w:rsidRPr="00CE1BB5">
        <w:rPr>
          <w:color w:val="000000"/>
          <w:lang w:val="en"/>
        </w:rPr>
        <w:t xml:space="preserve">Infusion should be performed as per SOP for infusion of the study treatment. </w:t>
      </w:r>
    </w:p>
    <w:p w14:paraId="4783F176" w14:textId="4603707F" w:rsidR="00740F81" w:rsidRPr="00CE1BB5" w:rsidRDefault="00740F81" w:rsidP="00591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CE1BB5">
        <w:rPr>
          <w:color w:val="000000"/>
          <w:lang w:val="en"/>
        </w:rPr>
        <w:t>Emergency facilities should be provided during infusion to allow for prompt management of severe allergic reactions, severe hypotension</w:t>
      </w:r>
      <w:r w:rsidR="00EA599D">
        <w:rPr>
          <w:color w:val="000000"/>
          <w:lang w:val="en"/>
        </w:rPr>
        <w:t>,</w:t>
      </w:r>
      <w:r w:rsidRPr="00CE1BB5">
        <w:rPr>
          <w:color w:val="000000"/>
          <w:lang w:val="en"/>
        </w:rPr>
        <w:t xml:space="preserve"> or other reactions. Vital signs (axillary temperature, respiration rate, heart rate, and blood pressure) will be measured at 15 (±3) minutes before the </w:t>
      </w:r>
      <w:r w:rsidRPr="00CE1BB5">
        <w:rPr>
          <w:color w:val="000000"/>
          <w:lang w:val="en"/>
        </w:rPr>
        <w:lastRenderedPageBreak/>
        <w:t xml:space="preserve">infusion, at the start of the infusion, and within 1 hour after the </w:t>
      </w:r>
      <w:r w:rsidR="00EA599D">
        <w:rPr>
          <w:color w:val="000000"/>
          <w:lang w:val="en"/>
        </w:rPr>
        <w:t>beginning</w:t>
      </w:r>
      <w:r w:rsidRPr="00CE1BB5">
        <w:rPr>
          <w:color w:val="000000"/>
          <w:lang w:val="en"/>
        </w:rPr>
        <w:t xml:space="preserve"> of the infusion (every 15 [±3</w:t>
      </w:r>
      <w:r w:rsidR="00657324">
        <w:rPr>
          <w:color w:val="000000"/>
          <w:lang w:val="en"/>
        </w:rPr>
        <w:t>)</w:t>
      </w:r>
      <w:r w:rsidRPr="00CE1BB5">
        <w:rPr>
          <w:color w:val="000000"/>
          <w:lang w:val="en"/>
        </w:rPr>
        <w:t xml:space="preserve"> minutes). If abnormal, vital signs will continue to be monitored as clinically indicated until stable. </w:t>
      </w:r>
    </w:p>
    <w:p w14:paraId="2BD31E06" w14:textId="1BFB1FBB" w:rsidR="00740F81" w:rsidRPr="008C7F13" w:rsidRDefault="00740F81" w:rsidP="005918BD">
      <w:pPr>
        <w:pStyle w:val="30"/>
        <w:jc w:val="both"/>
        <w:rPr>
          <w:lang w:val="en"/>
        </w:rPr>
      </w:pPr>
      <w:r w:rsidRPr="008C7F13">
        <w:rPr>
          <w:lang w:val="en"/>
        </w:rPr>
        <w:t xml:space="preserve">  </w:t>
      </w:r>
      <w:bookmarkStart w:id="94" w:name="_Toc112064852"/>
      <w:r w:rsidRPr="008C7F13">
        <w:rPr>
          <w:lang w:val="en"/>
        </w:rPr>
        <w:t>Indications for Dose Adjustment and Withdrawal</w:t>
      </w:r>
      <w:bookmarkEnd w:id="94"/>
    </w:p>
    <w:p w14:paraId="5D33A412" w14:textId="04D9C2C1" w:rsidR="00740F81" w:rsidRDefault="00740F81" w:rsidP="005918BD">
      <w:pPr>
        <w:pStyle w:val="4"/>
        <w:jc w:val="both"/>
      </w:pPr>
      <w:bookmarkStart w:id="95" w:name="_Toc112064853"/>
      <w:r>
        <w:rPr>
          <w:lang w:val="en"/>
        </w:rPr>
        <w:t>Dose Delays and Adjustments</w:t>
      </w:r>
      <w:bookmarkEnd w:id="95"/>
    </w:p>
    <w:p w14:paraId="212A22DA" w14:textId="1A2C0E11" w:rsidR="00740F81" w:rsidRPr="00CE1BB5" w:rsidRDefault="00740F81" w:rsidP="00591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CE1BB5">
        <w:rPr>
          <w:color w:val="000000"/>
          <w:lang w:val="en"/>
        </w:rPr>
        <w:t xml:space="preserve">Patients need to be evaluated for lymphodepleting conditioning before this procedure. Only </w:t>
      </w:r>
      <w:r w:rsidR="00EA599D">
        <w:rPr>
          <w:color w:val="000000"/>
          <w:lang w:val="en"/>
        </w:rPr>
        <w:t xml:space="preserve">for </w:t>
      </w:r>
      <w:r w:rsidRPr="00CE1BB5">
        <w:rPr>
          <w:color w:val="000000"/>
          <w:lang w:val="en"/>
        </w:rPr>
        <w:t xml:space="preserve">those patients who meet the criteria as judged by the investigator </w:t>
      </w:r>
      <w:r w:rsidR="00EA599D">
        <w:rPr>
          <w:color w:val="000000"/>
          <w:lang w:val="en"/>
        </w:rPr>
        <w:t>can lymphodepleting conditioning</w:t>
      </w:r>
      <w:r w:rsidRPr="00CE1BB5">
        <w:rPr>
          <w:color w:val="000000"/>
          <w:lang w:val="en"/>
        </w:rPr>
        <w:t xml:space="preserve"> be performed. If the criteria for lymphodepletion are not met, the procedure may be postponed until the patient meets the criteria, which should not exceed </w:t>
      </w:r>
      <w:r w:rsidR="00EA599D">
        <w:rPr>
          <w:color w:val="000000"/>
          <w:lang w:val="en"/>
        </w:rPr>
        <w:t>eight</w:t>
      </w:r>
      <w:r w:rsidRPr="00CE1BB5">
        <w:rPr>
          <w:color w:val="000000"/>
          <w:lang w:val="en"/>
        </w:rPr>
        <w:t xml:space="preserve"> weeks. </w:t>
      </w:r>
    </w:p>
    <w:p w14:paraId="6887D6A4" w14:textId="22331793" w:rsidR="00740F81" w:rsidRPr="00CE1BB5" w:rsidRDefault="00740F81" w:rsidP="00591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CE1BB5">
        <w:rPr>
          <w:color w:val="000000"/>
        </w:rPr>
        <w:t xml:space="preserve">Before the infusion, </w:t>
      </w:r>
      <w:r w:rsidRPr="00CE1BB5">
        <w:rPr>
          <w:color w:val="000000"/>
          <w:lang w:val="en"/>
        </w:rPr>
        <w:t xml:space="preserve">patients need to rest and receive </w:t>
      </w:r>
      <w:r w:rsidR="00EA599D">
        <w:rPr>
          <w:color w:val="000000"/>
          <w:lang w:val="en"/>
        </w:rPr>
        <w:t>a</w:t>
      </w:r>
      <w:r w:rsidR="000C507E">
        <w:rPr>
          <w:color w:val="000000"/>
          <w:lang w:val="en"/>
        </w:rPr>
        <w:t xml:space="preserve"> </w:t>
      </w:r>
      <w:r w:rsidRPr="00CE1BB5">
        <w:rPr>
          <w:color w:val="000000"/>
          <w:lang w:val="en"/>
        </w:rPr>
        <w:t>second assessment for infusion</w:t>
      </w:r>
      <w:r w:rsidR="00EA599D">
        <w:rPr>
          <w:color w:val="000000"/>
          <w:lang w:val="en"/>
        </w:rPr>
        <w:t>. T</w:t>
      </w:r>
      <w:r w:rsidRPr="00CE1BB5">
        <w:rPr>
          <w:color w:val="000000"/>
          <w:lang w:val="en"/>
        </w:rPr>
        <w:t>hose who meet the criteria for cell infusion</w:t>
      </w:r>
      <w:r w:rsidR="00EA599D">
        <w:rPr>
          <w:color w:val="000000"/>
          <w:lang w:val="en"/>
        </w:rPr>
        <w:t>,</w:t>
      </w:r>
      <w:r w:rsidRPr="00CE1BB5">
        <w:rPr>
          <w:color w:val="000000"/>
          <w:lang w:val="en"/>
        </w:rPr>
        <w:t xml:space="preserve"> as judged by the investigator</w:t>
      </w:r>
      <w:r w:rsidR="00EA599D">
        <w:rPr>
          <w:color w:val="000000"/>
          <w:lang w:val="en"/>
        </w:rPr>
        <w:t>,</w:t>
      </w:r>
      <w:r w:rsidRPr="00CE1BB5">
        <w:rPr>
          <w:color w:val="000000"/>
          <w:lang w:val="en"/>
        </w:rPr>
        <w:t xml:space="preserve"> will receive CT103A cell infusion. If the criteria for cell infusion are not met, a delay of up to 2 weeks is allowed. If longer than </w:t>
      </w:r>
      <w:r w:rsidR="00EA599D">
        <w:rPr>
          <w:color w:val="000000"/>
          <w:lang w:val="en"/>
        </w:rPr>
        <w:t>two</w:t>
      </w:r>
      <w:r w:rsidRPr="00CE1BB5">
        <w:rPr>
          <w:color w:val="000000"/>
          <w:lang w:val="en"/>
        </w:rPr>
        <w:t xml:space="preserve"> weeks, the investigator will assess the need for subjects to re-initiate baseline measurements and lymphodepleting conditioning procedure. </w:t>
      </w:r>
    </w:p>
    <w:p w14:paraId="3E423C6D" w14:textId="74D42FDC" w:rsidR="00740F81" w:rsidRPr="00CE1BB5" w:rsidRDefault="00740F81" w:rsidP="00591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CE1BB5">
        <w:rPr>
          <w:color w:val="000000"/>
          <w:lang w:val="en"/>
        </w:rPr>
        <w:t>No dose adjustment of CT103A is allowed</w:t>
      </w:r>
      <w:r w:rsidR="00EA599D">
        <w:rPr>
          <w:color w:val="000000"/>
          <w:lang w:val="en"/>
        </w:rPr>
        <w:t>,</w:t>
      </w:r>
      <w:r w:rsidRPr="00CE1BB5">
        <w:rPr>
          <w:color w:val="000000"/>
          <w:lang w:val="en"/>
        </w:rPr>
        <w:t xml:space="preserve"> and a dose range of 30% is acceptable.  To maximize the benefits to patients, </w:t>
      </w:r>
      <w:r w:rsidR="00EA599D">
        <w:rPr>
          <w:color w:val="000000"/>
          <w:lang w:val="en"/>
        </w:rPr>
        <w:t xml:space="preserve">a </w:t>
      </w:r>
      <w:r w:rsidRPr="00CE1BB5">
        <w:rPr>
          <w:color w:val="000000"/>
          <w:lang w:val="en"/>
        </w:rPr>
        <w:t>conditional infusion can be performed if the criteria for infusion are met when the number of CAR-T cells produced does not reach the administered dose of CT103A and when the maximum infusion dose is ≥</w:t>
      </w:r>
      <w:r w:rsidR="00EA599D">
        <w:rPr>
          <w:color w:val="000000"/>
          <w:lang w:val="en"/>
        </w:rPr>
        <w:t xml:space="preserve"> </w:t>
      </w:r>
      <w:r w:rsidRPr="00CE1BB5">
        <w:rPr>
          <w:color w:val="000000"/>
          <w:lang w:val="en"/>
        </w:rPr>
        <w:t>0.5×10</w:t>
      </w:r>
      <w:r w:rsidRPr="00CE1BB5">
        <w:rPr>
          <w:color w:val="000000"/>
          <w:vertAlign w:val="superscript"/>
          <w:lang w:val="en"/>
        </w:rPr>
        <w:t>6</w:t>
      </w:r>
      <w:r w:rsidRPr="00CE1BB5">
        <w:rPr>
          <w:color w:val="000000"/>
          <w:lang w:val="en"/>
        </w:rPr>
        <w:t xml:space="preserve"> CAR-T/kg after the investigator fully assesses the safety of the study treatment and the patient’s condition. </w:t>
      </w:r>
    </w:p>
    <w:p w14:paraId="561B8811" w14:textId="20B11FB6" w:rsidR="00740F81" w:rsidRDefault="00740F81" w:rsidP="005918BD">
      <w:pPr>
        <w:pStyle w:val="4"/>
        <w:jc w:val="both"/>
      </w:pPr>
      <w:bookmarkStart w:id="96" w:name="_Toc112064854"/>
      <w:r>
        <w:rPr>
          <w:lang w:val="en"/>
        </w:rPr>
        <w:t>Criteria for Study Treatment Discontinuation</w:t>
      </w:r>
      <w:bookmarkEnd w:id="96"/>
    </w:p>
    <w:p w14:paraId="793FCAB7" w14:textId="3E856584" w:rsidR="00740F81" w:rsidRPr="00842571" w:rsidRDefault="00740F81" w:rsidP="00591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842571">
        <w:rPr>
          <w:lang w:val="en"/>
        </w:rPr>
        <w:t xml:space="preserve">In the event of </w:t>
      </w:r>
      <w:r w:rsidR="00EA599D">
        <w:rPr>
          <w:lang w:val="en"/>
        </w:rPr>
        <w:t xml:space="preserve">a </w:t>
      </w:r>
      <w:r w:rsidRPr="00842571">
        <w:rPr>
          <w:lang w:val="en"/>
        </w:rPr>
        <w:t>Grade 4 infusion-related or allergic reaction, the patient should immediately discontinue the infusion and receive symptomatic treatment, with the investigator evaluating the need for withdrawal from the study treatment.</w:t>
      </w:r>
    </w:p>
    <w:p w14:paraId="78E80EF9" w14:textId="7F6F4A96" w:rsidR="00740F81" w:rsidRDefault="00740F81" w:rsidP="005918BD">
      <w:pPr>
        <w:pStyle w:val="4"/>
        <w:jc w:val="both"/>
      </w:pPr>
      <w:bookmarkStart w:id="97" w:name="_Toc112064855"/>
      <w:r>
        <w:rPr>
          <w:lang w:val="en"/>
        </w:rPr>
        <w:t>Precautions</w:t>
      </w:r>
      <w:bookmarkEnd w:id="97"/>
    </w:p>
    <w:p w14:paraId="7993587F" w14:textId="3830EA56" w:rsidR="00740F81" w:rsidRPr="000559D5" w:rsidRDefault="0095243D" w:rsidP="005918BD">
      <w:pPr>
        <w:pStyle w:val="aff"/>
        <w:widowControl w:val="0"/>
        <w:numPr>
          <w:ilvl w:val="0"/>
          <w:numId w:val="112"/>
        </w:numPr>
        <w:spacing w:after="120" w:line="276" w:lineRule="auto"/>
        <w:ind w:left="418" w:hanging="418"/>
        <w:contextualSpacing w:val="0"/>
        <w:jc w:val="both"/>
        <w:rPr>
          <w:rFonts w:ascii="Times New Roman" w:hAnsi="Times New Roman" w:cs="Times New Roman"/>
          <w:color w:val="000000" w:themeColor="text1"/>
          <w:sz w:val="24"/>
          <w:szCs w:val="24"/>
          <w:lang w:val="en"/>
        </w:rPr>
      </w:pPr>
      <w:r w:rsidRPr="000559D5">
        <w:rPr>
          <w:rFonts w:ascii="Times New Roman" w:hAnsi="Times New Roman" w:cs="Times New Roman"/>
          <w:color w:val="000000" w:themeColor="text1"/>
          <w:sz w:val="24"/>
          <w:szCs w:val="24"/>
          <w:lang w:val="en"/>
        </w:rPr>
        <w:t xml:space="preserve">The </w:t>
      </w:r>
      <w:r w:rsidR="00B54505">
        <w:rPr>
          <w:rFonts w:ascii="Times New Roman" w:hAnsi="Times New Roman" w:cs="Times New Roman"/>
          <w:color w:val="000000" w:themeColor="text1"/>
          <w:sz w:val="24"/>
          <w:szCs w:val="24"/>
          <w:lang w:val="en"/>
        </w:rPr>
        <w:t>CT103A product</w:t>
      </w:r>
      <w:r w:rsidRPr="000559D5">
        <w:rPr>
          <w:rFonts w:ascii="Times New Roman" w:hAnsi="Times New Roman" w:cs="Times New Roman"/>
          <w:color w:val="000000" w:themeColor="text1"/>
          <w:sz w:val="24"/>
          <w:szCs w:val="24"/>
          <w:lang w:val="en"/>
        </w:rPr>
        <w:t xml:space="preserve"> </w:t>
      </w:r>
      <w:r w:rsidR="009D2283" w:rsidRPr="000559D5">
        <w:rPr>
          <w:rFonts w:ascii="Times New Roman" w:hAnsi="Times New Roman" w:cs="Times New Roman"/>
          <w:color w:val="000000" w:themeColor="text1"/>
          <w:sz w:val="24"/>
          <w:szCs w:val="24"/>
          <w:lang w:val="en"/>
        </w:rPr>
        <w:t>is</w:t>
      </w:r>
      <w:r w:rsidRPr="000559D5">
        <w:rPr>
          <w:rFonts w:ascii="Times New Roman" w:hAnsi="Times New Roman" w:cs="Times New Roman"/>
          <w:color w:val="000000" w:themeColor="text1"/>
          <w:sz w:val="24"/>
          <w:szCs w:val="24"/>
          <w:lang w:val="en"/>
        </w:rPr>
        <w:t xml:space="preserve"> an autologous cell therapy product. Before infusion, </w:t>
      </w:r>
      <w:r w:rsidR="00EA599D">
        <w:rPr>
          <w:rFonts w:ascii="Times New Roman" w:hAnsi="Times New Roman" w:cs="Times New Roman"/>
          <w:color w:val="000000" w:themeColor="text1"/>
          <w:sz w:val="24"/>
          <w:szCs w:val="24"/>
          <w:lang w:val="en"/>
        </w:rPr>
        <w:t>two</w:t>
      </w:r>
      <w:r w:rsidRPr="000559D5">
        <w:rPr>
          <w:rFonts w:ascii="Times New Roman" w:hAnsi="Times New Roman" w:cs="Times New Roman"/>
          <w:color w:val="000000" w:themeColor="text1"/>
          <w:sz w:val="24"/>
          <w:szCs w:val="24"/>
          <w:lang w:val="en"/>
        </w:rPr>
        <w:t xml:space="preserve"> investigators </w:t>
      </w:r>
      <w:r w:rsidR="009D2283" w:rsidRPr="000559D5">
        <w:rPr>
          <w:rFonts w:ascii="Times New Roman" w:hAnsi="Times New Roman" w:cs="Times New Roman"/>
          <w:color w:val="000000" w:themeColor="text1"/>
          <w:sz w:val="24"/>
          <w:szCs w:val="24"/>
          <w:lang w:val="en"/>
        </w:rPr>
        <w:t>are</w:t>
      </w:r>
      <w:r w:rsidRPr="000559D5">
        <w:rPr>
          <w:rFonts w:ascii="Times New Roman" w:hAnsi="Times New Roman" w:cs="Times New Roman"/>
          <w:color w:val="000000" w:themeColor="text1"/>
          <w:sz w:val="24"/>
          <w:szCs w:val="24"/>
          <w:lang w:val="en"/>
        </w:rPr>
        <w:t xml:space="preserve"> required to check the identification information with the </w:t>
      </w:r>
      <w:r w:rsidR="009D2283" w:rsidRPr="000559D5">
        <w:rPr>
          <w:rFonts w:ascii="Times New Roman" w:hAnsi="Times New Roman" w:cs="Times New Roman"/>
          <w:color w:val="000000" w:themeColor="text1"/>
          <w:sz w:val="24"/>
          <w:szCs w:val="24"/>
          <w:lang w:val="en"/>
        </w:rPr>
        <w:t>patients</w:t>
      </w:r>
      <w:r w:rsidRPr="000559D5">
        <w:rPr>
          <w:rFonts w:ascii="Times New Roman" w:hAnsi="Times New Roman" w:cs="Times New Roman"/>
          <w:color w:val="000000" w:themeColor="text1"/>
          <w:sz w:val="24"/>
          <w:szCs w:val="24"/>
          <w:lang w:val="en"/>
        </w:rPr>
        <w:t xml:space="preserve"> separately.</w:t>
      </w:r>
      <w:r w:rsidR="00740F81" w:rsidRPr="000559D5">
        <w:rPr>
          <w:rFonts w:ascii="Times New Roman" w:hAnsi="Times New Roman" w:cs="Times New Roman"/>
          <w:color w:val="000000" w:themeColor="text1"/>
          <w:sz w:val="24"/>
          <w:szCs w:val="24"/>
          <w:lang w:val="en"/>
        </w:rPr>
        <w:t xml:space="preserve"> </w:t>
      </w:r>
    </w:p>
    <w:p w14:paraId="24B6EBA9" w14:textId="4A530F3D" w:rsidR="00740F81" w:rsidRPr="000559D5" w:rsidRDefault="0095243D" w:rsidP="005918BD">
      <w:pPr>
        <w:pStyle w:val="aff"/>
        <w:widowControl w:val="0"/>
        <w:numPr>
          <w:ilvl w:val="0"/>
          <w:numId w:val="112"/>
        </w:numPr>
        <w:spacing w:after="120" w:line="276" w:lineRule="auto"/>
        <w:ind w:left="418" w:hanging="418"/>
        <w:contextualSpacing w:val="0"/>
        <w:jc w:val="both"/>
        <w:rPr>
          <w:rFonts w:ascii="Times New Roman" w:hAnsi="Times New Roman" w:cs="Times New Roman"/>
          <w:color w:val="000000" w:themeColor="text1"/>
          <w:sz w:val="24"/>
          <w:szCs w:val="24"/>
          <w:lang w:val="en"/>
        </w:rPr>
      </w:pPr>
      <w:r w:rsidRPr="000559D5">
        <w:rPr>
          <w:rFonts w:ascii="Times New Roman" w:hAnsi="Times New Roman" w:cs="Times New Roman"/>
          <w:color w:val="000000" w:themeColor="text1"/>
          <w:sz w:val="24"/>
          <w:szCs w:val="24"/>
          <w:lang w:val="en"/>
        </w:rPr>
        <w:t xml:space="preserve">The </w:t>
      </w:r>
      <w:r w:rsidR="00B54505">
        <w:rPr>
          <w:rFonts w:ascii="Times New Roman" w:hAnsi="Times New Roman" w:cs="Times New Roman"/>
          <w:color w:val="000000" w:themeColor="text1"/>
          <w:sz w:val="24"/>
          <w:szCs w:val="24"/>
          <w:lang w:val="en"/>
        </w:rPr>
        <w:t>CT103A product</w:t>
      </w:r>
      <w:r w:rsidRPr="000559D5">
        <w:rPr>
          <w:rFonts w:ascii="Times New Roman" w:hAnsi="Times New Roman" w:cs="Times New Roman"/>
          <w:color w:val="000000" w:themeColor="text1"/>
          <w:sz w:val="24"/>
          <w:szCs w:val="24"/>
          <w:lang w:val="en"/>
        </w:rPr>
        <w:t xml:space="preserve"> should be given in a clinical environment.</w:t>
      </w:r>
    </w:p>
    <w:p w14:paraId="187B7F0D" w14:textId="14BFD666" w:rsidR="00740F81" w:rsidRPr="000559D5" w:rsidRDefault="00740F81" w:rsidP="005918BD">
      <w:pPr>
        <w:pStyle w:val="aff"/>
        <w:widowControl w:val="0"/>
        <w:numPr>
          <w:ilvl w:val="0"/>
          <w:numId w:val="112"/>
        </w:numPr>
        <w:spacing w:after="120" w:line="276" w:lineRule="auto"/>
        <w:ind w:left="418" w:hanging="418"/>
        <w:contextualSpacing w:val="0"/>
        <w:jc w:val="both"/>
        <w:rPr>
          <w:rFonts w:ascii="Times New Roman" w:hAnsi="Times New Roman" w:cs="Times New Roman"/>
          <w:color w:val="000000" w:themeColor="text1"/>
          <w:sz w:val="24"/>
          <w:szCs w:val="24"/>
          <w:lang w:val="en"/>
        </w:rPr>
      </w:pPr>
      <w:r w:rsidRPr="000559D5">
        <w:rPr>
          <w:rFonts w:ascii="Times New Roman" w:hAnsi="Times New Roman" w:cs="Times New Roman"/>
          <w:color w:val="000000" w:themeColor="text1"/>
          <w:sz w:val="24"/>
          <w:szCs w:val="24"/>
          <w:lang w:val="en"/>
        </w:rPr>
        <w:t xml:space="preserve">The water bath for </w:t>
      </w:r>
      <w:r w:rsidR="00B54505">
        <w:rPr>
          <w:rFonts w:ascii="Times New Roman" w:hAnsi="Times New Roman" w:cs="Times New Roman"/>
          <w:color w:val="000000" w:themeColor="text1"/>
          <w:sz w:val="24"/>
          <w:szCs w:val="24"/>
          <w:lang w:val="en"/>
        </w:rPr>
        <w:t>CT103A product</w:t>
      </w:r>
      <w:r w:rsidR="00900E37" w:rsidRPr="000559D5">
        <w:rPr>
          <w:rFonts w:ascii="Times New Roman" w:hAnsi="Times New Roman" w:cs="Times New Roman"/>
          <w:color w:val="000000" w:themeColor="text1"/>
          <w:sz w:val="24"/>
          <w:szCs w:val="24"/>
          <w:lang w:val="en"/>
        </w:rPr>
        <w:t xml:space="preserve"> resuscitation</w:t>
      </w:r>
      <w:r w:rsidRPr="000559D5">
        <w:rPr>
          <w:rFonts w:ascii="Times New Roman" w:hAnsi="Times New Roman" w:cs="Times New Roman"/>
          <w:color w:val="000000" w:themeColor="text1"/>
          <w:sz w:val="24"/>
          <w:szCs w:val="24"/>
          <w:lang w:val="en"/>
        </w:rPr>
        <w:t xml:space="preserve"> should </w:t>
      </w:r>
      <w:r w:rsidR="00900E37" w:rsidRPr="000559D5">
        <w:rPr>
          <w:rFonts w:ascii="Times New Roman" w:hAnsi="Times New Roman" w:cs="Times New Roman"/>
          <w:color w:val="000000" w:themeColor="text1"/>
          <w:sz w:val="24"/>
          <w:szCs w:val="24"/>
          <w:lang w:val="en"/>
        </w:rPr>
        <w:t>use</w:t>
      </w:r>
      <w:r w:rsidRPr="000559D5">
        <w:rPr>
          <w:rFonts w:ascii="Times New Roman" w:hAnsi="Times New Roman" w:cs="Times New Roman"/>
          <w:color w:val="000000" w:themeColor="text1"/>
          <w:sz w:val="24"/>
          <w:szCs w:val="24"/>
          <w:lang w:val="en"/>
        </w:rPr>
        <w:t xml:space="preserve"> clean tap water or autoclaved sterile water. </w:t>
      </w:r>
    </w:p>
    <w:p w14:paraId="54C5C23B" w14:textId="2739EF86" w:rsidR="00740F81" w:rsidRPr="000559D5" w:rsidRDefault="009D2283" w:rsidP="005918BD">
      <w:pPr>
        <w:pStyle w:val="aff"/>
        <w:widowControl w:val="0"/>
        <w:numPr>
          <w:ilvl w:val="0"/>
          <w:numId w:val="112"/>
        </w:numPr>
        <w:spacing w:after="120" w:line="276" w:lineRule="auto"/>
        <w:ind w:left="418" w:hanging="418"/>
        <w:contextualSpacing w:val="0"/>
        <w:jc w:val="both"/>
        <w:rPr>
          <w:rFonts w:ascii="Times New Roman" w:hAnsi="Times New Roman" w:cs="Times New Roman"/>
          <w:color w:val="000000" w:themeColor="text1"/>
          <w:sz w:val="24"/>
          <w:szCs w:val="24"/>
          <w:lang w:val="en"/>
        </w:rPr>
      </w:pPr>
      <w:r w:rsidRPr="000559D5">
        <w:rPr>
          <w:rFonts w:ascii="Times New Roman" w:hAnsi="Times New Roman" w:cs="Times New Roman"/>
          <w:color w:val="000000" w:themeColor="text1"/>
          <w:sz w:val="24"/>
          <w:szCs w:val="24"/>
          <w:lang w:val="en"/>
        </w:rPr>
        <w:t>Before</w:t>
      </w:r>
      <w:r w:rsidR="00740F81" w:rsidRPr="000559D5">
        <w:rPr>
          <w:rFonts w:ascii="Times New Roman" w:hAnsi="Times New Roman" w:cs="Times New Roman"/>
          <w:color w:val="000000" w:themeColor="text1"/>
          <w:sz w:val="24"/>
          <w:szCs w:val="24"/>
          <w:lang w:val="en"/>
        </w:rPr>
        <w:t xml:space="preserve"> the infusion, the name and identification</w:t>
      </w:r>
      <w:r w:rsidR="00E407AC" w:rsidRPr="000559D5">
        <w:rPr>
          <w:rFonts w:ascii="Times New Roman" w:hAnsi="Times New Roman" w:cs="Times New Roman"/>
          <w:color w:val="000000" w:themeColor="text1"/>
          <w:sz w:val="24"/>
          <w:szCs w:val="24"/>
          <w:lang w:val="en"/>
        </w:rPr>
        <w:t xml:space="preserve"> of the drug should be confirmed. I</w:t>
      </w:r>
      <w:r w:rsidR="00740F81" w:rsidRPr="000559D5">
        <w:rPr>
          <w:rFonts w:ascii="Times New Roman" w:hAnsi="Times New Roman" w:cs="Times New Roman"/>
          <w:color w:val="000000" w:themeColor="text1"/>
          <w:sz w:val="24"/>
          <w:szCs w:val="24"/>
          <w:lang w:val="en"/>
        </w:rPr>
        <w:t>t can</w:t>
      </w:r>
      <w:r w:rsidR="00E407AC" w:rsidRPr="000559D5">
        <w:rPr>
          <w:rFonts w:ascii="Times New Roman" w:hAnsi="Times New Roman" w:cs="Times New Roman"/>
          <w:color w:val="000000" w:themeColor="text1"/>
          <w:sz w:val="24"/>
          <w:szCs w:val="24"/>
          <w:lang w:val="en"/>
        </w:rPr>
        <w:t xml:space="preserve"> only</w:t>
      </w:r>
      <w:r w:rsidR="00740F81" w:rsidRPr="000559D5">
        <w:rPr>
          <w:rFonts w:ascii="Times New Roman" w:hAnsi="Times New Roman" w:cs="Times New Roman"/>
          <w:color w:val="000000" w:themeColor="text1"/>
          <w:sz w:val="24"/>
          <w:szCs w:val="24"/>
          <w:lang w:val="en"/>
        </w:rPr>
        <w:t xml:space="preserve"> be used</w:t>
      </w:r>
      <w:r w:rsidR="00E407AC" w:rsidRPr="000559D5">
        <w:rPr>
          <w:rFonts w:ascii="Times New Roman" w:hAnsi="Times New Roman" w:cs="Times New Roman"/>
          <w:color w:val="000000" w:themeColor="text1"/>
          <w:sz w:val="24"/>
          <w:szCs w:val="24"/>
          <w:lang w:val="en"/>
        </w:rPr>
        <w:t xml:space="preserve"> before the validity period,</w:t>
      </w:r>
      <w:r w:rsidR="00740F81" w:rsidRPr="000559D5">
        <w:rPr>
          <w:rFonts w:ascii="Times New Roman" w:hAnsi="Times New Roman" w:cs="Times New Roman"/>
          <w:color w:val="000000" w:themeColor="text1"/>
          <w:sz w:val="24"/>
          <w:szCs w:val="24"/>
          <w:lang w:val="en"/>
        </w:rPr>
        <w:t xml:space="preserve"> with </w:t>
      </w:r>
      <w:r w:rsidR="00E407AC" w:rsidRPr="000559D5">
        <w:rPr>
          <w:rFonts w:ascii="Times New Roman" w:hAnsi="Times New Roman" w:cs="Times New Roman"/>
          <w:color w:val="000000" w:themeColor="text1"/>
          <w:sz w:val="24"/>
          <w:szCs w:val="24"/>
          <w:lang w:val="en"/>
        </w:rPr>
        <w:t>integrity</w:t>
      </w:r>
      <w:r w:rsidR="00740F81" w:rsidRPr="000559D5">
        <w:rPr>
          <w:rFonts w:ascii="Times New Roman" w:hAnsi="Times New Roman" w:cs="Times New Roman"/>
          <w:color w:val="000000" w:themeColor="text1"/>
          <w:sz w:val="24"/>
          <w:szCs w:val="24"/>
          <w:lang w:val="en"/>
        </w:rPr>
        <w:t xml:space="preserve"> </w:t>
      </w:r>
      <w:r w:rsidR="00E407AC" w:rsidRPr="000559D5">
        <w:rPr>
          <w:rFonts w:ascii="Times New Roman" w:hAnsi="Times New Roman" w:cs="Times New Roman"/>
          <w:color w:val="000000" w:themeColor="text1"/>
          <w:sz w:val="24"/>
          <w:szCs w:val="24"/>
          <w:lang w:val="en"/>
        </w:rPr>
        <w:t>and</w:t>
      </w:r>
      <w:r w:rsidR="00740F81" w:rsidRPr="000559D5">
        <w:rPr>
          <w:rFonts w:ascii="Times New Roman" w:hAnsi="Times New Roman" w:cs="Times New Roman"/>
          <w:color w:val="000000" w:themeColor="text1"/>
          <w:sz w:val="24"/>
          <w:szCs w:val="24"/>
          <w:lang w:val="en"/>
        </w:rPr>
        <w:t xml:space="preserve"> sealed condition. </w:t>
      </w:r>
    </w:p>
    <w:p w14:paraId="41B9273A" w14:textId="0DF86DCE" w:rsidR="00740F81" w:rsidRPr="000559D5" w:rsidRDefault="00740F81" w:rsidP="005918BD">
      <w:pPr>
        <w:pStyle w:val="aff"/>
        <w:widowControl w:val="0"/>
        <w:numPr>
          <w:ilvl w:val="0"/>
          <w:numId w:val="112"/>
        </w:numPr>
        <w:spacing w:after="120" w:line="276" w:lineRule="auto"/>
        <w:ind w:left="418" w:hanging="418"/>
        <w:contextualSpacing w:val="0"/>
        <w:jc w:val="both"/>
        <w:rPr>
          <w:rFonts w:ascii="Times New Roman" w:hAnsi="Times New Roman" w:cs="Times New Roman"/>
          <w:color w:val="000000" w:themeColor="text1"/>
          <w:sz w:val="24"/>
          <w:szCs w:val="24"/>
          <w:lang w:val="en"/>
        </w:rPr>
      </w:pPr>
      <w:r w:rsidRPr="000559D5">
        <w:rPr>
          <w:rFonts w:ascii="Times New Roman" w:hAnsi="Times New Roman" w:cs="Times New Roman"/>
          <w:color w:val="000000" w:themeColor="text1"/>
          <w:sz w:val="24"/>
          <w:szCs w:val="24"/>
          <w:lang w:val="en"/>
        </w:rPr>
        <w:t xml:space="preserve">The appearance of the </w:t>
      </w:r>
      <w:r w:rsidR="00B54505">
        <w:rPr>
          <w:rFonts w:ascii="Times New Roman" w:hAnsi="Times New Roman" w:cs="Times New Roman"/>
          <w:color w:val="000000" w:themeColor="text1"/>
          <w:sz w:val="24"/>
          <w:szCs w:val="24"/>
          <w:lang w:val="en"/>
        </w:rPr>
        <w:t>CT103A product</w:t>
      </w:r>
      <w:r w:rsidRPr="000559D5">
        <w:rPr>
          <w:rFonts w:ascii="Times New Roman" w:hAnsi="Times New Roman" w:cs="Times New Roman"/>
          <w:color w:val="000000" w:themeColor="text1"/>
          <w:sz w:val="24"/>
          <w:szCs w:val="24"/>
          <w:lang w:val="en"/>
        </w:rPr>
        <w:t xml:space="preserve"> is white or</w:t>
      </w:r>
      <w:r w:rsidR="004D3E68" w:rsidRPr="000559D5">
        <w:rPr>
          <w:rFonts w:ascii="Times New Roman" w:hAnsi="Times New Roman" w:cs="Times New Roman"/>
          <w:color w:val="000000" w:themeColor="text1"/>
          <w:sz w:val="24"/>
          <w:szCs w:val="24"/>
          <w:lang w:val="en"/>
        </w:rPr>
        <w:t xml:space="preserve"> slightly</w:t>
      </w:r>
      <w:r w:rsidRPr="000559D5">
        <w:rPr>
          <w:rFonts w:ascii="Times New Roman" w:hAnsi="Times New Roman" w:cs="Times New Roman"/>
          <w:color w:val="000000" w:themeColor="text1"/>
          <w:sz w:val="24"/>
          <w:szCs w:val="24"/>
          <w:lang w:val="en"/>
        </w:rPr>
        <w:t xml:space="preserve"> yellow frozen solid</w:t>
      </w:r>
      <w:r w:rsidR="004D3E68" w:rsidRPr="000559D5">
        <w:rPr>
          <w:rFonts w:ascii="Times New Roman" w:hAnsi="Times New Roman" w:cs="Times New Roman"/>
          <w:color w:val="000000" w:themeColor="text1"/>
          <w:sz w:val="24"/>
          <w:szCs w:val="24"/>
          <w:lang w:val="en"/>
        </w:rPr>
        <w:t>,</w:t>
      </w:r>
      <w:r w:rsidR="004D3E68" w:rsidRPr="000559D5">
        <w:rPr>
          <w:rFonts w:ascii="Times New Roman" w:eastAsia="宋体" w:hAnsi="Times New Roman" w:cs="Times New Roman"/>
          <w:color w:val="000000" w:themeColor="text1"/>
          <w:sz w:val="24"/>
          <w:szCs w:val="24"/>
          <w:lang w:val="en" w:eastAsia="zh-CN"/>
        </w:rPr>
        <w:t xml:space="preserve"> </w:t>
      </w:r>
      <w:r w:rsidR="004D3E68" w:rsidRPr="000559D5">
        <w:rPr>
          <w:rFonts w:ascii="Times New Roman" w:hAnsi="Times New Roman" w:cs="Times New Roman"/>
          <w:color w:val="000000" w:themeColor="text1"/>
          <w:sz w:val="24"/>
          <w:szCs w:val="24"/>
          <w:lang w:val="en"/>
        </w:rPr>
        <w:t xml:space="preserve">and it </w:t>
      </w:r>
      <w:r w:rsidR="009D2283" w:rsidRPr="000559D5">
        <w:rPr>
          <w:rFonts w:ascii="Times New Roman" w:hAnsi="Times New Roman" w:cs="Times New Roman"/>
          <w:color w:val="000000" w:themeColor="text1"/>
          <w:sz w:val="24"/>
          <w:szCs w:val="24"/>
          <w:lang w:val="en"/>
        </w:rPr>
        <w:t>is</w:t>
      </w:r>
      <w:r w:rsidR="004D3E68" w:rsidRPr="000559D5">
        <w:rPr>
          <w:rFonts w:ascii="Times New Roman" w:hAnsi="Times New Roman" w:cs="Times New Roman"/>
          <w:color w:val="000000" w:themeColor="text1"/>
          <w:sz w:val="24"/>
          <w:szCs w:val="24"/>
          <w:lang w:val="en"/>
        </w:rPr>
        <w:t xml:space="preserve"> </w:t>
      </w:r>
      <w:r w:rsidR="00EA599D">
        <w:rPr>
          <w:rFonts w:ascii="Times New Roman" w:hAnsi="Times New Roman" w:cs="Times New Roman"/>
          <w:color w:val="000000" w:themeColor="text1"/>
          <w:sz w:val="24"/>
          <w:szCs w:val="24"/>
          <w:lang w:val="en"/>
        </w:rPr>
        <w:t xml:space="preserve">a </w:t>
      </w:r>
      <w:r w:rsidR="004D3E68" w:rsidRPr="000559D5">
        <w:rPr>
          <w:rFonts w:ascii="Times New Roman" w:hAnsi="Times New Roman" w:cs="Times New Roman"/>
          <w:color w:val="000000" w:themeColor="text1"/>
          <w:sz w:val="24"/>
          <w:szCs w:val="24"/>
          <w:lang w:val="en"/>
        </w:rPr>
        <w:t>slightly yellow suspended liquid after thawing.</w:t>
      </w:r>
      <w:r w:rsidRPr="000559D5">
        <w:rPr>
          <w:rFonts w:ascii="Times New Roman" w:hAnsi="Times New Roman" w:cs="Times New Roman"/>
          <w:color w:val="000000" w:themeColor="text1"/>
          <w:sz w:val="24"/>
          <w:szCs w:val="24"/>
          <w:lang w:val="en"/>
        </w:rPr>
        <w:t xml:space="preserve"> Before intravenous </w:t>
      </w:r>
      <w:r w:rsidR="009D2283" w:rsidRPr="000559D5">
        <w:rPr>
          <w:rFonts w:ascii="Times New Roman" w:hAnsi="Times New Roman" w:cs="Times New Roman"/>
          <w:color w:val="000000" w:themeColor="text1"/>
          <w:sz w:val="24"/>
          <w:szCs w:val="24"/>
          <w:lang w:val="en"/>
        </w:rPr>
        <w:t>use</w:t>
      </w:r>
      <w:r w:rsidRPr="000559D5">
        <w:rPr>
          <w:rFonts w:ascii="Times New Roman" w:hAnsi="Times New Roman" w:cs="Times New Roman"/>
          <w:color w:val="000000" w:themeColor="text1"/>
          <w:sz w:val="24"/>
          <w:szCs w:val="24"/>
          <w:lang w:val="en"/>
        </w:rPr>
        <w:t xml:space="preserve">, </w:t>
      </w:r>
      <w:r w:rsidR="009D2283" w:rsidRPr="000559D5">
        <w:rPr>
          <w:rFonts w:ascii="Times New Roman" w:hAnsi="Times New Roman" w:cs="Times New Roman"/>
          <w:color w:val="000000" w:themeColor="text1"/>
          <w:sz w:val="24"/>
          <w:szCs w:val="24"/>
          <w:lang w:val="en"/>
        </w:rPr>
        <w:t xml:space="preserve">the injection should </w:t>
      </w:r>
      <w:r w:rsidRPr="000559D5">
        <w:rPr>
          <w:rFonts w:ascii="Times New Roman" w:hAnsi="Times New Roman" w:cs="Times New Roman"/>
          <w:color w:val="000000" w:themeColor="text1"/>
          <w:sz w:val="24"/>
          <w:szCs w:val="24"/>
          <w:lang w:val="en"/>
        </w:rPr>
        <w:t>be observed for precipitation, floccules</w:t>
      </w:r>
      <w:r w:rsidR="009D2283" w:rsidRPr="000559D5">
        <w:rPr>
          <w:rFonts w:ascii="Times New Roman" w:hAnsi="Times New Roman" w:cs="Times New Roman"/>
          <w:color w:val="000000" w:themeColor="text1"/>
          <w:sz w:val="24"/>
          <w:szCs w:val="24"/>
          <w:lang w:val="en"/>
        </w:rPr>
        <w:t>,</w:t>
      </w:r>
      <w:r w:rsidRPr="000559D5">
        <w:rPr>
          <w:rFonts w:ascii="Times New Roman" w:hAnsi="Times New Roman" w:cs="Times New Roman"/>
          <w:color w:val="000000" w:themeColor="text1"/>
          <w:sz w:val="24"/>
          <w:szCs w:val="24"/>
          <w:lang w:val="en"/>
        </w:rPr>
        <w:t xml:space="preserve"> or </w:t>
      </w:r>
      <w:r w:rsidR="00717707" w:rsidRPr="000559D5">
        <w:rPr>
          <w:rFonts w:ascii="Times New Roman" w:hAnsi="Times New Roman" w:cs="Times New Roman"/>
          <w:color w:val="000000" w:themeColor="text1"/>
          <w:sz w:val="24"/>
          <w:szCs w:val="24"/>
          <w:lang w:val="en"/>
        </w:rPr>
        <w:t>crystallization</w:t>
      </w:r>
      <w:r w:rsidRPr="000559D5">
        <w:rPr>
          <w:rFonts w:ascii="Times New Roman" w:hAnsi="Times New Roman" w:cs="Times New Roman"/>
          <w:color w:val="000000" w:themeColor="text1"/>
          <w:sz w:val="24"/>
          <w:szCs w:val="24"/>
          <w:lang w:val="en"/>
        </w:rPr>
        <w:t xml:space="preserve">. If any of the above is observed, the </w:t>
      </w:r>
      <w:r w:rsidR="009D2283" w:rsidRPr="000559D5">
        <w:rPr>
          <w:rFonts w:ascii="Times New Roman" w:hAnsi="Times New Roman" w:cs="Times New Roman"/>
          <w:color w:val="000000" w:themeColor="text1"/>
          <w:sz w:val="24"/>
          <w:szCs w:val="24"/>
          <w:lang w:val="en"/>
        </w:rPr>
        <w:lastRenderedPageBreak/>
        <w:t>in</w:t>
      </w:r>
      <w:r w:rsidR="00EA599D">
        <w:rPr>
          <w:rFonts w:ascii="Times New Roman" w:hAnsi="Times New Roman" w:cs="Times New Roman"/>
          <w:color w:val="000000" w:themeColor="text1"/>
          <w:sz w:val="24"/>
          <w:szCs w:val="24"/>
          <w:lang w:val="en"/>
        </w:rPr>
        <w:t>fus</w:t>
      </w:r>
      <w:r w:rsidR="009D2283" w:rsidRPr="000559D5">
        <w:rPr>
          <w:rFonts w:ascii="Times New Roman" w:hAnsi="Times New Roman" w:cs="Times New Roman"/>
          <w:color w:val="000000" w:themeColor="text1"/>
          <w:sz w:val="24"/>
          <w:szCs w:val="24"/>
          <w:lang w:val="en"/>
        </w:rPr>
        <w:t>ion</w:t>
      </w:r>
      <w:r w:rsidRPr="000559D5">
        <w:rPr>
          <w:rFonts w:ascii="Times New Roman" w:hAnsi="Times New Roman" w:cs="Times New Roman"/>
          <w:color w:val="000000" w:themeColor="text1"/>
          <w:sz w:val="24"/>
          <w:szCs w:val="24"/>
          <w:lang w:val="en"/>
        </w:rPr>
        <w:t xml:space="preserve"> should be </w:t>
      </w:r>
      <w:r w:rsidR="009D2283" w:rsidRPr="000559D5">
        <w:rPr>
          <w:rFonts w:ascii="Times New Roman" w:hAnsi="Times New Roman" w:cs="Times New Roman"/>
          <w:color w:val="000000" w:themeColor="text1"/>
          <w:sz w:val="24"/>
          <w:szCs w:val="24"/>
          <w:lang w:val="en"/>
        </w:rPr>
        <w:t>suspended for the patient</w:t>
      </w:r>
      <w:r w:rsidRPr="000559D5">
        <w:rPr>
          <w:rFonts w:ascii="Times New Roman" w:hAnsi="Times New Roman" w:cs="Times New Roman"/>
          <w:color w:val="000000" w:themeColor="text1"/>
          <w:sz w:val="24"/>
          <w:szCs w:val="24"/>
          <w:lang w:val="en"/>
        </w:rPr>
        <w:t xml:space="preserve">. </w:t>
      </w:r>
      <w:r w:rsidR="00717707" w:rsidRPr="000559D5">
        <w:rPr>
          <w:rFonts w:ascii="Times New Roman" w:hAnsi="Times New Roman" w:cs="Times New Roman"/>
          <w:color w:val="000000" w:themeColor="text1"/>
          <w:sz w:val="24"/>
          <w:szCs w:val="24"/>
          <w:lang w:val="en"/>
        </w:rPr>
        <w:t>At the same time</w:t>
      </w:r>
      <w:r w:rsidRPr="000559D5">
        <w:rPr>
          <w:rFonts w:ascii="Times New Roman" w:hAnsi="Times New Roman" w:cs="Times New Roman"/>
          <w:color w:val="000000" w:themeColor="text1"/>
          <w:sz w:val="24"/>
          <w:szCs w:val="24"/>
          <w:lang w:val="en"/>
        </w:rPr>
        <w:t xml:space="preserve">, the sponsor </w:t>
      </w:r>
      <w:r w:rsidR="000559D5" w:rsidRPr="000559D5">
        <w:rPr>
          <w:rFonts w:ascii="Times New Roman" w:hAnsi="Times New Roman" w:cs="Times New Roman"/>
          <w:color w:val="000000" w:themeColor="text1"/>
          <w:sz w:val="24"/>
          <w:szCs w:val="24"/>
          <w:lang w:val="en"/>
        </w:rPr>
        <w:t xml:space="preserve">should be informed </w:t>
      </w:r>
      <w:r w:rsidRPr="000559D5">
        <w:rPr>
          <w:rFonts w:ascii="Times New Roman" w:hAnsi="Times New Roman" w:cs="Times New Roman"/>
          <w:color w:val="000000" w:themeColor="text1"/>
          <w:sz w:val="24"/>
          <w:szCs w:val="24"/>
          <w:lang w:val="en"/>
        </w:rPr>
        <w:t xml:space="preserve">of </w:t>
      </w:r>
      <w:r w:rsidR="00717707" w:rsidRPr="000559D5">
        <w:rPr>
          <w:rFonts w:ascii="Times New Roman" w:hAnsi="Times New Roman" w:cs="Times New Roman"/>
          <w:color w:val="000000" w:themeColor="text1"/>
          <w:sz w:val="24"/>
          <w:szCs w:val="24"/>
          <w:lang w:val="en"/>
        </w:rPr>
        <w:t>the abnormal situation</w:t>
      </w:r>
      <w:r w:rsidR="000559D5" w:rsidRPr="000559D5">
        <w:rPr>
          <w:rFonts w:ascii="Times New Roman" w:hAnsi="Times New Roman" w:cs="Times New Roman"/>
          <w:color w:val="000000" w:themeColor="text1"/>
          <w:sz w:val="24"/>
          <w:szCs w:val="24"/>
          <w:lang w:val="en"/>
        </w:rPr>
        <w:t xml:space="preserve">, which should be dealt with </w:t>
      </w:r>
      <w:r w:rsidR="00717707" w:rsidRPr="000559D5">
        <w:rPr>
          <w:rFonts w:ascii="Times New Roman" w:hAnsi="Times New Roman" w:cs="Times New Roman"/>
          <w:color w:val="000000" w:themeColor="text1"/>
          <w:sz w:val="24"/>
          <w:szCs w:val="24"/>
          <w:lang w:val="en"/>
        </w:rPr>
        <w:t>according to</w:t>
      </w:r>
      <w:r w:rsidRPr="000559D5">
        <w:rPr>
          <w:rFonts w:ascii="Times New Roman" w:hAnsi="Times New Roman" w:cs="Times New Roman"/>
          <w:color w:val="000000" w:themeColor="text1"/>
          <w:sz w:val="24"/>
          <w:szCs w:val="24"/>
          <w:lang w:val="en"/>
        </w:rPr>
        <w:t xml:space="preserve"> the sponsor</w:t>
      </w:r>
      <w:r w:rsidR="00717707" w:rsidRPr="000559D5">
        <w:rPr>
          <w:rFonts w:ascii="Times New Roman" w:hAnsi="Times New Roman" w:cs="Times New Roman"/>
          <w:color w:val="000000" w:themeColor="text1"/>
          <w:sz w:val="24"/>
          <w:szCs w:val="24"/>
          <w:lang w:val="en"/>
        </w:rPr>
        <w:t>’s suggestion</w:t>
      </w:r>
      <w:r w:rsidRPr="000559D5">
        <w:rPr>
          <w:rFonts w:ascii="Times New Roman" w:hAnsi="Times New Roman" w:cs="Times New Roman"/>
          <w:color w:val="000000" w:themeColor="text1"/>
          <w:sz w:val="24"/>
          <w:szCs w:val="24"/>
          <w:lang w:val="en"/>
        </w:rPr>
        <w:t xml:space="preserve">. </w:t>
      </w:r>
    </w:p>
    <w:p w14:paraId="7722B515" w14:textId="64B5EC6C" w:rsidR="00740F81" w:rsidRPr="000559D5" w:rsidRDefault="00740F81" w:rsidP="005918BD">
      <w:pPr>
        <w:pStyle w:val="aff"/>
        <w:widowControl w:val="0"/>
        <w:numPr>
          <w:ilvl w:val="0"/>
          <w:numId w:val="112"/>
        </w:numPr>
        <w:spacing w:after="120" w:line="276" w:lineRule="auto"/>
        <w:ind w:left="418" w:hanging="418"/>
        <w:contextualSpacing w:val="0"/>
        <w:jc w:val="both"/>
        <w:rPr>
          <w:rFonts w:ascii="Times New Roman" w:hAnsi="Times New Roman" w:cs="Times New Roman"/>
          <w:color w:val="000000" w:themeColor="text1"/>
          <w:sz w:val="24"/>
          <w:szCs w:val="24"/>
          <w:lang w:val="en"/>
        </w:rPr>
      </w:pPr>
      <w:r w:rsidRPr="000559D5">
        <w:rPr>
          <w:rFonts w:ascii="Times New Roman" w:hAnsi="Times New Roman" w:cs="Times New Roman"/>
          <w:color w:val="000000" w:themeColor="text1"/>
          <w:sz w:val="24"/>
          <w:szCs w:val="24"/>
          <w:lang w:val="en"/>
        </w:rPr>
        <w:t xml:space="preserve">The </w:t>
      </w:r>
      <w:r w:rsidR="00B54505">
        <w:rPr>
          <w:rFonts w:ascii="Times New Roman" w:hAnsi="Times New Roman" w:cs="Times New Roman"/>
          <w:color w:val="000000" w:themeColor="text1"/>
          <w:sz w:val="24"/>
          <w:szCs w:val="24"/>
          <w:lang w:val="en"/>
        </w:rPr>
        <w:t>CT103A product</w:t>
      </w:r>
      <w:r w:rsidRPr="000559D5">
        <w:rPr>
          <w:rFonts w:ascii="Times New Roman" w:hAnsi="Times New Roman" w:cs="Times New Roman"/>
          <w:color w:val="000000" w:themeColor="text1"/>
          <w:sz w:val="24"/>
          <w:szCs w:val="24"/>
          <w:lang w:val="en"/>
        </w:rPr>
        <w:t xml:space="preserve"> should be cryopreserved in liquid nitrogen and transported in gas-phase liquid nitrogen below </w:t>
      </w:r>
      <w:r w:rsidR="000559D5" w:rsidRPr="000559D5">
        <w:rPr>
          <w:rFonts w:ascii="Times New Roman" w:hAnsi="Times New Roman" w:cs="Times New Roman"/>
          <w:color w:val="000000"/>
          <w:sz w:val="24"/>
          <w:szCs w:val="24"/>
          <w:lang w:val="en"/>
        </w:rPr>
        <w:t>−</w:t>
      </w:r>
      <w:r w:rsidRPr="000559D5">
        <w:rPr>
          <w:rFonts w:ascii="Times New Roman" w:hAnsi="Times New Roman" w:cs="Times New Roman"/>
          <w:color w:val="000000" w:themeColor="text1"/>
          <w:sz w:val="24"/>
          <w:szCs w:val="24"/>
          <w:lang w:val="en"/>
        </w:rPr>
        <w:t xml:space="preserve">130℃ to each site. In case of any abnormal temperature during storage or transport, the drug shall be transferred to the specified temperature as soon as possible and suspended for patients; meanwhile, the sponsor should be timely informed of the abnormal temperature range and duration, </w:t>
      </w:r>
      <w:r w:rsidR="000559D5" w:rsidRPr="000559D5">
        <w:rPr>
          <w:rFonts w:ascii="Times New Roman" w:hAnsi="Times New Roman" w:cs="Times New Roman"/>
          <w:color w:val="000000" w:themeColor="text1"/>
          <w:sz w:val="24"/>
          <w:szCs w:val="24"/>
          <w:lang w:val="en"/>
        </w:rPr>
        <w:t xml:space="preserve">which should be dealt with </w:t>
      </w:r>
      <w:r w:rsidR="00CE1F6D" w:rsidRPr="000559D5">
        <w:rPr>
          <w:rFonts w:ascii="Times New Roman" w:hAnsi="Times New Roman" w:cs="Times New Roman"/>
          <w:color w:val="000000" w:themeColor="text1"/>
          <w:sz w:val="24"/>
          <w:szCs w:val="24"/>
          <w:lang w:val="en"/>
        </w:rPr>
        <w:t>according to the sponsor’s suggestion.</w:t>
      </w:r>
      <w:r w:rsidRPr="000559D5">
        <w:rPr>
          <w:rFonts w:ascii="Times New Roman" w:hAnsi="Times New Roman" w:cs="Times New Roman"/>
          <w:color w:val="000000" w:themeColor="text1"/>
          <w:sz w:val="24"/>
          <w:szCs w:val="24"/>
          <w:lang w:val="en"/>
        </w:rPr>
        <w:t xml:space="preserve"> </w:t>
      </w:r>
    </w:p>
    <w:p w14:paraId="0989DEBE" w14:textId="3ABC334C" w:rsidR="00740F81" w:rsidRPr="000559D5" w:rsidRDefault="00740F81" w:rsidP="005918BD">
      <w:pPr>
        <w:pStyle w:val="aff"/>
        <w:widowControl w:val="0"/>
        <w:numPr>
          <w:ilvl w:val="0"/>
          <w:numId w:val="112"/>
        </w:numPr>
        <w:spacing w:after="120" w:line="276" w:lineRule="auto"/>
        <w:ind w:left="418" w:hanging="418"/>
        <w:contextualSpacing w:val="0"/>
        <w:jc w:val="both"/>
        <w:rPr>
          <w:rFonts w:ascii="Times New Roman" w:hAnsi="Times New Roman" w:cs="Times New Roman"/>
          <w:color w:val="000000" w:themeColor="text1"/>
          <w:sz w:val="24"/>
          <w:szCs w:val="24"/>
          <w:lang w:val="en"/>
        </w:rPr>
      </w:pPr>
      <w:r w:rsidRPr="000559D5">
        <w:rPr>
          <w:rFonts w:ascii="Times New Roman" w:hAnsi="Times New Roman" w:cs="Times New Roman"/>
          <w:color w:val="000000" w:themeColor="text1"/>
          <w:sz w:val="24"/>
          <w:szCs w:val="24"/>
          <w:lang w:val="en"/>
        </w:rPr>
        <w:t xml:space="preserve">The </w:t>
      </w:r>
      <w:r w:rsidR="00B54505">
        <w:rPr>
          <w:rFonts w:ascii="Times New Roman" w:hAnsi="Times New Roman" w:cs="Times New Roman"/>
          <w:color w:val="000000" w:themeColor="text1"/>
          <w:sz w:val="24"/>
          <w:szCs w:val="24"/>
          <w:lang w:val="en"/>
        </w:rPr>
        <w:t>CT103A product</w:t>
      </w:r>
      <w:r w:rsidRPr="000559D5">
        <w:rPr>
          <w:rFonts w:ascii="Times New Roman" w:hAnsi="Times New Roman" w:cs="Times New Roman"/>
          <w:color w:val="000000" w:themeColor="text1"/>
          <w:sz w:val="24"/>
          <w:szCs w:val="24"/>
          <w:lang w:val="en"/>
        </w:rPr>
        <w:t xml:space="preserve"> should be infused </w:t>
      </w:r>
      <w:r w:rsidR="00183EDB" w:rsidRPr="000559D5">
        <w:rPr>
          <w:rFonts w:ascii="Times New Roman" w:hAnsi="Times New Roman" w:cs="Times New Roman"/>
          <w:color w:val="000000" w:themeColor="text1"/>
          <w:sz w:val="24"/>
          <w:szCs w:val="24"/>
          <w:lang w:val="en"/>
        </w:rPr>
        <w:t>with a</w:t>
      </w:r>
      <w:r w:rsidRPr="000559D5">
        <w:rPr>
          <w:rFonts w:ascii="Times New Roman" w:hAnsi="Times New Roman" w:cs="Times New Roman"/>
          <w:color w:val="000000" w:themeColor="text1"/>
          <w:sz w:val="24"/>
          <w:szCs w:val="24"/>
          <w:lang w:val="en"/>
        </w:rPr>
        <w:t xml:space="preserve"> disposable</w:t>
      </w:r>
      <w:r w:rsidR="00183EDB" w:rsidRPr="000559D5">
        <w:rPr>
          <w:rFonts w:ascii="Times New Roman" w:hAnsi="Times New Roman" w:cs="Times New Roman"/>
          <w:color w:val="000000" w:themeColor="text1"/>
          <w:sz w:val="24"/>
          <w:szCs w:val="24"/>
          <w:lang w:val="en"/>
        </w:rPr>
        <w:t xml:space="preserve"> blood</w:t>
      </w:r>
      <w:r w:rsidRPr="000559D5">
        <w:rPr>
          <w:rFonts w:ascii="Times New Roman" w:hAnsi="Times New Roman" w:cs="Times New Roman"/>
          <w:color w:val="000000" w:themeColor="text1"/>
          <w:sz w:val="24"/>
          <w:szCs w:val="24"/>
          <w:lang w:val="en"/>
        </w:rPr>
        <w:t xml:space="preserve"> transfusion </w:t>
      </w:r>
      <w:r w:rsidR="00183EDB" w:rsidRPr="000559D5">
        <w:rPr>
          <w:rFonts w:ascii="Times New Roman" w:hAnsi="Times New Roman" w:cs="Times New Roman"/>
          <w:color w:val="000000" w:themeColor="text1"/>
          <w:sz w:val="24"/>
          <w:szCs w:val="24"/>
          <w:lang w:val="en"/>
        </w:rPr>
        <w:t>device</w:t>
      </w:r>
      <w:r w:rsidRPr="000559D5">
        <w:rPr>
          <w:rFonts w:ascii="Times New Roman" w:hAnsi="Times New Roman" w:cs="Times New Roman"/>
          <w:color w:val="000000" w:themeColor="text1"/>
          <w:sz w:val="24"/>
          <w:szCs w:val="24"/>
          <w:lang w:val="en"/>
        </w:rPr>
        <w:t xml:space="preserve">.  </w:t>
      </w:r>
    </w:p>
    <w:p w14:paraId="0932D919" w14:textId="290BF9F3" w:rsidR="00740F81" w:rsidRPr="000559D5" w:rsidRDefault="00740F81" w:rsidP="005918BD">
      <w:pPr>
        <w:pStyle w:val="aff"/>
        <w:widowControl w:val="0"/>
        <w:numPr>
          <w:ilvl w:val="0"/>
          <w:numId w:val="112"/>
        </w:numPr>
        <w:spacing w:after="120" w:line="276" w:lineRule="auto"/>
        <w:ind w:left="418" w:hanging="418"/>
        <w:contextualSpacing w:val="0"/>
        <w:jc w:val="both"/>
        <w:rPr>
          <w:rFonts w:ascii="Times New Roman" w:hAnsi="Times New Roman" w:cs="Times New Roman"/>
          <w:color w:val="000000" w:themeColor="text1"/>
          <w:sz w:val="24"/>
          <w:szCs w:val="24"/>
          <w:lang w:val="en"/>
        </w:rPr>
      </w:pPr>
      <w:r w:rsidRPr="000559D5">
        <w:rPr>
          <w:rFonts w:ascii="Times New Roman" w:hAnsi="Times New Roman" w:cs="Times New Roman"/>
          <w:color w:val="000000" w:themeColor="text1"/>
          <w:sz w:val="24"/>
          <w:szCs w:val="24"/>
          <w:lang w:val="en"/>
        </w:rPr>
        <w:t xml:space="preserve">The </w:t>
      </w:r>
      <w:r w:rsidR="00B54505">
        <w:rPr>
          <w:rFonts w:ascii="Times New Roman" w:hAnsi="Times New Roman" w:cs="Times New Roman"/>
          <w:color w:val="000000" w:themeColor="text1"/>
          <w:sz w:val="24"/>
          <w:szCs w:val="24"/>
          <w:lang w:val="en"/>
        </w:rPr>
        <w:t>CT103A product</w:t>
      </w:r>
      <w:r w:rsidRPr="000559D5">
        <w:rPr>
          <w:rFonts w:ascii="Times New Roman" w:hAnsi="Times New Roman" w:cs="Times New Roman"/>
          <w:color w:val="000000" w:themeColor="text1"/>
          <w:sz w:val="24"/>
          <w:szCs w:val="24"/>
          <w:lang w:val="en"/>
        </w:rPr>
        <w:t xml:space="preserve"> should be infused immediately after</w:t>
      </w:r>
      <w:r w:rsidR="00F72165" w:rsidRPr="000559D5">
        <w:rPr>
          <w:rFonts w:ascii="Times New Roman" w:hAnsi="Times New Roman" w:cs="Times New Roman"/>
          <w:sz w:val="24"/>
          <w:szCs w:val="24"/>
        </w:rPr>
        <w:t xml:space="preserve"> </w:t>
      </w:r>
      <w:r w:rsidR="00F72165" w:rsidRPr="000559D5">
        <w:rPr>
          <w:rFonts w:ascii="Times New Roman" w:hAnsi="Times New Roman" w:cs="Times New Roman"/>
          <w:color w:val="000000" w:themeColor="text1"/>
          <w:sz w:val="24"/>
          <w:szCs w:val="24"/>
          <w:lang w:val="en"/>
        </w:rPr>
        <w:t>resuscitation</w:t>
      </w:r>
      <w:r w:rsidRPr="000559D5">
        <w:rPr>
          <w:rFonts w:ascii="Times New Roman" w:hAnsi="Times New Roman" w:cs="Times New Roman"/>
          <w:color w:val="000000" w:themeColor="text1"/>
          <w:sz w:val="24"/>
          <w:szCs w:val="24"/>
          <w:lang w:val="en"/>
        </w:rPr>
        <w:t xml:space="preserve">. If the </w:t>
      </w:r>
      <w:r w:rsidR="00FB48D5" w:rsidRPr="000559D5">
        <w:rPr>
          <w:rFonts w:ascii="Times New Roman" w:hAnsi="Times New Roman" w:cs="Times New Roman"/>
          <w:color w:val="000000" w:themeColor="text1"/>
          <w:sz w:val="24"/>
          <w:szCs w:val="24"/>
          <w:lang w:val="en"/>
        </w:rPr>
        <w:t>infusion cannot</w:t>
      </w:r>
      <w:r w:rsidRPr="000559D5">
        <w:rPr>
          <w:rFonts w:ascii="Times New Roman" w:hAnsi="Times New Roman" w:cs="Times New Roman"/>
          <w:color w:val="000000" w:themeColor="text1"/>
          <w:sz w:val="24"/>
          <w:szCs w:val="24"/>
          <w:lang w:val="en"/>
        </w:rPr>
        <w:t xml:space="preserve"> be performed </w:t>
      </w:r>
      <w:r w:rsidR="00FB48D5" w:rsidRPr="000559D5">
        <w:rPr>
          <w:rFonts w:ascii="Times New Roman" w:hAnsi="Times New Roman" w:cs="Times New Roman"/>
          <w:color w:val="000000" w:themeColor="text1"/>
          <w:sz w:val="24"/>
          <w:szCs w:val="24"/>
          <w:lang w:val="en"/>
        </w:rPr>
        <w:t xml:space="preserve">within </w:t>
      </w:r>
      <w:r w:rsidR="000559D5">
        <w:rPr>
          <w:rFonts w:ascii="Times New Roman" w:hAnsi="Times New Roman" w:cs="Times New Roman"/>
          <w:color w:val="000000" w:themeColor="text1"/>
          <w:sz w:val="24"/>
          <w:szCs w:val="24"/>
          <w:lang w:val="en"/>
        </w:rPr>
        <w:t>2</w:t>
      </w:r>
      <w:r w:rsidR="00FB48D5" w:rsidRPr="000559D5">
        <w:rPr>
          <w:rFonts w:ascii="Times New Roman" w:hAnsi="Times New Roman" w:cs="Times New Roman"/>
          <w:color w:val="000000" w:themeColor="text1"/>
          <w:sz w:val="24"/>
          <w:szCs w:val="24"/>
          <w:lang w:val="en"/>
        </w:rPr>
        <w:t xml:space="preserve"> hours</w:t>
      </w:r>
      <w:r w:rsidRPr="000559D5">
        <w:rPr>
          <w:rFonts w:ascii="Times New Roman" w:hAnsi="Times New Roman" w:cs="Times New Roman"/>
          <w:color w:val="000000" w:themeColor="text1"/>
          <w:sz w:val="24"/>
          <w:szCs w:val="24"/>
          <w:lang w:val="en"/>
        </w:rPr>
        <w:t xml:space="preserve"> due to the </w:t>
      </w:r>
      <w:r w:rsidR="000559D5">
        <w:rPr>
          <w:rFonts w:ascii="Times New Roman" w:hAnsi="Times New Roman" w:cs="Times New Roman"/>
          <w:color w:val="000000" w:themeColor="text1"/>
          <w:sz w:val="24"/>
          <w:szCs w:val="24"/>
          <w:lang w:val="en"/>
        </w:rPr>
        <w:t>patient</w:t>
      </w:r>
      <w:r w:rsidR="00FB48D5" w:rsidRPr="000559D5">
        <w:rPr>
          <w:rFonts w:ascii="Times New Roman" w:hAnsi="Times New Roman" w:cs="Times New Roman"/>
          <w:color w:val="000000" w:themeColor="text1"/>
          <w:sz w:val="24"/>
          <w:szCs w:val="24"/>
          <w:lang w:val="en"/>
        </w:rPr>
        <w:t xml:space="preserve"> </w:t>
      </w:r>
      <w:r w:rsidRPr="000559D5">
        <w:rPr>
          <w:rFonts w:ascii="Times New Roman" w:hAnsi="Times New Roman" w:cs="Times New Roman"/>
          <w:color w:val="000000" w:themeColor="text1"/>
          <w:sz w:val="24"/>
          <w:szCs w:val="24"/>
          <w:lang w:val="en"/>
        </w:rPr>
        <w:t xml:space="preserve">or other reasons, </w:t>
      </w:r>
      <w:r w:rsidR="00FB48D5" w:rsidRPr="000559D5">
        <w:rPr>
          <w:rFonts w:ascii="Times New Roman" w:hAnsi="Times New Roman" w:cs="Times New Roman"/>
          <w:color w:val="000000" w:themeColor="text1"/>
          <w:sz w:val="24"/>
          <w:szCs w:val="24"/>
          <w:lang w:val="en"/>
        </w:rPr>
        <w:t>it</w:t>
      </w:r>
      <w:r w:rsidRPr="000559D5">
        <w:rPr>
          <w:rFonts w:ascii="Times New Roman" w:hAnsi="Times New Roman" w:cs="Times New Roman"/>
          <w:color w:val="000000" w:themeColor="text1"/>
          <w:sz w:val="24"/>
          <w:szCs w:val="24"/>
          <w:lang w:val="en"/>
        </w:rPr>
        <w:t xml:space="preserve"> should be returned to the sponsor for </w:t>
      </w:r>
      <w:r w:rsidR="00FB48D5" w:rsidRPr="000559D5">
        <w:rPr>
          <w:rFonts w:ascii="Times New Roman" w:hAnsi="Times New Roman" w:cs="Times New Roman"/>
          <w:color w:val="000000" w:themeColor="text1"/>
          <w:sz w:val="24"/>
          <w:szCs w:val="24"/>
          <w:lang w:val="en"/>
        </w:rPr>
        <w:t xml:space="preserve">destruction </w:t>
      </w:r>
      <w:r w:rsidRPr="000559D5">
        <w:rPr>
          <w:rFonts w:ascii="Times New Roman" w:hAnsi="Times New Roman" w:cs="Times New Roman"/>
          <w:color w:val="000000" w:themeColor="text1"/>
          <w:sz w:val="24"/>
          <w:szCs w:val="24"/>
          <w:lang w:val="en"/>
        </w:rPr>
        <w:t xml:space="preserve">according to SOP. </w:t>
      </w:r>
    </w:p>
    <w:p w14:paraId="7EBF3ECA" w14:textId="2328645E" w:rsidR="00740F81" w:rsidRPr="000559D5" w:rsidRDefault="00740F81" w:rsidP="005918BD">
      <w:pPr>
        <w:pStyle w:val="aff"/>
        <w:widowControl w:val="0"/>
        <w:numPr>
          <w:ilvl w:val="0"/>
          <w:numId w:val="112"/>
        </w:numPr>
        <w:spacing w:after="120" w:line="276" w:lineRule="auto"/>
        <w:ind w:left="418" w:hanging="418"/>
        <w:contextualSpacing w:val="0"/>
        <w:jc w:val="both"/>
        <w:rPr>
          <w:rFonts w:ascii="Times New Roman" w:hAnsi="Times New Roman" w:cs="Times New Roman"/>
          <w:color w:val="000000" w:themeColor="text1"/>
          <w:sz w:val="24"/>
          <w:szCs w:val="24"/>
          <w:lang w:val="en"/>
        </w:rPr>
      </w:pPr>
      <w:r w:rsidRPr="000559D5">
        <w:rPr>
          <w:rFonts w:ascii="Times New Roman" w:hAnsi="Times New Roman" w:cs="Times New Roman"/>
          <w:color w:val="000000" w:themeColor="text1"/>
          <w:sz w:val="24"/>
          <w:szCs w:val="24"/>
          <w:lang w:val="en"/>
        </w:rPr>
        <w:t xml:space="preserve">Because the </w:t>
      </w:r>
      <w:r w:rsidR="00B54505">
        <w:rPr>
          <w:rFonts w:ascii="Times New Roman" w:hAnsi="Times New Roman" w:cs="Times New Roman"/>
          <w:color w:val="000000" w:themeColor="text1"/>
          <w:sz w:val="24"/>
          <w:szCs w:val="24"/>
          <w:lang w:val="en"/>
        </w:rPr>
        <w:t>CT103A product</w:t>
      </w:r>
      <w:r w:rsidRPr="000559D5">
        <w:rPr>
          <w:rFonts w:ascii="Times New Roman" w:hAnsi="Times New Roman" w:cs="Times New Roman"/>
          <w:color w:val="000000" w:themeColor="text1"/>
          <w:sz w:val="24"/>
          <w:szCs w:val="24"/>
          <w:lang w:val="en"/>
        </w:rPr>
        <w:t xml:space="preserve"> is gene-modified autologous T cells </w:t>
      </w:r>
      <w:r w:rsidR="000B0071" w:rsidRPr="000559D5">
        <w:rPr>
          <w:rFonts w:ascii="Times New Roman" w:hAnsi="Times New Roman" w:cs="Times New Roman"/>
          <w:color w:val="000000" w:themeColor="text1"/>
          <w:sz w:val="24"/>
          <w:szCs w:val="24"/>
          <w:lang w:val="en"/>
        </w:rPr>
        <w:t>with anti-human BCMA CAR structure</w:t>
      </w:r>
      <w:r w:rsidR="000B0071" w:rsidRPr="000559D5" w:rsidDel="000B0071">
        <w:rPr>
          <w:rFonts w:ascii="Times New Roman" w:hAnsi="Times New Roman" w:cs="Times New Roman"/>
          <w:color w:val="000000" w:themeColor="text1"/>
          <w:sz w:val="24"/>
          <w:szCs w:val="24"/>
          <w:lang w:val="en"/>
        </w:rPr>
        <w:t xml:space="preserve"> </w:t>
      </w:r>
      <w:r w:rsidR="000B0071" w:rsidRPr="000559D5">
        <w:rPr>
          <w:rFonts w:ascii="Times New Roman" w:hAnsi="Times New Roman" w:cs="Times New Roman"/>
          <w:color w:val="000000" w:themeColor="text1"/>
          <w:sz w:val="24"/>
          <w:szCs w:val="24"/>
          <w:lang w:val="en"/>
        </w:rPr>
        <w:t>on its surface</w:t>
      </w:r>
      <w:r w:rsidRPr="000559D5">
        <w:rPr>
          <w:rFonts w:ascii="Times New Roman" w:hAnsi="Times New Roman" w:cs="Times New Roman"/>
          <w:color w:val="000000" w:themeColor="text1"/>
          <w:sz w:val="24"/>
          <w:szCs w:val="24"/>
          <w:lang w:val="en"/>
        </w:rPr>
        <w:t xml:space="preserve">, </w:t>
      </w:r>
      <w:r w:rsidR="008A302F" w:rsidRPr="000559D5">
        <w:rPr>
          <w:rFonts w:ascii="Times New Roman" w:hAnsi="Times New Roman" w:cs="Times New Roman"/>
          <w:color w:val="000000" w:themeColor="text1"/>
          <w:sz w:val="24"/>
          <w:szCs w:val="24"/>
          <w:lang w:val="en"/>
        </w:rPr>
        <w:t xml:space="preserve">it may cause allergic reactions when administered. </w:t>
      </w:r>
      <w:r w:rsidRPr="000559D5">
        <w:rPr>
          <w:rFonts w:ascii="Times New Roman" w:hAnsi="Times New Roman" w:cs="Times New Roman"/>
          <w:color w:val="000000" w:themeColor="text1"/>
          <w:sz w:val="24"/>
          <w:szCs w:val="24"/>
          <w:lang w:val="en"/>
        </w:rPr>
        <w:t xml:space="preserve">Anti-allergic agents </w:t>
      </w:r>
      <w:r w:rsidR="008A302F" w:rsidRPr="000559D5">
        <w:rPr>
          <w:rFonts w:ascii="Times New Roman" w:hAnsi="Times New Roman" w:cs="Times New Roman"/>
          <w:color w:val="000000" w:themeColor="text1"/>
          <w:sz w:val="24"/>
          <w:szCs w:val="24"/>
          <w:lang w:val="en"/>
        </w:rPr>
        <w:t>should</w:t>
      </w:r>
      <w:r w:rsidRPr="000559D5">
        <w:rPr>
          <w:rFonts w:ascii="Times New Roman" w:hAnsi="Times New Roman" w:cs="Times New Roman"/>
          <w:color w:val="000000" w:themeColor="text1"/>
          <w:sz w:val="24"/>
          <w:szCs w:val="24"/>
          <w:lang w:val="en"/>
        </w:rPr>
        <w:t xml:space="preserve"> be available a</w:t>
      </w:r>
      <w:r w:rsidR="00EA599D">
        <w:rPr>
          <w:rFonts w:ascii="Times New Roman" w:hAnsi="Times New Roman" w:cs="Times New Roman"/>
          <w:color w:val="000000" w:themeColor="text1"/>
          <w:sz w:val="24"/>
          <w:szCs w:val="24"/>
          <w:lang w:val="en"/>
        </w:rPr>
        <w:t>nytime (systemic glucocorticoids are not recommended except in life-threatening emergencies</w:t>
      </w:r>
      <w:r w:rsidRPr="000559D5">
        <w:rPr>
          <w:rFonts w:ascii="Times New Roman" w:hAnsi="Times New Roman" w:cs="Times New Roman"/>
          <w:color w:val="000000" w:themeColor="text1"/>
          <w:sz w:val="24"/>
          <w:szCs w:val="24"/>
          <w:lang w:val="en"/>
        </w:rPr>
        <w:t xml:space="preserve">). </w:t>
      </w:r>
    </w:p>
    <w:p w14:paraId="09D8B9C1" w14:textId="35DAA170" w:rsidR="00740F81" w:rsidRPr="000559D5" w:rsidRDefault="00740F81" w:rsidP="005918BD">
      <w:pPr>
        <w:pStyle w:val="aff"/>
        <w:widowControl w:val="0"/>
        <w:numPr>
          <w:ilvl w:val="0"/>
          <w:numId w:val="112"/>
        </w:numPr>
        <w:spacing w:after="120" w:line="276" w:lineRule="auto"/>
        <w:ind w:left="418" w:hanging="418"/>
        <w:contextualSpacing w:val="0"/>
        <w:jc w:val="both"/>
        <w:rPr>
          <w:rFonts w:ascii="Times New Roman" w:hAnsi="Times New Roman" w:cs="Times New Roman"/>
          <w:color w:val="000000" w:themeColor="text1"/>
          <w:sz w:val="24"/>
          <w:szCs w:val="24"/>
          <w:lang w:val="en"/>
        </w:rPr>
      </w:pPr>
      <w:r w:rsidRPr="000559D5">
        <w:rPr>
          <w:rFonts w:ascii="Times New Roman" w:hAnsi="Times New Roman" w:cs="Times New Roman"/>
          <w:color w:val="000000" w:themeColor="text1"/>
          <w:sz w:val="24"/>
          <w:szCs w:val="24"/>
          <w:lang w:val="en"/>
        </w:rPr>
        <w:t>Hypotension may occur during the infusion</w:t>
      </w:r>
      <w:r w:rsidR="00EA599D">
        <w:rPr>
          <w:rFonts w:ascii="Times New Roman" w:hAnsi="Times New Roman" w:cs="Times New Roman"/>
          <w:color w:val="000000" w:themeColor="text1"/>
          <w:sz w:val="24"/>
          <w:szCs w:val="24"/>
          <w:lang w:val="en"/>
        </w:rPr>
        <w:t>. T</w:t>
      </w:r>
      <w:r w:rsidRPr="000559D5">
        <w:rPr>
          <w:rFonts w:ascii="Times New Roman" w:hAnsi="Times New Roman" w:cs="Times New Roman"/>
          <w:color w:val="000000" w:themeColor="text1"/>
          <w:sz w:val="24"/>
          <w:szCs w:val="24"/>
          <w:lang w:val="en"/>
        </w:rPr>
        <w:t>herefore</w:t>
      </w:r>
      <w:r w:rsidR="00EA599D">
        <w:rPr>
          <w:rFonts w:ascii="Times New Roman" w:hAnsi="Times New Roman" w:cs="Times New Roman"/>
          <w:color w:val="000000" w:themeColor="text1"/>
          <w:sz w:val="24"/>
          <w:szCs w:val="24"/>
          <w:lang w:val="en"/>
        </w:rPr>
        <w:t>,</w:t>
      </w:r>
      <w:r w:rsidRPr="000559D5">
        <w:rPr>
          <w:rFonts w:ascii="Times New Roman" w:hAnsi="Times New Roman" w:cs="Times New Roman"/>
          <w:color w:val="000000" w:themeColor="text1"/>
          <w:sz w:val="24"/>
          <w:szCs w:val="24"/>
          <w:lang w:val="en"/>
        </w:rPr>
        <w:t xml:space="preserve"> </w:t>
      </w:r>
      <w:r w:rsidR="00392809" w:rsidRPr="000559D5">
        <w:rPr>
          <w:rFonts w:ascii="Times New Roman" w:hAnsi="Times New Roman" w:cs="Times New Roman"/>
          <w:color w:val="000000" w:themeColor="text1"/>
          <w:sz w:val="24"/>
          <w:szCs w:val="24"/>
          <w:lang w:val="en"/>
        </w:rPr>
        <w:t xml:space="preserve">it is recommended that </w:t>
      </w:r>
      <w:r w:rsidRPr="000559D5">
        <w:rPr>
          <w:rFonts w:ascii="Times New Roman" w:hAnsi="Times New Roman" w:cs="Times New Roman"/>
          <w:color w:val="000000" w:themeColor="text1"/>
          <w:sz w:val="24"/>
          <w:szCs w:val="24"/>
          <w:lang w:val="en"/>
        </w:rPr>
        <w:t xml:space="preserve">antihypertensive agents </w:t>
      </w:r>
      <w:r w:rsidR="00392809" w:rsidRPr="000559D5">
        <w:rPr>
          <w:rFonts w:ascii="Times New Roman" w:hAnsi="Times New Roman" w:cs="Times New Roman"/>
          <w:color w:val="000000" w:themeColor="text1"/>
          <w:sz w:val="24"/>
          <w:szCs w:val="24"/>
          <w:lang w:val="en"/>
        </w:rPr>
        <w:t xml:space="preserve">should be discontinued </w:t>
      </w:r>
      <w:r w:rsidR="000559D5">
        <w:rPr>
          <w:rFonts w:ascii="Times New Roman" w:hAnsi="Times New Roman" w:cs="Times New Roman"/>
          <w:color w:val="000000" w:themeColor="text1"/>
          <w:sz w:val="24"/>
          <w:szCs w:val="24"/>
          <w:lang w:val="en"/>
        </w:rPr>
        <w:t>12</w:t>
      </w:r>
      <w:r w:rsidR="00392809" w:rsidRPr="000559D5">
        <w:rPr>
          <w:rFonts w:ascii="Times New Roman" w:hAnsi="Times New Roman" w:cs="Times New Roman"/>
          <w:color w:val="000000" w:themeColor="text1"/>
          <w:sz w:val="24"/>
          <w:szCs w:val="24"/>
          <w:lang w:val="en"/>
        </w:rPr>
        <w:t xml:space="preserve"> hours before and during the infusion</w:t>
      </w:r>
      <w:r w:rsidRPr="000559D5">
        <w:rPr>
          <w:rFonts w:ascii="Times New Roman" w:hAnsi="Times New Roman" w:cs="Times New Roman"/>
          <w:color w:val="000000" w:themeColor="text1"/>
          <w:sz w:val="24"/>
          <w:szCs w:val="24"/>
          <w:lang w:val="en"/>
        </w:rPr>
        <w:t xml:space="preserve">. </w:t>
      </w:r>
    </w:p>
    <w:p w14:paraId="5A5AEA04" w14:textId="4313700B" w:rsidR="00740F81" w:rsidRPr="000559D5" w:rsidRDefault="00740F81" w:rsidP="005918BD">
      <w:pPr>
        <w:pStyle w:val="aff"/>
        <w:widowControl w:val="0"/>
        <w:numPr>
          <w:ilvl w:val="0"/>
          <w:numId w:val="112"/>
        </w:numPr>
        <w:spacing w:after="120" w:line="276" w:lineRule="auto"/>
        <w:ind w:left="418" w:hanging="418"/>
        <w:contextualSpacing w:val="0"/>
        <w:jc w:val="both"/>
        <w:rPr>
          <w:rFonts w:ascii="Times New Roman" w:hAnsi="Times New Roman" w:cs="Times New Roman"/>
          <w:color w:val="000000" w:themeColor="text1"/>
          <w:sz w:val="24"/>
          <w:szCs w:val="24"/>
          <w:lang w:val="en"/>
        </w:rPr>
      </w:pPr>
      <w:r w:rsidRPr="000559D5">
        <w:rPr>
          <w:rFonts w:ascii="Times New Roman" w:hAnsi="Times New Roman" w:cs="Times New Roman"/>
          <w:color w:val="000000" w:themeColor="text1"/>
          <w:sz w:val="24"/>
          <w:szCs w:val="24"/>
          <w:lang w:val="en"/>
        </w:rPr>
        <w:t xml:space="preserve">The </w:t>
      </w:r>
      <w:r w:rsidR="00B54505">
        <w:rPr>
          <w:rFonts w:ascii="Times New Roman" w:hAnsi="Times New Roman" w:cs="Times New Roman"/>
          <w:color w:val="000000" w:themeColor="text1"/>
          <w:sz w:val="24"/>
          <w:szCs w:val="24"/>
          <w:lang w:val="en"/>
        </w:rPr>
        <w:t>CT103A product</w:t>
      </w:r>
      <w:r w:rsidRPr="000559D5">
        <w:rPr>
          <w:rFonts w:ascii="Times New Roman" w:hAnsi="Times New Roman" w:cs="Times New Roman"/>
          <w:color w:val="000000" w:themeColor="text1"/>
          <w:sz w:val="24"/>
          <w:szCs w:val="24"/>
          <w:lang w:val="en"/>
        </w:rPr>
        <w:t xml:space="preserve"> may cause arrhythmia, so </w:t>
      </w:r>
      <w:r w:rsidR="00553CA1" w:rsidRPr="000559D5">
        <w:rPr>
          <w:rFonts w:ascii="Times New Roman" w:hAnsi="Times New Roman" w:cs="Times New Roman"/>
          <w:color w:val="000000" w:themeColor="text1"/>
          <w:sz w:val="24"/>
          <w:szCs w:val="24"/>
          <w:lang w:val="en"/>
        </w:rPr>
        <w:t>patients</w:t>
      </w:r>
      <w:r w:rsidRPr="000559D5">
        <w:rPr>
          <w:rFonts w:ascii="Times New Roman" w:hAnsi="Times New Roman" w:cs="Times New Roman"/>
          <w:color w:val="000000" w:themeColor="text1"/>
          <w:sz w:val="24"/>
          <w:szCs w:val="24"/>
          <w:lang w:val="en"/>
        </w:rPr>
        <w:t xml:space="preserve"> with a history of heart disease should be closely monitored.  </w:t>
      </w:r>
    </w:p>
    <w:p w14:paraId="6CD0918A" w14:textId="68E10AAF" w:rsidR="00740F81" w:rsidRPr="000559D5" w:rsidRDefault="00740F81" w:rsidP="005918BD">
      <w:pPr>
        <w:pStyle w:val="aff"/>
        <w:widowControl w:val="0"/>
        <w:numPr>
          <w:ilvl w:val="0"/>
          <w:numId w:val="112"/>
        </w:numPr>
        <w:spacing w:after="120" w:line="276" w:lineRule="auto"/>
        <w:ind w:left="418" w:hanging="418"/>
        <w:contextualSpacing w:val="0"/>
        <w:jc w:val="both"/>
        <w:rPr>
          <w:rFonts w:ascii="Times New Roman" w:hAnsi="Times New Roman" w:cs="Times New Roman"/>
          <w:color w:val="000000" w:themeColor="text1"/>
          <w:sz w:val="24"/>
          <w:szCs w:val="24"/>
          <w:lang w:val="en"/>
        </w:rPr>
      </w:pPr>
      <w:r w:rsidRPr="000559D5">
        <w:rPr>
          <w:rFonts w:ascii="Times New Roman" w:hAnsi="Times New Roman" w:cs="Times New Roman"/>
          <w:color w:val="000000" w:themeColor="text1"/>
          <w:sz w:val="24"/>
          <w:szCs w:val="24"/>
          <w:lang w:val="en"/>
        </w:rPr>
        <w:t xml:space="preserve">During the study period, blood cell count and platelet count should be monitored regularly, and patients with </w:t>
      </w:r>
      <w:r w:rsidR="00F076D5" w:rsidRPr="000559D5">
        <w:rPr>
          <w:rFonts w:ascii="Times New Roman" w:hAnsi="Times New Roman" w:cs="Times New Roman"/>
          <w:color w:val="000000" w:themeColor="text1"/>
          <w:sz w:val="24"/>
          <w:szCs w:val="24"/>
          <w:lang w:val="en"/>
        </w:rPr>
        <w:t>cytopenia</w:t>
      </w:r>
      <w:r w:rsidRPr="000559D5">
        <w:rPr>
          <w:rFonts w:ascii="Times New Roman" w:hAnsi="Times New Roman" w:cs="Times New Roman"/>
          <w:color w:val="000000" w:themeColor="text1"/>
          <w:sz w:val="24"/>
          <w:szCs w:val="24"/>
          <w:lang w:val="en"/>
        </w:rPr>
        <w:t xml:space="preserve"> should be monitored</w:t>
      </w:r>
      <w:r w:rsidR="00DA5DD8" w:rsidRPr="000559D5">
        <w:rPr>
          <w:rFonts w:ascii="Times New Roman" w:hAnsi="Times New Roman" w:cs="Times New Roman"/>
          <w:color w:val="000000" w:themeColor="text1"/>
          <w:sz w:val="24"/>
          <w:szCs w:val="24"/>
          <w:lang w:val="en"/>
        </w:rPr>
        <w:t xml:space="preserve"> closely</w:t>
      </w:r>
      <w:r w:rsidRPr="000559D5">
        <w:rPr>
          <w:rFonts w:ascii="Times New Roman" w:hAnsi="Times New Roman" w:cs="Times New Roman"/>
          <w:color w:val="000000" w:themeColor="text1"/>
          <w:sz w:val="24"/>
          <w:szCs w:val="24"/>
          <w:lang w:val="en"/>
        </w:rPr>
        <w:t>.</w:t>
      </w:r>
    </w:p>
    <w:p w14:paraId="186C3F2A" w14:textId="18566906" w:rsidR="00740F81" w:rsidRPr="000559D5" w:rsidRDefault="00740F81" w:rsidP="005918BD">
      <w:pPr>
        <w:pStyle w:val="aff"/>
        <w:widowControl w:val="0"/>
        <w:numPr>
          <w:ilvl w:val="0"/>
          <w:numId w:val="112"/>
        </w:numPr>
        <w:spacing w:after="120" w:line="276" w:lineRule="auto"/>
        <w:ind w:left="418" w:hanging="418"/>
        <w:contextualSpacing w:val="0"/>
        <w:jc w:val="both"/>
        <w:rPr>
          <w:rFonts w:ascii="Times New Roman" w:hAnsi="Times New Roman" w:cs="Times New Roman"/>
          <w:color w:val="000000" w:themeColor="text1"/>
          <w:sz w:val="24"/>
          <w:szCs w:val="24"/>
          <w:lang w:val="en"/>
        </w:rPr>
      </w:pPr>
      <w:r w:rsidRPr="000559D5">
        <w:rPr>
          <w:rFonts w:ascii="Times New Roman" w:hAnsi="Times New Roman" w:cs="Times New Roman"/>
          <w:color w:val="000000" w:themeColor="text1"/>
          <w:sz w:val="24"/>
          <w:szCs w:val="24"/>
          <w:lang w:val="en"/>
        </w:rPr>
        <w:t xml:space="preserve">The </w:t>
      </w:r>
      <w:r w:rsidR="00B54505">
        <w:rPr>
          <w:rFonts w:ascii="Times New Roman" w:hAnsi="Times New Roman" w:cs="Times New Roman"/>
          <w:color w:val="000000" w:themeColor="text1"/>
          <w:sz w:val="24"/>
          <w:szCs w:val="24"/>
          <w:lang w:val="en"/>
        </w:rPr>
        <w:t>CT103A product</w:t>
      </w:r>
      <w:r w:rsidR="000C491B" w:rsidRPr="000559D5">
        <w:rPr>
          <w:rFonts w:ascii="Times New Roman" w:hAnsi="Times New Roman" w:cs="Times New Roman"/>
          <w:color w:val="000000" w:themeColor="text1"/>
          <w:sz w:val="24"/>
          <w:szCs w:val="24"/>
          <w:lang w:val="en"/>
        </w:rPr>
        <w:t xml:space="preserve"> cannot be used if </w:t>
      </w:r>
      <w:r w:rsidRPr="000559D5">
        <w:rPr>
          <w:rFonts w:ascii="Times New Roman" w:hAnsi="Times New Roman" w:cs="Times New Roman"/>
          <w:color w:val="000000" w:themeColor="text1"/>
          <w:sz w:val="24"/>
          <w:szCs w:val="24"/>
          <w:lang w:val="en"/>
        </w:rPr>
        <w:t xml:space="preserve">beyond the expiry date. </w:t>
      </w:r>
    </w:p>
    <w:p w14:paraId="5E181A61" w14:textId="36DD59AF" w:rsidR="00740F81" w:rsidRDefault="00740F81" w:rsidP="005918BD">
      <w:pPr>
        <w:pStyle w:val="20"/>
        <w:jc w:val="both"/>
        <w:rPr>
          <w:lang w:val="en"/>
        </w:rPr>
      </w:pPr>
      <w:bookmarkStart w:id="98" w:name="_Toc112064856"/>
      <w:r>
        <w:rPr>
          <w:lang w:val="en"/>
        </w:rPr>
        <w:t>Concomitant Therapies</w:t>
      </w:r>
      <w:bookmarkEnd w:id="98"/>
    </w:p>
    <w:p w14:paraId="5DB8D1EE" w14:textId="1F701171" w:rsidR="00740F81" w:rsidRPr="00842571" w:rsidRDefault="00740F81" w:rsidP="005918BD">
      <w:pPr>
        <w:pStyle w:val="Default"/>
        <w:spacing w:after="120" w:line="276" w:lineRule="auto"/>
        <w:jc w:val="both"/>
        <w:rPr>
          <w:rFonts w:eastAsiaTheme="minorEastAsia"/>
        </w:rPr>
      </w:pPr>
      <w:r w:rsidRPr="00842571">
        <w:rPr>
          <w:rFonts w:eastAsiaTheme="minorEastAsia"/>
          <w:lang w:val="en"/>
        </w:rPr>
        <w:t>Concomitant medications and therapies refer to the simultaneous administration of 2 or more medications/treatments, which are defined as other medications (including chemicals, biologicals, Chinese patent medicines, etc</w:t>
      </w:r>
      <w:r w:rsidR="00EA599D">
        <w:rPr>
          <w:rFonts w:eastAsiaTheme="minorEastAsia"/>
          <w:lang w:val="en"/>
        </w:rPr>
        <w:t>.</w:t>
      </w:r>
      <w:r w:rsidRPr="00842571">
        <w:rPr>
          <w:rFonts w:eastAsiaTheme="minorEastAsia"/>
          <w:lang w:val="en"/>
        </w:rPr>
        <w:t xml:space="preserve">) or therapies to be accepted in addition to the treatment </w:t>
      </w:r>
      <w:r w:rsidR="00B54505">
        <w:rPr>
          <w:rFonts w:eastAsiaTheme="minorEastAsia"/>
          <w:lang w:val="en"/>
        </w:rPr>
        <w:t xml:space="preserve">drugs </w:t>
      </w:r>
      <w:r w:rsidRPr="00842571">
        <w:rPr>
          <w:rFonts w:eastAsiaTheme="minorEastAsia"/>
          <w:lang w:val="en"/>
        </w:rPr>
        <w:t xml:space="preserve">in the study. </w:t>
      </w:r>
    </w:p>
    <w:p w14:paraId="165A775F" w14:textId="57A2B09E" w:rsidR="00740F81" w:rsidRPr="00842571" w:rsidRDefault="00740F81" w:rsidP="00591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jc w:val="both"/>
      </w:pPr>
      <w:r w:rsidRPr="00842571">
        <w:rPr>
          <w:lang w:val="en"/>
        </w:rPr>
        <w:t xml:space="preserve">Concomitant therapies are collected from the time of signing the </w:t>
      </w:r>
      <w:r w:rsidR="001822A0" w:rsidRPr="001822A0">
        <w:rPr>
          <w:lang w:val="en"/>
        </w:rPr>
        <w:t xml:space="preserve">informed consent form </w:t>
      </w:r>
      <w:r w:rsidR="001822A0">
        <w:rPr>
          <w:lang w:val="en"/>
        </w:rPr>
        <w:t>(</w:t>
      </w:r>
      <w:r w:rsidRPr="00842571">
        <w:rPr>
          <w:lang w:val="en"/>
        </w:rPr>
        <w:t>ICF</w:t>
      </w:r>
      <w:r w:rsidR="001822A0">
        <w:rPr>
          <w:lang w:val="en"/>
        </w:rPr>
        <w:t>)</w:t>
      </w:r>
      <w:r w:rsidRPr="00842571">
        <w:rPr>
          <w:lang w:val="en"/>
        </w:rPr>
        <w:t xml:space="preserve"> until </w:t>
      </w:r>
      <w:r w:rsidR="00EA599D">
        <w:rPr>
          <w:lang w:val="en"/>
        </w:rPr>
        <w:t>one</w:t>
      </w:r>
      <w:r w:rsidRPr="00842571">
        <w:rPr>
          <w:lang w:val="en"/>
        </w:rPr>
        <w:t xml:space="preserve"> year after the CT103A cell infusion (if PFS ≥12 months) or at the out</w:t>
      </w:r>
      <w:r w:rsidR="00EA599D">
        <w:rPr>
          <w:lang w:val="en"/>
        </w:rPr>
        <w:t>-of-</w:t>
      </w:r>
      <w:r w:rsidRPr="00842571">
        <w:rPr>
          <w:lang w:val="en"/>
        </w:rPr>
        <w:t xml:space="preserve">study visit (12 months </w:t>
      </w:r>
      <w:r w:rsidR="00F458B7">
        <w:rPr>
          <w:lang w:val="en"/>
        </w:rPr>
        <w:t>&gt;</w:t>
      </w:r>
      <w:r w:rsidR="00EA599D">
        <w:rPr>
          <w:lang w:val="en"/>
        </w:rPr>
        <w:t xml:space="preserve"> </w:t>
      </w:r>
      <w:r w:rsidRPr="00842571">
        <w:rPr>
          <w:lang w:val="en"/>
        </w:rPr>
        <w:t>PFS ≥</w:t>
      </w:r>
      <w:r w:rsidR="00EA599D">
        <w:rPr>
          <w:lang w:val="en"/>
        </w:rPr>
        <w:t xml:space="preserve"> </w:t>
      </w:r>
      <w:r w:rsidRPr="00842571">
        <w:rPr>
          <w:lang w:val="en"/>
        </w:rPr>
        <w:t>3</w:t>
      </w:r>
      <w:r w:rsidR="00842571" w:rsidRPr="00C358E7">
        <w:rPr>
          <w:rFonts w:eastAsia="CIDFont+F1"/>
          <w:color w:val="000000"/>
        </w:rPr>
        <w:t> </w:t>
      </w:r>
      <w:r w:rsidRPr="00842571">
        <w:rPr>
          <w:lang w:val="en"/>
        </w:rPr>
        <w:t xml:space="preserve">months), whichever occurs first. If disease progression occurs within </w:t>
      </w:r>
      <w:r w:rsidR="00EA599D">
        <w:rPr>
          <w:lang w:val="en"/>
        </w:rPr>
        <w:t>three</w:t>
      </w:r>
      <w:r w:rsidRPr="00842571">
        <w:rPr>
          <w:lang w:val="en"/>
        </w:rPr>
        <w:t xml:space="preserve"> months after the CT103A cell infusion, every effort will be made to collect</w:t>
      </w:r>
      <w:r w:rsidRPr="00842571">
        <w:t xml:space="preserve"> information from the patient</w:t>
      </w:r>
      <w:r w:rsidRPr="00842571">
        <w:rPr>
          <w:lang w:val="en"/>
        </w:rPr>
        <w:t xml:space="preserve"> as much as possible up to </w:t>
      </w:r>
      <w:r w:rsidR="00EA599D">
        <w:rPr>
          <w:lang w:val="en"/>
        </w:rPr>
        <w:t>three</w:t>
      </w:r>
      <w:r w:rsidRPr="00842571">
        <w:rPr>
          <w:lang w:val="en"/>
        </w:rPr>
        <w:t xml:space="preserve"> months after the cell infusion. All concomitant medications (including permitted and impermissible concomitant medications) and concomitant therapies </w:t>
      </w:r>
      <w:r w:rsidRPr="00842571">
        <w:rPr>
          <w:lang w:val="en"/>
        </w:rPr>
        <w:lastRenderedPageBreak/>
        <w:t xml:space="preserve">should be recorded in the source document and on the eCRF. The following information should be recorded: drug/non-drug name, </w:t>
      </w:r>
      <w:r w:rsidR="00EA599D">
        <w:rPr>
          <w:lang w:val="en"/>
        </w:rPr>
        <w:t xml:space="preserve">the </w:t>
      </w:r>
      <w:r w:rsidRPr="00842571">
        <w:rPr>
          <w:lang w:val="en"/>
        </w:rPr>
        <w:t>reason for administration, dosage, strength, frequency, route, start date, and end date. Concomitant non-drug therapies should include name of the non-drug therapy, a description of the therapy, reason for treatment, start date, and end date for treatment. If the reason for</w:t>
      </w:r>
      <w:r w:rsidR="00EA599D">
        <w:rPr>
          <w:lang w:val="en"/>
        </w:rPr>
        <w:t xml:space="preserve"> the</w:t>
      </w:r>
      <w:r w:rsidRPr="00842571">
        <w:rPr>
          <w:lang w:val="en"/>
        </w:rPr>
        <w:t xml:space="preserve"> use of concomitant medications and therapies meets the definition of an AE, relevant information must also be recorded in the source document of this patient and on the eCRF. </w:t>
      </w:r>
    </w:p>
    <w:p w14:paraId="27A23E2C" w14:textId="6544770C" w:rsidR="00740F81" w:rsidRDefault="00740F81" w:rsidP="005918BD">
      <w:pPr>
        <w:pStyle w:val="30"/>
        <w:jc w:val="both"/>
      </w:pPr>
      <w:r>
        <w:rPr>
          <w:lang w:val="en"/>
        </w:rPr>
        <w:t xml:space="preserve">  </w:t>
      </w:r>
      <w:bookmarkStart w:id="99" w:name="_Toc112064857"/>
      <w:r>
        <w:rPr>
          <w:lang w:val="en"/>
        </w:rPr>
        <w:t>Prohibited Concomitant Therapies</w:t>
      </w:r>
      <w:bookmarkEnd w:id="99"/>
    </w:p>
    <w:p w14:paraId="1637DC7A" w14:textId="226F5E87" w:rsidR="00740F81" w:rsidRPr="00842571" w:rsidRDefault="00740F81" w:rsidP="005918BD">
      <w:pPr>
        <w:pStyle w:val="Bullet1"/>
        <w:jc w:val="both"/>
      </w:pPr>
      <w:r w:rsidRPr="00842571">
        <w:t xml:space="preserve">Other anti-tumor treatments: In addition to the study </w:t>
      </w:r>
      <w:r w:rsidR="00B54505">
        <w:t>d</w:t>
      </w:r>
      <w:r w:rsidR="00EA599D">
        <w:t>rug</w:t>
      </w:r>
      <w:r w:rsidR="00B54505">
        <w:t>s</w:t>
      </w:r>
      <w:r w:rsidR="00B54505" w:rsidRPr="00842571">
        <w:t xml:space="preserve"> </w:t>
      </w:r>
      <w:r w:rsidRPr="00842571">
        <w:t xml:space="preserve">specified in this </w:t>
      </w:r>
      <w:r w:rsidR="00B54505">
        <w:t>trial</w:t>
      </w:r>
      <w:r w:rsidRPr="00842571">
        <w:t xml:space="preserve">, patients are not allowed to receive any other cancer therapy (except for bridging chemotherapy) simultaneously throughout the study, including cytotoxic agents, biological therapies, immunosuppressive agents, or any other investigational products. </w:t>
      </w:r>
    </w:p>
    <w:p w14:paraId="7811FA86" w14:textId="3E6A16AB" w:rsidR="00740F81" w:rsidRPr="00842571" w:rsidRDefault="00740F81" w:rsidP="005918BD">
      <w:pPr>
        <w:pStyle w:val="Bullet1"/>
        <w:jc w:val="both"/>
      </w:pPr>
      <w:r w:rsidRPr="00842571">
        <w:t>Live virus vacci</w:t>
      </w:r>
      <w:r w:rsidR="00EA599D">
        <w:t>nes</w:t>
      </w:r>
      <w:r w:rsidRPr="00842571">
        <w:t xml:space="preserve"> for immunization. </w:t>
      </w:r>
    </w:p>
    <w:p w14:paraId="64C4EE73" w14:textId="06F4750B" w:rsidR="00740F81" w:rsidRPr="00842571" w:rsidRDefault="00740F81" w:rsidP="005918BD">
      <w:pPr>
        <w:pStyle w:val="Bullet1"/>
        <w:jc w:val="both"/>
      </w:pPr>
      <w:r w:rsidRPr="00842571">
        <w:t xml:space="preserve">Other therapies may affect study assessments at the discretion of the investigator. </w:t>
      </w:r>
    </w:p>
    <w:p w14:paraId="71FC90B5" w14:textId="39B4D173" w:rsidR="00740F81" w:rsidRDefault="00740F81" w:rsidP="005918BD">
      <w:pPr>
        <w:pStyle w:val="30"/>
        <w:jc w:val="both"/>
      </w:pPr>
      <w:r>
        <w:rPr>
          <w:lang w:val="en"/>
        </w:rPr>
        <w:t xml:space="preserve">  </w:t>
      </w:r>
      <w:bookmarkStart w:id="100" w:name="_Toc112064858"/>
      <w:r>
        <w:rPr>
          <w:lang w:val="en"/>
        </w:rPr>
        <w:t>Permitted Concomitant Therapies</w:t>
      </w:r>
      <w:bookmarkEnd w:id="100"/>
    </w:p>
    <w:p w14:paraId="01487548" w14:textId="4A273949" w:rsidR="00740F81" w:rsidRPr="00842571" w:rsidRDefault="00740F81" w:rsidP="005918BD">
      <w:pPr>
        <w:pStyle w:val="Bullet1"/>
        <w:jc w:val="both"/>
      </w:pPr>
      <w:r w:rsidRPr="00842571">
        <w:t xml:space="preserve">The investigator is allowed to perform bridging therapy after apheresis for patients with high tumor </w:t>
      </w:r>
      <w:r w:rsidR="00D027A3" w:rsidRPr="00D027A3">
        <w:t>burden</w:t>
      </w:r>
      <w:r w:rsidR="00D027A3">
        <w:t xml:space="preserve"> </w:t>
      </w:r>
      <w:r w:rsidRPr="00842571">
        <w:t xml:space="preserve">or rapid progression during the </w:t>
      </w:r>
      <w:r w:rsidR="00D35175">
        <w:t>s</w:t>
      </w:r>
      <w:r w:rsidR="00D35175" w:rsidRPr="00842571">
        <w:t xml:space="preserve">creening </w:t>
      </w:r>
      <w:r w:rsidRPr="00842571">
        <w:t xml:space="preserve">period, but bridging therapy must be completed </w:t>
      </w:r>
      <w:r w:rsidR="00EA599D">
        <w:t>one</w:t>
      </w:r>
      <w:r w:rsidRPr="00842571">
        <w:t xml:space="preserve"> week before the baseline measurements. </w:t>
      </w:r>
    </w:p>
    <w:p w14:paraId="53C7F2A5" w14:textId="359A50EB" w:rsidR="00740F81" w:rsidRPr="00842571" w:rsidRDefault="00740F81" w:rsidP="005918BD">
      <w:pPr>
        <w:pStyle w:val="Bullet1"/>
        <w:jc w:val="both"/>
      </w:pPr>
      <w:r w:rsidRPr="00842571">
        <w:t xml:space="preserve">Standard of care and palliative care for pre-existing conditions, medical and/or surgical complications, with records of all medications. </w:t>
      </w:r>
    </w:p>
    <w:p w14:paraId="38B47338" w14:textId="5DCD8BA5" w:rsidR="00740F81" w:rsidRPr="00842571" w:rsidRDefault="00740F81" w:rsidP="005918BD">
      <w:pPr>
        <w:pStyle w:val="Bullet1"/>
        <w:jc w:val="both"/>
      </w:pPr>
      <w:r w:rsidRPr="00842571">
        <w:t>Medications related to the prevention of infusion reaction</w:t>
      </w:r>
      <w:r w:rsidR="00EA599D">
        <w:t>s</w:t>
      </w:r>
      <w:r w:rsidRPr="00842571">
        <w:t xml:space="preserve"> are allowed. The investigator is allowed to use concomitant medications </w:t>
      </w:r>
      <w:r w:rsidRPr="00842571">
        <w:rPr>
          <w:rFonts w:hint="eastAsia"/>
        </w:rPr>
        <w:t>for</w:t>
      </w:r>
      <w:r w:rsidRPr="00842571">
        <w:t xml:space="preserve"> AEs. </w:t>
      </w:r>
    </w:p>
    <w:p w14:paraId="7DB4F106" w14:textId="29F44E2E" w:rsidR="00740F81" w:rsidRPr="00842571" w:rsidRDefault="00740F81" w:rsidP="005918BD">
      <w:pPr>
        <w:pStyle w:val="Bullet1"/>
        <w:jc w:val="both"/>
      </w:pPr>
      <w:r w:rsidRPr="00842571">
        <w:t>If significant neutropenia or febrile neutropenia/infection is observed, prophylactic use of appropriate growth factors (e</w:t>
      </w:r>
      <w:r w:rsidR="00EA599D">
        <w:t>.g.</w:t>
      </w:r>
      <w:r w:rsidRPr="00842571">
        <w:t xml:space="preserve">, granulocyte colony-stimulating factor [G-CSF]) may be administered by the investigator according to the American Society of Clinical Oncology (ASCO) guidelines. </w:t>
      </w:r>
    </w:p>
    <w:p w14:paraId="218F7089" w14:textId="5BE14552" w:rsidR="00740F81" w:rsidRPr="00842571" w:rsidRDefault="00740F81" w:rsidP="005918BD">
      <w:pPr>
        <w:pStyle w:val="Bullet1"/>
        <w:jc w:val="both"/>
      </w:pPr>
      <w:r w:rsidRPr="00842571">
        <w:t xml:space="preserve">Others: antiemetics for prevention, medications for protecting gastric mucosa, routine medications for hypertension, and others </w:t>
      </w:r>
      <w:r w:rsidR="00EA599D">
        <w:t>that</w:t>
      </w:r>
      <w:r w:rsidRPr="00842571">
        <w:t xml:space="preserve"> can be used as concomitant medications at the discretion of the investigator.</w:t>
      </w:r>
    </w:p>
    <w:p w14:paraId="3952A6D8" w14:textId="6B059924" w:rsidR="00740F81" w:rsidRDefault="00740F81" w:rsidP="005918BD">
      <w:pPr>
        <w:pStyle w:val="20"/>
        <w:jc w:val="both"/>
        <w:rPr>
          <w:lang w:val="en"/>
        </w:rPr>
      </w:pPr>
      <w:bookmarkStart w:id="101" w:name="_Toc112064859"/>
      <w:r>
        <w:rPr>
          <w:lang w:val="en"/>
        </w:rPr>
        <w:t xml:space="preserve">Receipt and </w:t>
      </w:r>
      <w:proofErr w:type="gramStart"/>
      <w:r>
        <w:rPr>
          <w:lang w:val="en"/>
        </w:rPr>
        <w:t>Return</w:t>
      </w:r>
      <w:proofErr w:type="gramEnd"/>
      <w:r>
        <w:rPr>
          <w:lang w:val="en"/>
        </w:rPr>
        <w:t xml:space="preserve"> of CT103A</w:t>
      </w:r>
      <w:bookmarkEnd w:id="101"/>
    </w:p>
    <w:p w14:paraId="32D78EB3" w14:textId="563F93FF" w:rsidR="00740F81" w:rsidRPr="008B1F4D" w:rsidRDefault="00740F81" w:rsidP="00591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微软雅黑"/>
          <w:color w:val="000000"/>
        </w:rPr>
      </w:pPr>
      <w:r w:rsidRPr="008B1F4D">
        <w:rPr>
          <w:rFonts w:eastAsia="微软雅黑"/>
          <w:color w:val="000000"/>
          <w:lang w:val="en"/>
        </w:rPr>
        <w:t>CT103A cells should be stored in liquid nitrogen</w:t>
      </w:r>
      <w:r w:rsidR="00EA599D">
        <w:rPr>
          <w:rFonts w:eastAsia="微软雅黑"/>
          <w:color w:val="000000"/>
          <w:lang w:val="en"/>
        </w:rPr>
        <w:t>, protected from shaking,</w:t>
      </w:r>
      <w:r w:rsidRPr="008B1F4D">
        <w:rPr>
          <w:rFonts w:eastAsia="微软雅黑"/>
          <w:color w:val="000000"/>
          <w:lang w:val="en"/>
        </w:rPr>
        <w:t xml:space="preserve"> and transported in gas</w:t>
      </w:r>
      <w:r w:rsidRPr="008B1F4D">
        <w:rPr>
          <w:rFonts w:eastAsia="微软雅黑"/>
          <w:color w:val="000000"/>
          <w:lang w:val="en"/>
        </w:rPr>
        <w:noBreakHyphen/>
        <w:t xml:space="preserve">phase liquid nitrogen below </w:t>
      </w:r>
      <w:r w:rsidR="008B1F4D">
        <w:rPr>
          <w:rFonts w:eastAsia="微软雅黑"/>
          <w:color w:val="000000"/>
          <w:lang w:val="en"/>
        </w:rPr>
        <w:t>−</w:t>
      </w:r>
      <w:r w:rsidRPr="008B1F4D">
        <w:rPr>
          <w:rFonts w:eastAsia="微软雅黑"/>
          <w:color w:val="000000"/>
          <w:lang w:val="en"/>
        </w:rPr>
        <w:t>130</w:t>
      </w:r>
      <w:r w:rsidR="008B1F4D">
        <w:rPr>
          <w:rFonts w:eastAsia="微软雅黑"/>
          <w:color w:val="000000"/>
          <w:lang w:val="en"/>
        </w:rPr>
        <w:t xml:space="preserve"> </w:t>
      </w:r>
      <w:r w:rsidRPr="008B1F4D">
        <w:rPr>
          <w:rFonts w:eastAsia="微软雅黑"/>
          <w:color w:val="000000"/>
          <w:lang w:val="en"/>
        </w:rPr>
        <w:t xml:space="preserve">℃ to each site.  Upon receipt of the </w:t>
      </w:r>
      <w:r w:rsidR="00D35175" w:rsidRPr="008B1F4D">
        <w:rPr>
          <w:rFonts w:eastAsia="微软雅黑"/>
          <w:color w:val="000000"/>
          <w:lang w:val="en"/>
        </w:rPr>
        <w:t>CT103A</w:t>
      </w:r>
      <w:r w:rsidR="00D35175">
        <w:rPr>
          <w:rFonts w:eastAsia="微软雅黑"/>
          <w:color w:val="000000"/>
          <w:lang w:val="en"/>
        </w:rPr>
        <w:t xml:space="preserve"> product</w:t>
      </w:r>
      <w:r w:rsidRPr="008B1F4D">
        <w:rPr>
          <w:rFonts w:eastAsia="微软雅黑"/>
          <w:color w:val="000000"/>
          <w:lang w:val="en"/>
        </w:rPr>
        <w:t xml:space="preserve">, the study site should verify the temperature at which the </w:t>
      </w:r>
      <w:r w:rsidR="00D35175" w:rsidRPr="008B1F4D">
        <w:rPr>
          <w:rFonts w:eastAsia="微软雅黑"/>
          <w:color w:val="000000"/>
          <w:lang w:val="en"/>
        </w:rPr>
        <w:t>CT103A</w:t>
      </w:r>
      <w:r w:rsidR="00D35175">
        <w:rPr>
          <w:rFonts w:eastAsia="微软雅黑"/>
          <w:color w:val="000000"/>
          <w:lang w:val="en"/>
        </w:rPr>
        <w:t xml:space="preserve"> product</w:t>
      </w:r>
      <w:r w:rsidRPr="008B1F4D">
        <w:rPr>
          <w:rFonts w:eastAsia="微软雅黑"/>
          <w:color w:val="000000"/>
          <w:lang w:val="en"/>
        </w:rPr>
        <w:t xml:space="preserve"> is transported, inventory of the drug, and sign after verification is completed. The relevant records should be maintained at the study site</w:t>
      </w:r>
      <w:r w:rsidR="00EA599D">
        <w:rPr>
          <w:rFonts w:eastAsia="微软雅黑"/>
          <w:color w:val="000000"/>
          <w:lang w:val="en"/>
        </w:rPr>
        <w:t>. T</w:t>
      </w:r>
      <w:r w:rsidRPr="008B1F4D">
        <w:rPr>
          <w:rFonts w:eastAsia="微软雅黑"/>
          <w:color w:val="000000"/>
          <w:lang w:val="en"/>
        </w:rPr>
        <w:t xml:space="preserve">he drug storage temperature should be recorded daily, along with the inventory sheet. </w:t>
      </w:r>
      <w:r w:rsidRPr="008B1F4D">
        <w:rPr>
          <w:rFonts w:eastAsia="微软雅黑"/>
          <w:color w:val="000000"/>
          <w:lang w:val="en"/>
        </w:rPr>
        <w:lastRenderedPageBreak/>
        <w:t xml:space="preserve">The following items should be recorded: the date of receipt, the quantity, the batch number, the issued quantity, and the remaining quantity in the inventory. </w:t>
      </w:r>
    </w:p>
    <w:p w14:paraId="128A47E4" w14:textId="601D8C74" w:rsidR="00740F81" w:rsidRPr="008B1F4D" w:rsidRDefault="00740F81" w:rsidP="00591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微软雅黑"/>
          <w:color w:val="000000"/>
        </w:rPr>
      </w:pPr>
      <w:r w:rsidRPr="008B1F4D">
        <w:rPr>
          <w:rFonts w:eastAsia="微软雅黑"/>
          <w:color w:val="000000"/>
          <w:lang w:val="en"/>
        </w:rPr>
        <w:t xml:space="preserve">Only authorized personnel can access the </w:t>
      </w:r>
      <w:r w:rsidR="00D35175" w:rsidRPr="008B1F4D">
        <w:rPr>
          <w:rFonts w:eastAsia="微软雅黑"/>
          <w:color w:val="000000"/>
          <w:lang w:val="en"/>
        </w:rPr>
        <w:t>CT103A</w:t>
      </w:r>
      <w:r w:rsidR="00D35175">
        <w:rPr>
          <w:rFonts w:eastAsia="微软雅黑"/>
          <w:color w:val="000000"/>
          <w:lang w:val="en"/>
        </w:rPr>
        <w:t xml:space="preserve"> product</w:t>
      </w:r>
      <w:r w:rsidRPr="008B1F4D">
        <w:rPr>
          <w:rFonts w:eastAsia="微软雅黑"/>
          <w:color w:val="000000"/>
          <w:lang w:val="en"/>
        </w:rPr>
        <w:t xml:space="preserve">. The </w:t>
      </w:r>
      <w:r w:rsidR="00D35175" w:rsidRPr="008B1F4D">
        <w:rPr>
          <w:rFonts w:eastAsia="微软雅黑"/>
          <w:color w:val="000000"/>
          <w:lang w:val="en"/>
        </w:rPr>
        <w:t>CT103A</w:t>
      </w:r>
      <w:r w:rsidR="00D35175">
        <w:rPr>
          <w:rFonts w:eastAsia="微软雅黑"/>
          <w:color w:val="000000"/>
          <w:lang w:val="en"/>
        </w:rPr>
        <w:t xml:space="preserve"> product</w:t>
      </w:r>
      <w:r w:rsidRPr="008B1F4D">
        <w:rPr>
          <w:rFonts w:eastAsia="微软雅黑"/>
          <w:color w:val="000000"/>
          <w:lang w:val="en"/>
        </w:rPr>
        <w:t xml:space="preserve"> should be infused immediately after the </w:t>
      </w:r>
      <w:r w:rsidRPr="008B1F4D">
        <w:rPr>
          <w:rFonts w:hint="eastAsia"/>
          <w:color w:val="000000"/>
        </w:rPr>
        <w:t>resuscitation</w:t>
      </w:r>
      <w:r w:rsidRPr="008B1F4D">
        <w:rPr>
          <w:rFonts w:eastAsia="微软雅黑"/>
          <w:color w:val="000000"/>
          <w:lang w:val="en"/>
        </w:rPr>
        <w:t xml:space="preserve"> using a water bath. If the intravenous drip cannot be performed immediately due to the patient or any other reasons for more than 2 hours, the </w:t>
      </w:r>
      <w:r w:rsidR="00D35175" w:rsidRPr="008B1F4D">
        <w:rPr>
          <w:rFonts w:eastAsia="微软雅黑"/>
          <w:color w:val="000000"/>
          <w:lang w:val="en"/>
        </w:rPr>
        <w:t>CT103A</w:t>
      </w:r>
      <w:r w:rsidR="00D35175">
        <w:rPr>
          <w:rFonts w:eastAsia="微软雅黑"/>
          <w:color w:val="000000"/>
          <w:lang w:val="en"/>
        </w:rPr>
        <w:t xml:space="preserve"> product</w:t>
      </w:r>
      <w:r w:rsidRPr="008B1F4D">
        <w:rPr>
          <w:rFonts w:eastAsia="微软雅黑"/>
          <w:color w:val="000000"/>
          <w:lang w:val="en"/>
        </w:rPr>
        <w:t xml:space="preserve"> should be returned to the sponsor for destruction </w:t>
      </w:r>
    </w:p>
    <w:p w14:paraId="5DF4A7A7" w14:textId="68DAFE68" w:rsidR="00740F81" w:rsidRPr="008B1F4D" w:rsidRDefault="00740F81" w:rsidP="00591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微软雅黑"/>
          <w:color w:val="000000"/>
        </w:rPr>
      </w:pPr>
      <w:r w:rsidRPr="008B1F4D">
        <w:rPr>
          <w:rFonts w:eastAsia="微软雅黑"/>
          <w:color w:val="000000"/>
          <w:lang w:val="en"/>
        </w:rPr>
        <w:t xml:space="preserve">After the infusion, the package should be destroyed as medical waste by the </w:t>
      </w:r>
      <w:r w:rsidR="002E0E2D">
        <w:rPr>
          <w:rFonts w:eastAsia="微软雅黑" w:hint="eastAsia"/>
          <w:color w:val="000000"/>
          <w:lang w:val="en" w:eastAsia="zh-CN"/>
        </w:rPr>
        <w:t>investigators</w:t>
      </w:r>
      <w:r w:rsidR="00EA599D">
        <w:rPr>
          <w:rFonts w:eastAsia="微软雅黑"/>
          <w:color w:val="000000"/>
          <w:lang w:val="en" w:eastAsia="zh-CN"/>
        </w:rPr>
        <w:t>,</w:t>
      </w:r>
      <w:r w:rsidR="002E0E2D">
        <w:rPr>
          <w:rFonts w:eastAsia="微软雅黑"/>
          <w:color w:val="000000"/>
          <w:lang w:val="en"/>
        </w:rPr>
        <w:t xml:space="preserve"> </w:t>
      </w:r>
      <w:r w:rsidR="002E0E2D">
        <w:rPr>
          <w:rFonts w:eastAsia="微软雅黑" w:hint="eastAsia"/>
          <w:color w:val="000000"/>
          <w:lang w:val="en" w:eastAsia="zh-CN"/>
        </w:rPr>
        <w:t>according</w:t>
      </w:r>
      <w:r w:rsidR="002E0E2D">
        <w:rPr>
          <w:rFonts w:eastAsia="微软雅黑"/>
          <w:color w:val="000000"/>
          <w:lang w:val="en"/>
        </w:rPr>
        <w:t xml:space="preserve"> </w:t>
      </w:r>
      <w:r w:rsidR="002E0E2D">
        <w:rPr>
          <w:rFonts w:eastAsia="微软雅黑" w:hint="eastAsia"/>
          <w:color w:val="000000"/>
          <w:lang w:val="en" w:eastAsia="zh-CN"/>
        </w:rPr>
        <w:t>to</w:t>
      </w:r>
      <w:r w:rsidR="002E0E2D">
        <w:rPr>
          <w:rFonts w:eastAsia="微软雅黑"/>
          <w:color w:val="000000"/>
          <w:lang w:val="en"/>
        </w:rPr>
        <w:t xml:space="preserve"> </w:t>
      </w:r>
      <w:r w:rsidRPr="008B1F4D">
        <w:rPr>
          <w:rFonts w:eastAsia="微软雅黑"/>
          <w:color w:val="000000"/>
          <w:lang w:val="en"/>
        </w:rPr>
        <w:t>SOP, or returned to the sponsor for disposal.</w:t>
      </w:r>
    </w:p>
    <w:p w14:paraId="542CAECC" w14:textId="626DB723" w:rsidR="009B3E9F" w:rsidRPr="00C820E8" w:rsidRDefault="00270C9D" w:rsidP="00FE0C5C">
      <w:pPr>
        <w:pStyle w:val="1"/>
      </w:pPr>
      <w:bookmarkStart w:id="102" w:name="_Toc112064860"/>
      <w:r w:rsidRPr="00C820E8">
        <w:lastRenderedPageBreak/>
        <w:t>STUDY PROCEDURES</w:t>
      </w:r>
      <w:bookmarkEnd w:id="92"/>
      <w:bookmarkEnd w:id="102"/>
    </w:p>
    <w:p w14:paraId="2874A3A3" w14:textId="32672F8B" w:rsidR="004D54F2" w:rsidRPr="00BF5DC4" w:rsidRDefault="004D54F2" w:rsidP="004322E6">
      <w:pPr>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pPr>
      <w:r w:rsidRPr="00BF5DC4">
        <w:t>Study procedures includ</w:t>
      </w:r>
      <w:r w:rsidR="00254F06">
        <w:rPr>
          <w:rFonts w:hint="eastAsia"/>
          <w:lang w:eastAsia="zh-CN"/>
        </w:rPr>
        <w:t>e</w:t>
      </w:r>
      <w:r w:rsidRPr="00BF5DC4">
        <w:t xml:space="preserve"> screening and enrollment, </w:t>
      </w:r>
      <w:r w:rsidR="00657324" w:rsidRPr="00657324">
        <w:t xml:space="preserve">peripheral blood mononuclear cell </w:t>
      </w:r>
      <w:r w:rsidR="00657324">
        <w:t>(</w:t>
      </w:r>
      <w:r w:rsidRPr="00BF5DC4">
        <w:t>PBMC</w:t>
      </w:r>
      <w:r w:rsidR="00657324">
        <w:t>)</w:t>
      </w:r>
      <w:r w:rsidRPr="00BF5DC4">
        <w:t xml:space="preserve"> collection, bridging therapy </w:t>
      </w:r>
      <w:r w:rsidRPr="00BF5DC4">
        <w:rPr>
          <w:color w:val="000000" w:themeColor="text1"/>
        </w:rPr>
        <w:t>(</w:t>
      </w:r>
      <w:r w:rsidR="00F31A05">
        <w:t>Selinexor</w:t>
      </w:r>
      <w:r w:rsidR="00EA599D">
        <w:t>-</w:t>
      </w:r>
      <w:r w:rsidRPr="00BF5DC4">
        <w:t>based regimens</w:t>
      </w:r>
      <w:r w:rsidRPr="00BF5DC4">
        <w:rPr>
          <w:color w:val="000000" w:themeColor="text1"/>
        </w:rPr>
        <w:t>)</w:t>
      </w:r>
      <w:r w:rsidRPr="00BF5DC4">
        <w:t xml:space="preserve">, baseline assessments, lymphodepletion conditioning, rest assessment, CT103A cell infusion, administration of </w:t>
      </w:r>
      <w:r w:rsidR="00F31A05">
        <w:t>Selinexor</w:t>
      </w:r>
      <w:r w:rsidRPr="00BF5DC4">
        <w:t>, and the main follow-up period.</w:t>
      </w:r>
    </w:p>
    <w:p w14:paraId="790C7EED" w14:textId="25FC5499" w:rsidR="004D54F2" w:rsidRPr="00BF5DC4" w:rsidRDefault="004D54F2" w:rsidP="00BF5DC4">
      <w:pPr>
        <w:pStyle w:val="Bullet1"/>
      </w:pPr>
      <w:r w:rsidRPr="00BF5DC4">
        <w:t>Screening and enrollment period: -8 weeks to -18 days before CT103A infusion. Patients should complete the visits according to the schedule of assessments during the screening period. Patients who meet the enrollment criteria will be allocated a patient number after the investigators' assessment.</w:t>
      </w:r>
    </w:p>
    <w:p w14:paraId="6F6E30E6" w14:textId="5C4632D8" w:rsidR="004D54F2" w:rsidRPr="00BF5DC4" w:rsidRDefault="004D54F2" w:rsidP="00BF5DC4">
      <w:pPr>
        <w:pStyle w:val="Bullet1"/>
      </w:pPr>
      <w:r w:rsidRPr="00BF5DC4">
        <w:t>PBMC collection: 1 day</w:t>
      </w:r>
    </w:p>
    <w:p w14:paraId="7156C97C" w14:textId="3B97C05D" w:rsidR="004D54F2" w:rsidRPr="00BF5DC4" w:rsidRDefault="004D54F2" w:rsidP="00BF5DC4">
      <w:pPr>
        <w:pStyle w:val="Bullet1"/>
      </w:pPr>
      <w:r w:rsidRPr="00BF5DC4">
        <w:t>The healthy mononuclear cells of the patient will be extracted from the peripheral blood and then sent to Nanjing IASO Biotherapeutics Ltd. for CT103A cell preparation (at least 18 days from the arrival of PBMC to the company to the Certificate of Analysis issued, slightly delayed if due to holidays)</w:t>
      </w:r>
    </w:p>
    <w:p w14:paraId="297C8379" w14:textId="35D38E7B" w:rsidR="004D54F2" w:rsidRPr="00BF5DC4" w:rsidRDefault="004D54F2" w:rsidP="00BF5DC4">
      <w:pPr>
        <w:pStyle w:val="Bullet1"/>
      </w:pPr>
      <w:r w:rsidRPr="00BF5DC4">
        <w:t xml:space="preserve">Apheresis is performed according to the standard practice of </w:t>
      </w:r>
      <w:r w:rsidR="00EA599D">
        <w:t xml:space="preserve">the </w:t>
      </w:r>
      <w:r w:rsidRPr="00BF5DC4">
        <w:t>institution</w:t>
      </w:r>
      <w:r w:rsidR="00EA599D">
        <w:t>. T</w:t>
      </w:r>
      <w:r w:rsidRPr="00BF5DC4">
        <w:t>he goal is to deliver it to the preparation site with a minimum of 1 × 10</w:t>
      </w:r>
      <w:r w:rsidRPr="004322E6">
        <w:rPr>
          <w:vertAlign w:val="superscript"/>
        </w:rPr>
        <w:t>9</w:t>
      </w:r>
      <w:r w:rsidRPr="00BF5DC4">
        <w:t xml:space="preserve"> PBMCs in an apheresis sample (to ensure the success rate of cell product preparation, it is suggested to collect more than 2 × 10</w:t>
      </w:r>
      <w:r w:rsidRPr="004322E6">
        <w:rPr>
          <w:vertAlign w:val="superscript"/>
        </w:rPr>
        <w:t>9</w:t>
      </w:r>
      <w:r w:rsidRPr="00BF5DC4">
        <w:t xml:space="preserve"> PBMCs), </w:t>
      </w:r>
      <w:r w:rsidR="00EA599D">
        <w:t>two</w:t>
      </w:r>
      <w:r w:rsidRPr="00BF5DC4">
        <w:t xml:space="preserve"> times of </w:t>
      </w:r>
      <w:r w:rsidR="0032109D">
        <w:t>apheresis</w:t>
      </w:r>
      <w:r w:rsidRPr="00BF5DC4">
        <w:t xml:space="preserve"> may be arranged to achieve the target amount.</w:t>
      </w:r>
    </w:p>
    <w:p w14:paraId="28CC8250" w14:textId="623F4C8C" w:rsidR="004D54F2" w:rsidRPr="00BF5DC4" w:rsidRDefault="004D54F2" w:rsidP="00BF5DC4">
      <w:pPr>
        <w:pStyle w:val="Bullet1"/>
      </w:pPr>
      <w:r w:rsidRPr="00BF5DC4">
        <w:t>If disease progression occurs after PBMC collection, the investigator will decide whether to provide bridging therapy.</w:t>
      </w:r>
    </w:p>
    <w:p w14:paraId="24856B1A" w14:textId="735A99FE" w:rsidR="004D54F2" w:rsidRPr="004322E6" w:rsidRDefault="00EA599D" w:rsidP="004322E6">
      <w:pPr>
        <w:pStyle w:val="Bullet1"/>
      </w:pPr>
      <w:r>
        <w:t>B</w:t>
      </w:r>
      <w:r w:rsidR="004D54F2" w:rsidRPr="00BF5DC4">
        <w:t xml:space="preserve">ridging therapy: </w:t>
      </w:r>
      <w:r w:rsidR="004D54F2" w:rsidRPr="004322E6">
        <w:t>Bridging therapy may be used at the discretion of the investigator following monocyte collection</w:t>
      </w:r>
      <w:r w:rsidR="004F5F95">
        <w:rPr>
          <w:lang w:val="en"/>
        </w:rPr>
        <w:t xml:space="preserve"> and be ended </w:t>
      </w:r>
      <w:r>
        <w:rPr>
          <w:lang w:val="en"/>
        </w:rPr>
        <w:t>seven</w:t>
      </w:r>
      <w:r w:rsidR="004F5F95">
        <w:rPr>
          <w:lang w:val="en"/>
        </w:rPr>
        <w:t xml:space="preserve"> days</w:t>
      </w:r>
      <w:r w:rsidR="004F5F95" w:rsidRPr="00CE1BB5">
        <w:rPr>
          <w:lang w:val="en"/>
        </w:rPr>
        <w:t xml:space="preserve"> </w:t>
      </w:r>
      <w:r w:rsidR="004F5F95">
        <w:rPr>
          <w:lang w:val="en"/>
        </w:rPr>
        <w:t>before</w:t>
      </w:r>
      <w:r w:rsidR="004F5F95" w:rsidRPr="00CE1BB5">
        <w:rPr>
          <w:lang w:val="en"/>
        </w:rPr>
        <w:t xml:space="preserve"> </w:t>
      </w:r>
      <w:r w:rsidR="004D54F2" w:rsidRPr="004322E6">
        <w:t xml:space="preserve">lymphodepleting conditioning to maintain </w:t>
      </w:r>
      <w:r w:rsidR="004D54F2" w:rsidRPr="00BF5DC4">
        <w:t xml:space="preserve">the </w:t>
      </w:r>
      <w:r w:rsidR="004F5F95">
        <w:rPr>
          <w:lang w:val="en"/>
        </w:rPr>
        <w:t xml:space="preserve">patients in a </w:t>
      </w:r>
      <w:r w:rsidR="004D54F2" w:rsidRPr="004322E6">
        <w:t>stable status. Selinexor will be used as bridging therap</w:t>
      </w:r>
      <w:r w:rsidR="004D54F2" w:rsidRPr="00BF5DC4">
        <w:t>y</w:t>
      </w:r>
      <w:r w:rsidR="004D54F2" w:rsidRPr="004322E6">
        <w:t xml:space="preserve">. Baseline </w:t>
      </w:r>
      <w:r w:rsidR="004D54F2" w:rsidRPr="00BF5DC4">
        <w:t>assessments</w:t>
      </w:r>
      <w:r w:rsidR="004D54F2" w:rsidRPr="004322E6">
        <w:t xml:space="preserve"> will be performed at least </w:t>
      </w:r>
      <w:r>
        <w:t>seven</w:t>
      </w:r>
      <w:r w:rsidR="004D54F2" w:rsidRPr="004322E6">
        <w:t xml:space="preserve"> days after bridging therap</w:t>
      </w:r>
      <w:r w:rsidR="004D54F2" w:rsidRPr="00BF5DC4">
        <w:t>y</w:t>
      </w:r>
      <w:r w:rsidR="004D54F2" w:rsidRPr="004322E6">
        <w:t xml:space="preserve">. Patients who achieve complete remission after the bridging therapy are not allowed to receive the lymphodepleting conditioning regimen. </w:t>
      </w:r>
    </w:p>
    <w:p w14:paraId="6BAF2610" w14:textId="2DE3A27B" w:rsidR="004D54F2" w:rsidRPr="00BF5DC4" w:rsidRDefault="00EA599D" w:rsidP="00BF5DC4">
      <w:pPr>
        <w:pStyle w:val="Bullet1"/>
      </w:pPr>
      <w:r>
        <w:t>B</w:t>
      </w:r>
      <w:r w:rsidR="004D54F2" w:rsidRPr="00BF5DC4">
        <w:t xml:space="preserve">aseline assessments: </w:t>
      </w:r>
    </w:p>
    <w:p w14:paraId="39542C73" w14:textId="2FF26B7A" w:rsidR="004D54F2" w:rsidRPr="00BF5DC4" w:rsidRDefault="004D54F2" w:rsidP="00EA599D">
      <w:pPr>
        <w:pStyle w:val="Bullet1"/>
        <w:jc w:val="both"/>
      </w:pPr>
      <w:r w:rsidRPr="00BF5DC4">
        <w:t>The baseline assess</w:t>
      </w:r>
      <w:r w:rsidR="00EA599D">
        <w:t>ment</w:t>
      </w:r>
      <w:r w:rsidRPr="00BF5DC4">
        <w:t xml:space="preserve">s will be completed within </w:t>
      </w:r>
      <w:r w:rsidR="00EA599D">
        <w:t>seven</w:t>
      </w:r>
      <w:r w:rsidRPr="00BF5DC4">
        <w:t xml:space="preserve"> days before the lymphodepletion conditioning (vital signs and physical examination will be conducted within </w:t>
      </w:r>
      <w:r w:rsidR="00EA599D">
        <w:t>one</w:t>
      </w:r>
      <w:r w:rsidRPr="00BF5DC4">
        <w:t xml:space="preserve"> day before the lymphodepletion conditioning). Lymphodepletion conditioning can be conducted when the results of each test meet the criteria of lymphodepletion treatment.</w:t>
      </w:r>
    </w:p>
    <w:p w14:paraId="6D39FC56" w14:textId="409FCFDF" w:rsidR="004D54F2" w:rsidRPr="00BF5DC4" w:rsidRDefault="004D54F2" w:rsidP="00BF5DC4">
      <w:pPr>
        <w:pStyle w:val="Bullet1"/>
      </w:pPr>
      <w:r w:rsidRPr="00BF5DC4">
        <w:t xml:space="preserve">Visit of lymphocyte clearance pretreatment: </w:t>
      </w:r>
      <w:r w:rsidR="00D23E13">
        <w:rPr>
          <w:rFonts w:eastAsia="微软雅黑"/>
          <w:color w:val="000000"/>
          <w:lang w:val="en"/>
        </w:rPr>
        <w:t>−</w:t>
      </w:r>
      <w:r w:rsidRPr="00BF5DC4">
        <w:t xml:space="preserve">7 days to </w:t>
      </w:r>
      <w:r w:rsidR="00D23E13">
        <w:rPr>
          <w:rFonts w:eastAsia="微软雅黑"/>
          <w:color w:val="000000"/>
          <w:lang w:val="en"/>
        </w:rPr>
        <w:t>−</w:t>
      </w:r>
      <w:r w:rsidRPr="00BF5DC4">
        <w:t>2 days before CT103A infusion</w:t>
      </w:r>
    </w:p>
    <w:p w14:paraId="649250CC" w14:textId="42DCD174" w:rsidR="004D54F2" w:rsidRPr="00BF5DC4" w:rsidRDefault="004D54F2" w:rsidP="004322E6">
      <w:pPr>
        <w:pStyle w:val="Bullet1"/>
        <w:numPr>
          <w:ilvl w:val="0"/>
          <w:numId w:val="0"/>
        </w:numPr>
        <w:ind w:left="720"/>
      </w:pPr>
      <w:r w:rsidRPr="00BF5DC4">
        <w:t xml:space="preserve">The recommended lymphodepleting conditioning regimen is as follows: </w:t>
      </w:r>
    </w:p>
    <w:p w14:paraId="5C328F21" w14:textId="08478D9F" w:rsidR="004D54F2" w:rsidRPr="00BF5DC4" w:rsidRDefault="004D54F2" w:rsidP="004322E6">
      <w:pPr>
        <w:pStyle w:val="Bullet1"/>
        <w:numPr>
          <w:ilvl w:val="0"/>
          <w:numId w:val="0"/>
        </w:numPr>
        <w:ind w:left="720"/>
      </w:pPr>
      <w:r w:rsidRPr="00BF5DC4">
        <w:lastRenderedPageBreak/>
        <w:t xml:space="preserve">Cyclophosphamide, 500 mg/m² intravenous infusion for more than 30 minutes, once daily for </w:t>
      </w:r>
      <w:r w:rsidR="00EA599D">
        <w:t>three</w:t>
      </w:r>
      <w:r w:rsidRPr="00BF5DC4">
        <w:t xml:space="preserve"> consecutive days.</w:t>
      </w:r>
    </w:p>
    <w:p w14:paraId="1AA9C9D8" w14:textId="69F0C9B8" w:rsidR="004D54F2" w:rsidRPr="00BF5DC4" w:rsidRDefault="004D54F2" w:rsidP="004322E6">
      <w:pPr>
        <w:pStyle w:val="Bullet1"/>
        <w:numPr>
          <w:ilvl w:val="0"/>
          <w:numId w:val="0"/>
        </w:numPr>
        <w:ind w:left="720"/>
      </w:pPr>
      <w:r w:rsidRPr="00BF5DC4">
        <w:t xml:space="preserve">Fludarabine, 30 mg/m² intravenous infusion for more than 30 minutes, once daily for </w:t>
      </w:r>
      <w:r w:rsidR="00EA599D">
        <w:t>three</w:t>
      </w:r>
      <w:r w:rsidR="00D23E13">
        <w:t> </w:t>
      </w:r>
      <w:r w:rsidRPr="00BF5DC4">
        <w:t>consecutive days.</w:t>
      </w:r>
    </w:p>
    <w:p w14:paraId="7EB129AC" w14:textId="55778F6E" w:rsidR="004D54F2" w:rsidRPr="00BF5DC4" w:rsidRDefault="004D54F2" w:rsidP="004322E6">
      <w:pPr>
        <w:pStyle w:val="Bullet1"/>
        <w:numPr>
          <w:ilvl w:val="0"/>
          <w:numId w:val="0"/>
        </w:numPr>
        <w:ind w:left="720"/>
      </w:pPr>
      <w:r w:rsidRPr="00BF5DC4">
        <w:t xml:space="preserve">If the patient has impaired renal function or other conditions requiring dose adjustment for lymphodepleting chemotherapy, the investigator may adjust the dose after </w:t>
      </w:r>
      <w:r w:rsidR="00EA599D">
        <w:t xml:space="preserve">a </w:t>
      </w:r>
      <w:r w:rsidRPr="00BF5DC4">
        <w:t xml:space="preserve">comprehensive evaluation. </w:t>
      </w:r>
    </w:p>
    <w:p w14:paraId="670CDCB1" w14:textId="51E6EDA1" w:rsidR="004D54F2" w:rsidRPr="00BF5DC4" w:rsidRDefault="004D54F2" w:rsidP="00BF5DC4">
      <w:pPr>
        <w:pStyle w:val="Bullet1"/>
      </w:pPr>
      <w:r w:rsidRPr="00BF5DC4">
        <w:t xml:space="preserve">Rest assessment: </w:t>
      </w:r>
      <w:r w:rsidR="00A22386">
        <w:t xml:space="preserve">day </w:t>
      </w:r>
      <w:r w:rsidR="00A22386">
        <w:rPr>
          <w:rFonts w:eastAsia="微软雅黑"/>
          <w:color w:val="000000"/>
          <w:lang w:val="en"/>
        </w:rPr>
        <w:t>-</w:t>
      </w:r>
      <w:r w:rsidRPr="00BF5DC4">
        <w:t>1</w:t>
      </w:r>
    </w:p>
    <w:p w14:paraId="62070EFB" w14:textId="32638510" w:rsidR="004D54F2" w:rsidRPr="00BF5DC4" w:rsidRDefault="004D54F2" w:rsidP="00BF5DC4">
      <w:pPr>
        <w:pStyle w:val="Bullet1"/>
        <w:numPr>
          <w:ilvl w:val="0"/>
          <w:numId w:val="0"/>
        </w:numPr>
        <w:ind w:left="720"/>
      </w:pPr>
      <w:r w:rsidRPr="00BF5DC4">
        <w:t>If the status of the patient does not meet the standard of infusion after rest assessment, cell infusion cannot be performed</w:t>
      </w:r>
      <w:r w:rsidR="00EA599D">
        <w:t>. T</w:t>
      </w:r>
      <w:r w:rsidRPr="00BF5DC4">
        <w:t xml:space="preserve">he investigators will provide symptomatic treatment until the patient is in a state that allows for cell infusion. The delayed infusion should not exceed </w:t>
      </w:r>
      <w:r w:rsidR="00EA599D">
        <w:t>two</w:t>
      </w:r>
      <w:r w:rsidRPr="00BF5DC4">
        <w:t xml:space="preserve"> weeks.</w:t>
      </w:r>
    </w:p>
    <w:p w14:paraId="43D6A7FF" w14:textId="2EF479E0" w:rsidR="004D54F2" w:rsidRPr="00BF5DC4" w:rsidRDefault="004D54F2" w:rsidP="00BF5DC4">
      <w:pPr>
        <w:pStyle w:val="Bullet1"/>
      </w:pPr>
      <w:r w:rsidRPr="00BF5DC4">
        <w:t xml:space="preserve">CT103A cell infusion: The day of CT103A cell infusion is recorded as Day 0. </w:t>
      </w:r>
      <w:r w:rsidR="004F5F95">
        <w:t>T</w:t>
      </w:r>
      <w:r w:rsidR="004F5F95" w:rsidRPr="00BF5DC4">
        <w:t>he dosage is 1 × 10</w:t>
      </w:r>
      <w:r w:rsidR="004F5F95" w:rsidRPr="004322E6">
        <w:rPr>
          <w:vertAlign w:val="superscript"/>
        </w:rPr>
        <w:t>6</w:t>
      </w:r>
      <w:r w:rsidR="004F5F95" w:rsidRPr="00BF5DC4">
        <w:t xml:space="preserve"> cells/kg,</w:t>
      </w:r>
      <w:r w:rsidR="004F5F95">
        <w:t xml:space="preserve"> with </w:t>
      </w:r>
      <w:r w:rsidR="00EA599D">
        <w:t xml:space="preserve">a </w:t>
      </w:r>
      <w:r w:rsidR="004F5F95" w:rsidRPr="00BF5DC4">
        <w:t>single infusion</w:t>
      </w:r>
      <w:r w:rsidR="004F5F95">
        <w:t xml:space="preserve"> by p</w:t>
      </w:r>
      <w:r w:rsidRPr="00BF5DC4">
        <w:t>eripheral intravenous administration.</w:t>
      </w:r>
    </w:p>
    <w:p w14:paraId="1CF7C24C" w14:textId="7EA0AC3B" w:rsidR="004D54F2" w:rsidRPr="004322E6" w:rsidRDefault="004D54F2" w:rsidP="004322E6">
      <w:pPr>
        <w:pStyle w:val="Bullet1"/>
      </w:pPr>
      <w:bookmarkStart w:id="103" w:name="_Hlk101989595"/>
      <w:r w:rsidRPr="00BF5DC4">
        <w:t xml:space="preserve">Selinexor: </w:t>
      </w:r>
      <w:r w:rsidRPr="004322E6">
        <w:t xml:space="preserve">There are </w:t>
      </w:r>
      <w:r w:rsidR="00EA599D">
        <w:t>two</w:t>
      </w:r>
      <w:r w:rsidRPr="004322E6">
        <w:t xml:space="preserve"> dose groups in this study. Patients in the 20 mg dose group will receive oral </w:t>
      </w:r>
      <w:r w:rsidR="00F31A05">
        <w:t>Selinexor</w:t>
      </w:r>
      <w:r w:rsidRPr="004322E6">
        <w:t xml:space="preserve"> 20 mg/tablet × 1 tablet weekly. Patients in the 40 mg dose group will receive oral </w:t>
      </w:r>
      <w:r w:rsidR="00F31A05">
        <w:t>Selinexor</w:t>
      </w:r>
      <w:r w:rsidRPr="004322E6">
        <w:t xml:space="preserve"> 20 mg/tablet × 2 tablets weekly. </w:t>
      </w:r>
    </w:p>
    <w:p w14:paraId="67E59D39" w14:textId="0D94B7D0" w:rsidR="004D54F2" w:rsidRPr="004322E6" w:rsidRDefault="004D54F2" w:rsidP="004322E6">
      <w:pPr>
        <w:pStyle w:val="Bullet1"/>
      </w:pPr>
      <w:r w:rsidRPr="004322E6">
        <w:t xml:space="preserve">Patients enrolled in this study will be sequentially enrolled in </w:t>
      </w:r>
      <w:r w:rsidRPr="00BF5DC4">
        <w:t xml:space="preserve">the </w:t>
      </w:r>
      <w:r w:rsidR="00EA599D">
        <w:t>two</w:t>
      </w:r>
      <w:r w:rsidRPr="004322E6">
        <w:t xml:space="preserve"> dose groups. In the 40</w:t>
      </w:r>
      <w:r w:rsidR="00B769B2" w:rsidRPr="00C358E7">
        <w:rPr>
          <w:rFonts w:eastAsia="CIDFont+F1" w:cs="Times New Roman"/>
          <w:color w:val="000000"/>
          <w:szCs w:val="24"/>
        </w:rPr>
        <w:t> </w:t>
      </w:r>
      <w:r w:rsidRPr="004322E6">
        <w:t xml:space="preserve">mg/week dose group, if </w:t>
      </w:r>
      <w:r w:rsidR="00F31A05">
        <w:t>Selinexor</w:t>
      </w:r>
      <w:r w:rsidRPr="004322E6">
        <w:t xml:space="preserve">-related AEs occur during </w:t>
      </w:r>
      <w:r w:rsidRPr="00BF5DC4">
        <w:t xml:space="preserve">the </w:t>
      </w:r>
      <w:r w:rsidRPr="004322E6">
        <w:t xml:space="preserve">treatment, the dose could be reduced to 20 mg/week after the investigator’s assessment, and the dose could be increased to 40 mg/week after the condition returns to the baseline or stabilizes for ≥4 weeks. </w:t>
      </w:r>
    </w:p>
    <w:bookmarkEnd w:id="103"/>
    <w:p w14:paraId="6A6F01F3" w14:textId="23372935" w:rsidR="004D54F2" w:rsidRPr="00BF5DC4" w:rsidRDefault="004D54F2" w:rsidP="00BF5DC4">
      <w:pPr>
        <w:pStyle w:val="Bullet1"/>
      </w:pPr>
      <w:r w:rsidRPr="00BF5DC4">
        <w:t>The main follow-up period: day</w:t>
      </w:r>
      <w:r w:rsidR="00A22386">
        <w:t xml:space="preserve"> 1</w:t>
      </w:r>
      <w:r w:rsidRPr="00BF5DC4">
        <w:t xml:space="preserve"> to 1 year after CT103A cell infusion. </w:t>
      </w:r>
    </w:p>
    <w:p w14:paraId="3FAAC54F" w14:textId="5F54C31D" w:rsidR="004D54F2" w:rsidRPr="00BF5DC4" w:rsidRDefault="00BB1922" w:rsidP="004322E6">
      <w:pPr>
        <w:pStyle w:val="Bullet1"/>
        <w:numPr>
          <w:ilvl w:val="0"/>
          <w:numId w:val="0"/>
        </w:numPr>
        <w:ind w:left="720"/>
      </w:pPr>
      <w:r>
        <w:t>The in</w:t>
      </w:r>
      <w:r w:rsidR="004D54F2" w:rsidRPr="00BF5DC4">
        <w:t>patient observation period</w:t>
      </w:r>
      <w:r w:rsidR="004F5F95">
        <w:t xml:space="preserve"> </w:t>
      </w:r>
      <w:r>
        <w:t>should be at least 14 days post</w:t>
      </w:r>
      <w:r w:rsidR="00EA599D">
        <w:t>-</w:t>
      </w:r>
      <w:r>
        <w:t xml:space="preserve">infusion. </w:t>
      </w:r>
      <w:r w:rsidRPr="00BB1922">
        <w:t>The inpatient observation from 15 to 28 days should be in compliance with the local practice.</w:t>
      </w:r>
      <w:r w:rsidR="004D54F2" w:rsidRPr="00BF5DC4">
        <w:t xml:space="preserve"> </w:t>
      </w:r>
      <w:r>
        <w:t xml:space="preserve">The </w:t>
      </w:r>
      <w:r w:rsidR="004D54F2" w:rsidRPr="00BF5DC4">
        <w:t xml:space="preserve">subsequent follow-up visits </w:t>
      </w:r>
      <w:r>
        <w:t xml:space="preserve">will be conducted </w:t>
      </w:r>
      <w:r w:rsidR="004D54F2" w:rsidRPr="00BF5DC4">
        <w:t xml:space="preserve">once a month for the first </w:t>
      </w:r>
      <w:r w:rsidR="00EA599D">
        <w:t>three</w:t>
      </w:r>
      <w:r w:rsidR="004D54F2" w:rsidRPr="00BF5DC4">
        <w:t xml:space="preserve"> months and once every </w:t>
      </w:r>
      <w:r w:rsidR="00EA599D">
        <w:t>three</w:t>
      </w:r>
      <w:r w:rsidR="004D54F2" w:rsidRPr="00BF5DC4">
        <w:t xml:space="preserve"> months thereafter, until disease progression, withdrawal of informed consent, death, or termination of the study.</w:t>
      </w:r>
    </w:p>
    <w:p w14:paraId="32584ECE" w14:textId="0BB74BA0" w:rsidR="009B3E9F" w:rsidRPr="00C820E8" w:rsidRDefault="0042788C" w:rsidP="007C6621">
      <w:pPr>
        <w:pStyle w:val="BodyText-12pt"/>
        <w:sectPr w:rsidR="009B3E9F" w:rsidRPr="00C820E8" w:rsidSect="00A82941">
          <w:headerReference w:type="default" r:id="rId12"/>
          <w:footerReference w:type="default" r:id="rId13"/>
          <w:headerReference w:type="first" r:id="rId14"/>
          <w:footerReference w:type="first" r:id="rId15"/>
          <w:pgSz w:w="12240" w:h="15840" w:code="1"/>
          <w:pgMar w:top="1440" w:right="1440" w:bottom="1440" w:left="1440" w:header="720" w:footer="720" w:gutter="0"/>
          <w:pgNumType w:start="1"/>
          <w:cols w:space="720"/>
          <w:docGrid w:linePitch="326"/>
        </w:sectPr>
      </w:pPr>
      <w:r>
        <w:t xml:space="preserve"> </w:t>
      </w:r>
    </w:p>
    <w:p w14:paraId="36EC2012" w14:textId="2096E8B7" w:rsidR="00D944C4" w:rsidRDefault="00D944C4" w:rsidP="001F1CDC">
      <w:pPr>
        <w:pStyle w:val="af7"/>
      </w:pPr>
      <w:bookmarkStart w:id="104" w:name="_Ref512934950"/>
      <w:bookmarkStart w:id="105" w:name="_Toc111917475"/>
      <w:r w:rsidRPr="002154C3">
        <w:lastRenderedPageBreak/>
        <w:t>Table </w:t>
      </w:r>
      <w:r w:rsidRPr="002154C3">
        <w:rPr>
          <w:color w:val="2B579A"/>
          <w:shd w:val="clear" w:color="auto" w:fill="E6E6E6"/>
        </w:rPr>
        <w:fldChar w:fldCharType="begin"/>
      </w:r>
      <w:r w:rsidRPr="002154C3">
        <w:instrText>SEQ Table \* ARABIC</w:instrText>
      </w:r>
      <w:r w:rsidRPr="002154C3">
        <w:rPr>
          <w:color w:val="2B579A"/>
          <w:shd w:val="clear" w:color="auto" w:fill="E6E6E6"/>
        </w:rPr>
        <w:fldChar w:fldCharType="separate"/>
      </w:r>
      <w:r w:rsidR="00886F53">
        <w:rPr>
          <w:noProof/>
        </w:rPr>
        <w:t>1</w:t>
      </w:r>
      <w:r w:rsidRPr="002154C3">
        <w:rPr>
          <w:color w:val="2B579A"/>
          <w:shd w:val="clear" w:color="auto" w:fill="E6E6E6"/>
        </w:rPr>
        <w:fldChar w:fldCharType="end"/>
      </w:r>
      <w:bookmarkEnd w:id="104"/>
      <w:r w:rsidRPr="002154C3">
        <w:t>.</w:t>
      </w:r>
      <w:r w:rsidR="007473A2">
        <w:t xml:space="preserve">  </w:t>
      </w:r>
      <w:r w:rsidRPr="002154C3">
        <w:t>Schedule of Assessments</w:t>
      </w:r>
      <w:bookmarkEnd w:id="105"/>
    </w:p>
    <w:tbl>
      <w:tblPr>
        <w:tblW w:w="0" w:type="auto"/>
        <w:jc w:val="center"/>
        <w:tblLook w:val="04A0" w:firstRow="1" w:lastRow="0" w:firstColumn="1" w:lastColumn="0" w:noHBand="0" w:noVBand="1"/>
      </w:tblPr>
      <w:tblGrid>
        <w:gridCol w:w="400"/>
        <w:gridCol w:w="1713"/>
        <w:gridCol w:w="1004"/>
        <w:gridCol w:w="871"/>
        <w:gridCol w:w="1299"/>
        <w:gridCol w:w="1249"/>
        <w:gridCol w:w="955"/>
        <w:gridCol w:w="754"/>
        <w:gridCol w:w="326"/>
        <w:gridCol w:w="326"/>
        <w:gridCol w:w="458"/>
        <w:gridCol w:w="458"/>
        <w:gridCol w:w="458"/>
        <w:gridCol w:w="458"/>
        <w:gridCol w:w="458"/>
        <w:gridCol w:w="534"/>
        <w:gridCol w:w="534"/>
        <w:gridCol w:w="695"/>
      </w:tblGrid>
      <w:tr w:rsidR="00A22386" w:rsidRPr="004322E6" w14:paraId="6EFBC0C9" w14:textId="77777777" w:rsidTr="00320E74">
        <w:trPr>
          <w:trHeight w:val="480"/>
          <w:tblHeader/>
          <w:jc w:val="center"/>
        </w:trPr>
        <w:tc>
          <w:tcPr>
            <w:tcW w:w="0" w:type="auto"/>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210C23C" w14:textId="77777777" w:rsidR="006528AA" w:rsidRPr="004322E6" w:rsidRDefault="006528AA" w:rsidP="00320E74">
            <w:pPr>
              <w:tabs>
                <w:tab w:val="left" w:pos="631"/>
                <w:tab w:val="center" w:pos="1596"/>
              </w:tabs>
              <w:spacing w:after="0" w:line="240" w:lineRule="auto"/>
              <w:contextualSpacing/>
              <w:textAlignment w:val="center"/>
              <w:rPr>
                <w:b/>
                <w:bCs/>
                <w:color w:val="000000"/>
                <w:sz w:val="20"/>
                <w:szCs w:val="20"/>
              </w:rPr>
            </w:pPr>
            <w:r w:rsidRPr="004322E6">
              <w:rPr>
                <w:b/>
                <w:bCs/>
                <w:color w:val="000000"/>
                <w:sz w:val="20"/>
                <w:szCs w:val="20"/>
                <w:lang w:bidi="ar"/>
              </w:rPr>
              <w:t>Visits</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7F87501" w14:textId="77777777" w:rsidR="006528AA" w:rsidRPr="004322E6" w:rsidRDefault="006528AA" w:rsidP="00320E74">
            <w:pPr>
              <w:spacing w:after="0" w:line="240" w:lineRule="auto"/>
              <w:contextualSpacing/>
              <w:jc w:val="center"/>
              <w:textAlignment w:val="center"/>
              <w:rPr>
                <w:b/>
                <w:bCs/>
                <w:color w:val="000000"/>
                <w:sz w:val="20"/>
                <w:szCs w:val="20"/>
              </w:rPr>
            </w:pPr>
            <w:r w:rsidRPr="004322E6">
              <w:rPr>
                <w:b/>
                <w:bCs/>
                <w:color w:val="000000"/>
                <w:sz w:val="20"/>
                <w:szCs w:val="20"/>
                <w:lang w:bidi="ar"/>
              </w:rPr>
              <w:t>Screening and Enrollment</w:t>
            </w:r>
            <w:r w:rsidRPr="004322E6">
              <w:rPr>
                <w:rStyle w:val="font41"/>
                <w:b/>
                <w:bCs/>
                <w:sz w:val="20"/>
                <w:szCs w:val="20"/>
                <w:lang w:bidi="ar"/>
              </w:rPr>
              <w:t>1</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1AD6EEB" w14:textId="77777777" w:rsidR="006528AA" w:rsidRPr="004322E6" w:rsidRDefault="006528AA" w:rsidP="00320E74">
            <w:pPr>
              <w:spacing w:after="0" w:line="240" w:lineRule="auto"/>
              <w:contextualSpacing/>
              <w:jc w:val="center"/>
              <w:textAlignment w:val="center"/>
              <w:rPr>
                <w:b/>
                <w:bCs/>
                <w:color w:val="000000"/>
                <w:sz w:val="20"/>
                <w:szCs w:val="20"/>
              </w:rPr>
            </w:pPr>
            <w:r w:rsidRPr="004322E6">
              <w:rPr>
                <w:b/>
                <w:bCs/>
                <w:color w:val="000000"/>
                <w:sz w:val="20"/>
                <w:szCs w:val="20"/>
                <w:lang w:bidi="ar"/>
              </w:rPr>
              <w:t xml:space="preserve">PBMC Collection </w:t>
            </w:r>
            <w:r w:rsidRPr="004322E6">
              <w:rPr>
                <w:rStyle w:val="font41"/>
                <w:b/>
                <w:bCs/>
                <w:sz w:val="20"/>
                <w:szCs w:val="20"/>
                <w:lang w:bidi="ar"/>
              </w:rPr>
              <w:t>2</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585191E" w14:textId="77777777" w:rsidR="006528AA" w:rsidRPr="004322E6" w:rsidRDefault="006528AA" w:rsidP="00320E74">
            <w:pPr>
              <w:spacing w:after="0" w:line="240" w:lineRule="auto"/>
              <w:contextualSpacing/>
              <w:jc w:val="center"/>
              <w:textAlignment w:val="center"/>
              <w:rPr>
                <w:b/>
                <w:bCs/>
                <w:color w:val="000000"/>
                <w:sz w:val="20"/>
                <w:szCs w:val="20"/>
              </w:rPr>
            </w:pPr>
            <w:r w:rsidRPr="004322E6">
              <w:rPr>
                <w:b/>
                <w:bCs/>
                <w:color w:val="000000"/>
                <w:sz w:val="20"/>
                <w:szCs w:val="20"/>
                <w:lang w:bidi="ar"/>
              </w:rPr>
              <w:t xml:space="preserve">Baseline Examination </w:t>
            </w:r>
            <w:r w:rsidRPr="004322E6">
              <w:rPr>
                <w:rStyle w:val="font41"/>
                <w:b/>
                <w:bCs/>
                <w:sz w:val="20"/>
                <w:szCs w:val="20"/>
                <w:lang w:bidi="ar"/>
              </w:rPr>
              <w:t>3</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E217561" w14:textId="77777777" w:rsidR="006528AA" w:rsidRPr="004322E6" w:rsidRDefault="006528AA" w:rsidP="00320E74">
            <w:pPr>
              <w:spacing w:after="0" w:line="240" w:lineRule="auto"/>
              <w:contextualSpacing/>
              <w:jc w:val="center"/>
              <w:textAlignment w:val="center"/>
              <w:rPr>
                <w:b/>
                <w:bCs/>
                <w:color w:val="000000"/>
                <w:sz w:val="20"/>
                <w:szCs w:val="20"/>
              </w:rPr>
            </w:pPr>
            <w:r w:rsidRPr="004322E6">
              <w:rPr>
                <w:b/>
                <w:bCs/>
                <w:color w:val="000000"/>
                <w:sz w:val="20"/>
                <w:szCs w:val="20"/>
                <w:lang w:bidi="ar"/>
              </w:rPr>
              <w:t xml:space="preserve">Preconditioning of lymphocyte clearance </w:t>
            </w:r>
            <w:r w:rsidRPr="004322E6">
              <w:rPr>
                <w:rStyle w:val="font41"/>
                <w:b/>
                <w:bCs/>
                <w:sz w:val="20"/>
                <w:szCs w:val="20"/>
                <w:lang w:bidi="ar"/>
              </w:rPr>
              <w:t>3</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4A0F025" w14:textId="77777777" w:rsidR="006528AA" w:rsidRPr="004322E6" w:rsidRDefault="006528AA" w:rsidP="00320E74">
            <w:pPr>
              <w:spacing w:after="0" w:line="240" w:lineRule="auto"/>
              <w:contextualSpacing/>
              <w:jc w:val="center"/>
              <w:textAlignment w:val="center"/>
              <w:rPr>
                <w:b/>
                <w:bCs/>
                <w:color w:val="000000"/>
                <w:sz w:val="20"/>
                <w:szCs w:val="20"/>
              </w:rPr>
            </w:pPr>
            <w:r w:rsidRPr="004322E6">
              <w:rPr>
                <w:b/>
                <w:bCs/>
                <w:color w:val="000000"/>
                <w:sz w:val="20"/>
                <w:szCs w:val="20"/>
                <w:lang w:bidi="ar"/>
              </w:rPr>
              <w:t>Rest Assessment</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D29701D" w14:textId="77777777" w:rsidR="006528AA" w:rsidRPr="004322E6" w:rsidRDefault="006528AA" w:rsidP="00320E74">
            <w:pPr>
              <w:spacing w:after="0" w:line="240" w:lineRule="auto"/>
              <w:contextualSpacing/>
              <w:jc w:val="center"/>
              <w:textAlignment w:val="center"/>
              <w:rPr>
                <w:b/>
                <w:bCs/>
                <w:color w:val="000000"/>
                <w:sz w:val="20"/>
                <w:szCs w:val="20"/>
              </w:rPr>
            </w:pPr>
            <w:r w:rsidRPr="004322E6">
              <w:rPr>
                <w:b/>
                <w:bCs/>
                <w:color w:val="000000"/>
                <w:sz w:val="20"/>
                <w:szCs w:val="20"/>
                <w:lang w:bidi="ar"/>
              </w:rPr>
              <w:t xml:space="preserve">Cells Infusion </w:t>
            </w:r>
            <w:r w:rsidRPr="004322E6">
              <w:rPr>
                <w:rStyle w:val="font41"/>
                <w:b/>
                <w:bCs/>
                <w:sz w:val="20"/>
                <w:szCs w:val="20"/>
                <w:lang w:bidi="ar"/>
              </w:rPr>
              <w:t>4</w:t>
            </w:r>
          </w:p>
        </w:tc>
        <w:tc>
          <w:tcPr>
            <w:tcW w:w="0" w:type="auto"/>
            <w:gridSpan w:val="10"/>
            <w:tcBorders>
              <w:top w:val="single" w:sz="4" w:space="0" w:color="000000"/>
              <w:left w:val="single" w:sz="4" w:space="0" w:color="000000"/>
              <w:bottom w:val="single" w:sz="4" w:space="0" w:color="000000"/>
              <w:right w:val="single" w:sz="4" w:space="0" w:color="000000"/>
            </w:tcBorders>
            <w:shd w:val="clear" w:color="auto" w:fill="auto"/>
            <w:vAlign w:val="center"/>
          </w:tcPr>
          <w:p w14:paraId="39BEFCF9" w14:textId="77777777" w:rsidR="006528AA" w:rsidRPr="004322E6" w:rsidRDefault="006528AA" w:rsidP="00320E74">
            <w:pPr>
              <w:spacing w:after="0" w:line="240" w:lineRule="auto"/>
              <w:contextualSpacing/>
              <w:jc w:val="center"/>
              <w:textAlignment w:val="center"/>
              <w:rPr>
                <w:b/>
                <w:bCs/>
                <w:color w:val="000000"/>
                <w:sz w:val="20"/>
                <w:szCs w:val="20"/>
              </w:rPr>
            </w:pPr>
            <w:r w:rsidRPr="004322E6">
              <w:rPr>
                <w:b/>
                <w:bCs/>
                <w:color w:val="000000"/>
                <w:sz w:val="20"/>
                <w:szCs w:val="20"/>
                <w:lang w:bidi="ar"/>
              </w:rPr>
              <w:t xml:space="preserve">Main Follow-up Period </w:t>
            </w:r>
            <w:r w:rsidRPr="004322E6">
              <w:rPr>
                <w:rStyle w:val="font41"/>
                <w:b/>
                <w:bCs/>
                <w:sz w:val="20"/>
                <w:szCs w:val="20"/>
                <w:lang w:bidi="ar"/>
              </w:rPr>
              <w:t>5</w:t>
            </w:r>
          </w:p>
        </w:tc>
      </w:tr>
      <w:tr w:rsidR="00A22386" w:rsidRPr="004322E6" w14:paraId="01D9AC78" w14:textId="77777777" w:rsidTr="00320E74">
        <w:trPr>
          <w:trHeight w:val="300"/>
          <w:tblHeader/>
          <w:jc w:val="center"/>
        </w:trPr>
        <w:tc>
          <w:tcPr>
            <w:tcW w:w="0" w:type="auto"/>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4B1FC12D" w14:textId="77777777" w:rsidR="006528AA" w:rsidRPr="004322E6" w:rsidRDefault="006528AA" w:rsidP="00320E74">
            <w:pPr>
              <w:spacing w:after="0" w:line="240" w:lineRule="auto"/>
              <w:contextualSpacing/>
              <w:rPr>
                <w:b/>
                <w:bCs/>
                <w:color w:val="000000"/>
                <w:sz w:val="20"/>
                <w:szCs w:val="20"/>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tcPr>
          <w:p w14:paraId="1C42B364" w14:textId="77777777" w:rsidR="006528AA" w:rsidRPr="004322E6" w:rsidRDefault="006528AA" w:rsidP="00320E74">
            <w:pPr>
              <w:spacing w:after="0" w:line="240" w:lineRule="auto"/>
              <w:contextualSpacing/>
              <w:jc w:val="center"/>
              <w:rPr>
                <w:b/>
                <w:bCs/>
                <w:color w:val="000000"/>
                <w:sz w:val="20"/>
                <w:szCs w:val="20"/>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tcPr>
          <w:p w14:paraId="45E8C737" w14:textId="77777777" w:rsidR="006528AA" w:rsidRPr="004322E6" w:rsidRDefault="006528AA" w:rsidP="00320E74">
            <w:pPr>
              <w:spacing w:after="0" w:line="240" w:lineRule="auto"/>
              <w:contextualSpacing/>
              <w:jc w:val="center"/>
              <w:rPr>
                <w:b/>
                <w:bCs/>
                <w:color w:val="000000"/>
                <w:sz w:val="20"/>
                <w:szCs w:val="20"/>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tcPr>
          <w:p w14:paraId="0E2F5230" w14:textId="77777777" w:rsidR="006528AA" w:rsidRPr="004322E6" w:rsidRDefault="006528AA" w:rsidP="00320E74">
            <w:pPr>
              <w:spacing w:after="0" w:line="240" w:lineRule="auto"/>
              <w:contextualSpacing/>
              <w:jc w:val="center"/>
              <w:rPr>
                <w:b/>
                <w:bCs/>
                <w:color w:val="000000"/>
                <w:sz w:val="20"/>
                <w:szCs w:val="20"/>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tcPr>
          <w:p w14:paraId="4870C0AC" w14:textId="77777777" w:rsidR="006528AA" w:rsidRPr="004322E6" w:rsidRDefault="006528AA" w:rsidP="00320E74">
            <w:pPr>
              <w:spacing w:after="0" w:line="240" w:lineRule="auto"/>
              <w:contextualSpacing/>
              <w:jc w:val="center"/>
              <w:rPr>
                <w:b/>
                <w:bCs/>
                <w:color w:val="000000"/>
                <w:sz w:val="20"/>
                <w:szCs w:val="20"/>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tcPr>
          <w:p w14:paraId="289C5A08" w14:textId="77777777" w:rsidR="006528AA" w:rsidRPr="004322E6" w:rsidRDefault="006528AA" w:rsidP="00320E74">
            <w:pPr>
              <w:spacing w:after="0" w:line="240" w:lineRule="auto"/>
              <w:contextualSpacing/>
              <w:jc w:val="center"/>
              <w:rPr>
                <w:b/>
                <w:bCs/>
                <w:color w:val="000000"/>
                <w:sz w:val="20"/>
                <w:szCs w:val="20"/>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tcPr>
          <w:p w14:paraId="1136ACB1" w14:textId="77777777" w:rsidR="006528AA" w:rsidRPr="004322E6" w:rsidRDefault="006528AA" w:rsidP="00320E74">
            <w:pPr>
              <w:spacing w:after="0" w:line="240" w:lineRule="auto"/>
              <w:contextualSpacing/>
              <w:jc w:val="center"/>
              <w:rPr>
                <w:b/>
                <w:bCs/>
                <w:color w:val="000000"/>
                <w:sz w:val="20"/>
                <w:szCs w:val="20"/>
              </w:rPr>
            </w:pPr>
          </w:p>
        </w:tc>
        <w:tc>
          <w:tcPr>
            <w:tcW w:w="0" w:type="auto"/>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798BB639" w14:textId="77777777" w:rsidR="006528AA" w:rsidRPr="004322E6" w:rsidRDefault="006528AA" w:rsidP="00320E74">
            <w:pPr>
              <w:spacing w:after="0" w:line="240" w:lineRule="auto"/>
              <w:contextualSpacing/>
              <w:jc w:val="center"/>
              <w:textAlignment w:val="center"/>
              <w:rPr>
                <w:b/>
                <w:bCs/>
                <w:color w:val="000000"/>
                <w:sz w:val="20"/>
                <w:szCs w:val="20"/>
              </w:rPr>
            </w:pPr>
            <w:r w:rsidRPr="004322E6">
              <w:rPr>
                <w:b/>
                <w:bCs/>
                <w:color w:val="000000"/>
                <w:sz w:val="20"/>
                <w:szCs w:val="20"/>
                <w:lang w:bidi="ar"/>
              </w:rPr>
              <w:t>Hospitalization Observation Period</w:t>
            </w:r>
          </w:p>
        </w:tc>
        <w:tc>
          <w:tcPr>
            <w:tcW w:w="0" w:type="auto"/>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7FDAA42F" w14:textId="77777777" w:rsidR="006528AA" w:rsidRPr="004322E6" w:rsidRDefault="006528AA" w:rsidP="00320E74">
            <w:pPr>
              <w:spacing w:after="0" w:line="240" w:lineRule="auto"/>
              <w:contextualSpacing/>
              <w:jc w:val="center"/>
              <w:rPr>
                <w:b/>
                <w:bCs/>
                <w:color w:val="000000"/>
                <w:sz w:val="20"/>
                <w:szCs w:val="20"/>
              </w:rPr>
            </w:pPr>
          </w:p>
        </w:tc>
      </w:tr>
      <w:tr w:rsidR="00A22386" w:rsidRPr="004322E6" w14:paraId="5784DE9A" w14:textId="77777777" w:rsidTr="00320E74">
        <w:trPr>
          <w:trHeight w:val="720"/>
          <w:tblHeader/>
          <w:jc w:val="center"/>
        </w:trPr>
        <w:tc>
          <w:tcPr>
            <w:tcW w:w="0" w:type="auto"/>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16BA21C8" w14:textId="77777777" w:rsidR="006528AA" w:rsidRPr="004322E6" w:rsidRDefault="006528AA" w:rsidP="00320E74">
            <w:pPr>
              <w:spacing w:after="0" w:line="240" w:lineRule="auto"/>
              <w:contextualSpacing/>
              <w:rPr>
                <w:b/>
                <w:bCs/>
                <w:color w:val="00000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AEB33F" w14:textId="2C864EF7" w:rsidR="006528AA" w:rsidRPr="004322E6" w:rsidRDefault="00A22386" w:rsidP="00320E74">
            <w:pPr>
              <w:spacing w:after="0" w:line="240" w:lineRule="auto"/>
              <w:contextualSpacing/>
              <w:jc w:val="center"/>
              <w:textAlignment w:val="center"/>
              <w:rPr>
                <w:b/>
                <w:bCs/>
                <w:color w:val="000000"/>
                <w:sz w:val="20"/>
                <w:szCs w:val="20"/>
              </w:rPr>
            </w:pPr>
            <w:r>
              <w:rPr>
                <w:b/>
                <w:bCs/>
                <w:color w:val="000000"/>
                <w:sz w:val="20"/>
                <w:szCs w:val="20"/>
                <w:lang w:bidi="ar"/>
              </w:rPr>
              <w:t xml:space="preserve">Day </w:t>
            </w:r>
            <w:r w:rsidR="006528AA" w:rsidRPr="004322E6">
              <w:rPr>
                <w:b/>
                <w:bCs/>
                <w:color w:val="000000"/>
                <w:sz w:val="20"/>
                <w:szCs w:val="20"/>
                <w:lang w:bidi="ar"/>
              </w:rPr>
              <w:t>-</w:t>
            </w:r>
            <w:r>
              <w:rPr>
                <w:b/>
                <w:bCs/>
                <w:color w:val="000000"/>
                <w:sz w:val="20"/>
                <w:szCs w:val="20"/>
                <w:lang w:bidi="ar"/>
              </w:rPr>
              <w:t>56</w:t>
            </w:r>
            <w:r w:rsidR="006528AA" w:rsidRPr="004322E6">
              <w:rPr>
                <w:b/>
                <w:bCs/>
                <w:color w:val="000000"/>
                <w:sz w:val="20"/>
                <w:szCs w:val="20"/>
                <w:lang w:bidi="ar"/>
              </w:rPr>
              <w:t>~</w:t>
            </w:r>
            <w:r>
              <w:rPr>
                <w:b/>
                <w:bCs/>
                <w:color w:val="000000"/>
                <w:sz w:val="20"/>
                <w:szCs w:val="20"/>
                <w:lang w:bidi="ar"/>
              </w:rPr>
              <w:t xml:space="preserve"> </w:t>
            </w:r>
            <w:r w:rsidR="006528AA" w:rsidRPr="004322E6">
              <w:rPr>
                <w:b/>
                <w:bCs/>
                <w:color w:val="000000"/>
                <w:sz w:val="20"/>
                <w:szCs w:val="20"/>
                <w:lang w:bidi="ar"/>
              </w:rPr>
              <w:t>-18</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321F7492" w14:textId="77777777" w:rsidR="006528AA" w:rsidRPr="004322E6" w:rsidRDefault="006528AA" w:rsidP="00320E74">
            <w:pPr>
              <w:spacing w:after="0" w:line="240" w:lineRule="auto"/>
              <w:contextualSpacing/>
              <w:jc w:val="center"/>
              <w:textAlignment w:val="center"/>
              <w:rPr>
                <w:b/>
                <w:bCs/>
                <w:color w:val="000000"/>
                <w:sz w:val="20"/>
                <w:szCs w:val="20"/>
              </w:rPr>
            </w:pPr>
            <w:r w:rsidRPr="004322E6">
              <w:rPr>
                <w:b/>
                <w:bCs/>
                <w:color w:val="000000"/>
                <w:sz w:val="20"/>
                <w:szCs w:val="20"/>
                <w:lang w:bidi="ar"/>
              </w:rPr>
              <w:t>Examination within 7 days prior to lymphodepletion</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7BC7C21A" w14:textId="15503662" w:rsidR="006528AA" w:rsidRPr="004322E6" w:rsidRDefault="00A22386" w:rsidP="00320E74">
            <w:pPr>
              <w:spacing w:after="0" w:line="240" w:lineRule="auto"/>
              <w:contextualSpacing/>
              <w:jc w:val="center"/>
              <w:textAlignment w:val="center"/>
              <w:rPr>
                <w:b/>
                <w:bCs/>
                <w:color w:val="000000"/>
                <w:sz w:val="20"/>
                <w:szCs w:val="20"/>
              </w:rPr>
            </w:pPr>
            <w:r>
              <w:rPr>
                <w:b/>
                <w:bCs/>
                <w:color w:val="000000"/>
                <w:sz w:val="20"/>
                <w:szCs w:val="20"/>
                <w:lang w:bidi="ar"/>
              </w:rPr>
              <w:t xml:space="preserve">Day </w:t>
            </w:r>
            <w:r w:rsidR="006528AA" w:rsidRPr="004322E6">
              <w:rPr>
                <w:b/>
                <w:bCs/>
                <w:color w:val="000000"/>
                <w:sz w:val="20"/>
                <w:szCs w:val="20"/>
                <w:lang w:bidi="ar"/>
              </w:rPr>
              <w:t>-7~</w:t>
            </w:r>
            <w:r>
              <w:rPr>
                <w:b/>
                <w:bCs/>
                <w:color w:val="000000"/>
                <w:sz w:val="20"/>
                <w:szCs w:val="20"/>
                <w:lang w:bidi="ar"/>
              </w:rPr>
              <w:t xml:space="preserve"> </w:t>
            </w:r>
            <w:r w:rsidR="006528AA" w:rsidRPr="004322E6">
              <w:rPr>
                <w:b/>
                <w:bCs/>
                <w:color w:val="000000"/>
                <w:sz w:val="20"/>
                <w:szCs w:val="20"/>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396E6112" w14:textId="236A7207" w:rsidR="006528AA" w:rsidRPr="004322E6" w:rsidRDefault="00A22386" w:rsidP="00320E74">
            <w:pPr>
              <w:spacing w:after="0" w:line="240" w:lineRule="auto"/>
              <w:contextualSpacing/>
              <w:jc w:val="center"/>
              <w:textAlignment w:val="center"/>
              <w:rPr>
                <w:b/>
                <w:bCs/>
                <w:color w:val="000000"/>
                <w:sz w:val="20"/>
                <w:szCs w:val="20"/>
              </w:rPr>
            </w:pPr>
            <w:r>
              <w:rPr>
                <w:b/>
                <w:bCs/>
                <w:color w:val="000000"/>
                <w:sz w:val="20"/>
                <w:szCs w:val="20"/>
                <w:lang w:bidi="ar"/>
              </w:rPr>
              <w:t xml:space="preserve">Day </w:t>
            </w:r>
            <w:r w:rsidR="006528AA" w:rsidRPr="004322E6">
              <w:rPr>
                <w:b/>
                <w:bCs/>
                <w:color w:val="000000"/>
                <w:sz w:val="20"/>
                <w:szCs w:val="20"/>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5A8ED2AB" w14:textId="2A8F3E0D" w:rsidR="006528AA" w:rsidRPr="004322E6" w:rsidRDefault="00A22386" w:rsidP="00320E74">
            <w:pPr>
              <w:spacing w:after="0" w:line="240" w:lineRule="auto"/>
              <w:contextualSpacing/>
              <w:jc w:val="center"/>
              <w:textAlignment w:val="center"/>
              <w:rPr>
                <w:b/>
                <w:bCs/>
                <w:color w:val="000000"/>
                <w:sz w:val="20"/>
                <w:szCs w:val="20"/>
              </w:rPr>
            </w:pPr>
            <w:r>
              <w:rPr>
                <w:b/>
                <w:bCs/>
                <w:color w:val="000000"/>
                <w:sz w:val="20"/>
                <w:szCs w:val="20"/>
                <w:lang w:bidi="ar"/>
              </w:rPr>
              <w:t>Day 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6FB81EDA" w14:textId="4434AE73" w:rsidR="00A22386" w:rsidRDefault="00A22386" w:rsidP="00A22386">
            <w:pPr>
              <w:spacing w:after="0" w:line="240" w:lineRule="auto"/>
              <w:contextualSpacing/>
              <w:jc w:val="center"/>
              <w:textAlignment w:val="center"/>
              <w:rPr>
                <w:b/>
                <w:bCs/>
                <w:color w:val="000000"/>
                <w:sz w:val="20"/>
                <w:szCs w:val="20"/>
                <w:lang w:bidi="ar"/>
              </w:rPr>
            </w:pPr>
            <w:r>
              <w:rPr>
                <w:b/>
                <w:bCs/>
                <w:color w:val="000000"/>
                <w:sz w:val="20"/>
                <w:szCs w:val="20"/>
                <w:lang w:bidi="ar"/>
              </w:rPr>
              <w:t>D</w:t>
            </w:r>
          </w:p>
          <w:p w14:paraId="3434CFE0" w14:textId="7039AD3E" w:rsidR="006528AA" w:rsidRPr="004322E6" w:rsidRDefault="00A22386" w:rsidP="00A22386">
            <w:pPr>
              <w:spacing w:after="0" w:line="240" w:lineRule="auto"/>
              <w:contextualSpacing/>
              <w:jc w:val="center"/>
              <w:textAlignment w:val="center"/>
              <w:rPr>
                <w:b/>
                <w:bCs/>
                <w:color w:val="000000"/>
                <w:sz w:val="20"/>
                <w:szCs w:val="20"/>
                <w:lang w:bidi="ar"/>
              </w:rPr>
            </w:pPr>
            <w:r>
              <w:rPr>
                <w:b/>
                <w:bCs/>
                <w:color w:val="000000"/>
                <w:sz w:val="20"/>
                <w:szCs w:val="20"/>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4181BE81" w14:textId="77777777" w:rsidR="00A22386" w:rsidRDefault="00A22386" w:rsidP="00320E74">
            <w:pPr>
              <w:spacing w:after="0" w:line="240" w:lineRule="auto"/>
              <w:contextualSpacing/>
              <w:jc w:val="center"/>
              <w:textAlignment w:val="center"/>
              <w:rPr>
                <w:b/>
                <w:bCs/>
                <w:color w:val="000000"/>
                <w:sz w:val="20"/>
                <w:szCs w:val="20"/>
                <w:lang w:bidi="ar"/>
              </w:rPr>
            </w:pPr>
            <w:r>
              <w:rPr>
                <w:b/>
                <w:bCs/>
                <w:color w:val="000000"/>
                <w:sz w:val="20"/>
                <w:szCs w:val="20"/>
                <w:lang w:bidi="ar"/>
              </w:rPr>
              <w:t>D</w:t>
            </w:r>
          </w:p>
          <w:p w14:paraId="69179179" w14:textId="56DB9999" w:rsidR="006528AA" w:rsidRPr="004322E6" w:rsidRDefault="006528AA" w:rsidP="00320E74">
            <w:pPr>
              <w:spacing w:after="0" w:line="240" w:lineRule="auto"/>
              <w:contextualSpacing/>
              <w:jc w:val="center"/>
              <w:textAlignment w:val="center"/>
              <w:rPr>
                <w:b/>
                <w:bCs/>
                <w:color w:val="000000"/>
                <w:sz w:val="20"/>
                <w:szCs w:val="20"/>
              </w:rPr>
            </w:pPr>
            <w:r w:rsidRPr="004322E6">
              <w:rPr>
                <w:b/>
                <w:bCs/>
                <w:color w:val="000000"/>
                <w:sz w:val="20"/>
                <w:szCs w:val="20"/>
                <w:lang w:bidi="ar"/>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3ECB3667" w14:textId="77777777" w:rsidR="00A22386" w:rsidRDefault="00A22386" w:rsidP="00320E74">
            <w:pPr>
              <w:spacing w:after="0" w:line="240" w:lineRule="auto"/>
              <w:contextualSpacing/>
              <w:jc w:val="center"/>
              <w:textAlignment w:val="center"/>
              <w:rPr>
                <w:b/>
                <w:bCs/>
                <w:color w:val="000000"/>
                <w:sz w:val="20"/>
                <w:szCs w:val="20"/>
                <w:lang w:bidi="ar"/>
              </w:rPr>
            </w:pPr>
            <w:r>
              <w:rPr>
                <w:b/>
                <w:bCs/>
                <w:color w:val="000000"/>
                <w:sz w:val="20"/>
                <w:szCs w:val="20"/>
                <w:lang w:bidi="ar"/>
              </w:rPr>
              <w:t>D</w:t>
            </w:r>
          </w:p>
          <w:p w14:paraId="4834CBA3" w14:textId="4A01F48D" w:rsidR="006528AA" w:rsidRPr="004322E6" w:rsidRDefault="006528AA" w:rsidP="00320E74">
            <w:pPr>
              <w:spacing w:after="0" w:line="240" w:lineRule="auto"/>
              <w:contextualSpacing/>
              <w:jc w:val="center"/>
              <w:textAlignment w:val="center"/>
              <w:rPr>
                <w:b/>
                <w:bCs/>
                <w:color w:val="000000"/>
                <w:sz w:val="20"/>
                <w:szCs w:val="20"/>
              </w:rPr>
            </w:pPr>
            <w:r w:rsidRPr="004322E6">
              <w:rPr>
                <w:b/>
                <w:bCs/>
                <w:color w:val="000000"/>
                <w:sz w:val="20"/>
                <w:szCs w:val="20"/>
                <w:lang w:bidi="ar"/>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451518B8" w14:textId="441F379B" w:rsidR="00A22386" w:rsidRDefault="00A22386" w:rsidP="00320E74">
            <w:pPr>
              <w:spacing w:after="0" w:line="240" w:lineRule="auto"/>
              <w:contextualSpacing/>
              <w:jc w:val="center"/>
              <w:textAlignment w:val="center"/>
              <w:rPr>
                <w:b/>
                <w:bCs/>
                <w:color w:val="000000"/>
                <w:sz w:val="20"/>
                <w:szCs w:val="20"/>
                <w:lang w:eastAsia="zh-CN" w:bidi="ar"/>
              </w:rPr>
            </w:pPr>
            <w:r>
              <w:rPr>
                <w:rFonts w:hint="eastAsia"/>
                <w:b/>
                <w:bCs/>
                <w:color w:val="000000"/>
                <w:sz w:val="20"/>
                <w:szCs w:val="20"/>
                <w:lang w:eastAsia="zh-CN" w:bidi="ar"/>
              </w:rPr>
              <w:t>D</w:t>
            </w:r>
          </w:p>
          <w:p w14:paraId="2C750FA5" w14:textId="02A6FC2F" w:rsidR="006528AA" w:rsidRPr="004322E6" w:rsidRDefault="006528AA" w:rsidP="00320E74">
            <w:pPr>
              <w:spacing w:after="0" w:line="240" w:lineRule="auto"/>
              <w:contextualSpacing/>
              <w:jc w:val="center"/>
              <w:textAlignment w:val="center"/>
              <w:rPr>
                <w:b/>
                <w:bCs/>
                <w:color w:val="000000"/>
                <w:sz w:val="20"/>
                <w:szCs w:val="20"/>
              </w:rPr>
            </w:pPr>
            <w:r w:rsidRPr="004322E6">
              <w:rPr>
                <w:b/>
                <w:bCs/>
                <w:color w:val="000000"/>
                <w:sz w:val="20"/>
                <w:szCs w:val="20"/>
                <w:lang w:bidi="ar"/>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3F3BD76D" w14:textId="77777777" w:rsidR="00A22386" w:rsidRDefault="00A22386" w:rsidP="00320E74">
            <w:pPr>
              <w:spacing w:after="0" w:line="240" w:lineRule="auto"/>
              <w:contextualSpacing/>
              <w:jc w:val="center"/>
              <w:textAlignment w:val="center"/>
              <w:rPr>
                <w:b/>
                <w:bCs/>
                <w:color w:val="000000"/>
                <w:sz w:val="20"/>
                <w:szCs w:val="20"/>
                <w:lang w:bidi="ar"/>
              </w:rPr>
            </w:pPr>
            <w:r>
              <w:rPr>
                <w:b/>
                <w:bCs/>
                <w:color w:val="000000"/>
                <w:sz w:val="20"/>
                <w:szCs w:val="20"/>
                <w:lang w:bidi="ar"/>
              </w:rPr>
              <w:t>D</w:t>
            </w:r>
          </w:p>
          <w:p w14:paraId="21E60835" w14:textId="6FC2ADDB" w:rsidR="006528AA" w:rsidRPr="004322E6" w:rsidRDefault="006528AA" w:rsidP="00320E74">
            <w:pPr>
              <w:spacing w:after="0" w:line="240" w:lineRule="auto"/>
              <w:contextualSpacing/>
              <w:jc w:val="center"/>
              <w:textAlignment w:val="center"/>
              <w:rPr>
                <w:b/>
                <w:bCs/>
                <w:color w:val="000000"/>
                <w:sz w:val="20"/>
                <w:szCs w:val="20"/>
              </w:rPr>
            </w:pPr>
            <w:r w:rsidRPr="004322E6">
              <w:rPr>
                <w:b/>
                <w:bCs/>
                <w:color w:val="000000"/>
                <w:sz w:val="20"/>
                <w:szCs w:val="20"/>
                <w:lang w:bidi="ar"/>
              </w:rPr>
              <w:t>14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10FF466A" w14:textId="77777777" w:rsidR="00A22386" w:rsidRDefault="00A22386" w:rsidP="00320E74">
            <w:pPr>
              <w:spacing w:after="0" w:line="240" w:lineRule="auto"/>
              <w:contextualSpacing/>
              <w:jc w:val="center"/>
              <w:textAlignment w:val="center"/>
              <w:rPr>
                <w:b/>
                <w:bCs/>
                <w:color w:val="000000"/>
                <w:sz w:val="20"/>
                <w:szCs w:val="20"/>
                <w:lang w:bidi="ar"/>
              </w:rPr>
            </w:pPr>
            <w:r>
              <w:rPr>
                <w:b/>
                <w:bCs/>
                <w:color w:val="000000"/>
                <w:sz w:val="20"/>
                <w:szCs w:val="20"/>
                <w:lang w:bidi="ar"/>
              </w:rPr>
              <w:t>D</w:t>
            </w:r>
          </w:p>
          <w:p w14:paraId="10D595E0" w14:textId="69F9FCBE" w:rsidR="006528AA" w:rsidRPr="004322E6" w:rsidRDefault="006528AA" w:rsidP="00320E74">
            <w:pPr>
              <w:spacing w:after="0" w:line="240" w:lineRule="auto"/>
              <w:contextualSpacing/>
              <w:jc w:val="center"/>
              <w:textAlignment w:val="center"/>
              <w:rPr>
                <w:b/>
                <w:bCs/>
                <w:color w:val="000000"/>
                <w:sz w:val="20"/>
                <w:szCs w:val="20"/>
              </w:rPr>
            </w:pPr>
            <w:r w:rsidRPr="004322E6">
              <w:rPr>
                <w:b/>
                <w:bCs/>
                <w:color w:val="000000"/>
                <w:sz w:val="20"/>
                <w:szCs w:val="20"/>
                <w:lang w:bidi="ar"/>
              </w:rPr>
              <w:t>21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7A717BAD" w14:textId="77777777" w:rsidR="00A22386" w:rsidRDefault="00A22386" w:rsidP="00320E74">
            <w:pPr>
              <w:spacing w:after="0" w:line="240" w:lineRule="auto"/>
              <w:contextualSpacing/>
              <w:jc w:val="center"/>
              <w:textAlignment w:val="center"/>
              <w:rPr>
                <w:b/>
                <w:bCs/>
                <w:color w:val="000000"/>
                <w:sz w:val="20"/>
                <w:szCs w:val="20"/>
                <w:lang w:bidi="ar"/>
              </w:rPr>
            </w:pPr>
            <w:r>
              <w:rPr>
                <w:b/>
                <w:bCs/>
                <w:color w:val="000000"/>
                <w:sz w:val="20"/>
                <w:szCs w:val="20"/>
                <w:lang w:bidi="ar"/>
              </w:rPr>
              <w:t>D</w:t>
            </w:r>
          </w:p>
          <w:p w14:paraId="6CE363D3" w14:textId="1C52D01E" w:rsidR="006528AA" w:rsidRPr="004322E6" w:rsidRDefault="006528AA" w:rsidP="00320E74">
            <w:pPr>
              <w:spacing w:after="0" w:line="240" w:lineRule="auto"/>
              <w:contextualSpacing/>
              <w:jc w:val="center"/>
              <w:textAlignment w:val="center"/>
              <w:rPr>
                <w:b/>
                <w:bCs/>
                <w:color w:val="000000"/>
                <w:sz w:val="20"/>
                <w:szCs w:val="20"/>
              </w:rPr>
            </w:pPr>
            <w:r w:rsidRPr="004322E6">
              <w:rPr>
                <w:b/>
                <w:bCs/>
                <w:color w:val="000000"/>
                <w:sz w:val="20"/>
                <w:szCs w:val="20"/>
                <w:lang w:bidi="ar"/>
              </w:rPr>
              <w:t>28</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6A79915B" w14:textId="0C2EB9E5" w:rsidR="006528AA" w:rsidRPr="004322E6" w:rsidRDefault="00A22386" w:rsidP="00320E74">
            <w:pPr>
              <w:spacing w:after="0" w:line="240" w:lineRule="auto"/>
              <w:contextualSpacing/>
              <w:jc w:val="center"/>
              <w:textAlignment w:val="center"/>
              <w:rPr>
                <w:b/>
                <w:bCs/>
                <w:color w:val="000000"/>
                <w:sz w:val="20"/>
                <w:szCs w:val="20"/>
              </w:rPr>
            </w:pPr>
            <w:r>
              <w:rPr>
                <w:b/>
                <w:bCs/>
                <w:color w:val="000000"/>
                <w:sz w:val="20"/>
                <w:szCs w:val="20"/>
                <w:lang w:bidi="ar"/>
              </w:rPr>
              <w:t xml:space="preserve">D </w:t>
            </w:r>
            <w:r w:rsidR="006528AA" w:rsidRPr="004322E6">
              <w:rPr>
                <w:b/>
                <w:bCs/>
                <w:color w:val="000000"/>
                <w:sz w:val="20"/>
                <w:szCs w:val="20"/>
                <w:lang w:bidi="ar"/>
              </w:rPr>
              <w:t>60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2778B110" w14:textId="77777777" w:rsidR="00A22386" w:rsidRDefault="00A22386" w:rsidP="00320E74">
            <w:pPr>
              <w:spacing w:after="0" w:line="240" w:lineRule="auto"/>
              <w:contextualSpacing/>
              <w:jc w:val="center"/>
              <w:textAlignment w:val="center"/>
              <w:rPr>
                <w:b/>
                <w:bCs/>
                <w:color w:val="000000"/>
                <w:sz w:val="20"/>
                <w:szCs w:val="20"/>
                <w:lang w:bidi="ar"/>
              </w:rPr>
            </w:pPr>
            <w:r>
              <w:rPr>
                <w:b/>
                <w:bCs/>
                <w:color w:val="000000"/>
                <w:sz w:val="20"/>
                <w:szCs w:val="20"/>
                <w:lang w:bidi="ar"/>
              </w:rPr>
              <w:t>D</w:t>
            </w:r>
          </w:p>
          <w:p w14:paraId="54CA4C10" w14:textId="44464733" w:rsidR="006528AA" w:rsidRPr="004322E6" w:rsidRDefault="006528AA" w:rsidP="00320E74">
            <w:pPr>
              <w:spacing w:after="0" w:line="240" w:lineRule="auto"/>
              <w:contextualSpacing/>
              <w:jc w:val="center"/>
              <w:textAlignment w:val="center"/>
              <w:rPr>
                <w:b/>
                <w:bCs/>
                <w:color w:val="000000"/>
                <w:sz w:val="20"/>
                <w:szCs w:val="20"/>
              </w:rPr>
            </w:pPr>
            <w:r w:rsidRPr="004322E6">
              <w:rPr>
                <w:b/>
                <w:bCs/>
                <w:color w:val="000000"/>
                <w:sz w:val="20"/>
                <w:szCs w:val="20"/>
                <w:lang w:bidi="ar"/>
              </w:rPr>
              <w:t>90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6FD4F340" w14:textId="77777777" w:rsidR="006528AA" w:rsidRPr="004322E6" w:rsidRDefault="006528AA" w:rsidP="00320E74">
            <w:pPr>
              <w:spacing w:after="0" w:line="240" w:lineRule="auto"/>
              <w:contextualSpacing/>
              <w:jc w:val="center"/>
              <w:textAlignment w:val="center"/>
              <w:rPr>
                <w:b/>
                <w:bCs/>
                <w:color w:val="000000"/>
                <w:sz w:val="20"/>
                <w:szCs w:val="20"/>
              </w:rPr>
            </w:pPr>
            <w:r w:rsidRPr="004322E6">
              <w:rPr>
                <w:b/>
                <w:bCs/>
                <w:color w:val="000000"/>
                <w:sz w:val="20"/>
                <w:szCs w:val="20"/>
                <w:lang w:bidi="ar"/>
              </w:rPr>
              <w:t>Once/3 months</w:t>
            </w:r>
            <w:r>
              <w:rPr>
                <w:b/>
                <w:bCs/>
                <w:color w:val="000000"/>
                <w:sz w:val="20"/>
                <w:szCs w:val="20"/>
                <w:lang w:bidi="ar"/>
              </w:rPr>
              <w:t xml:space="preserve"> </w:t>
            </w:r>
            <w:r w:rsidRPr="004322E6">
              <w:rPr>
                <w:b/>
                <w:bCs/>
                <w:color w:val="000000"/>
                <w:sz w:val="20"/>
                <w:szCs w:val="20"/>
                <w:lang w:bidi="ar"/>
              </w:rPr>
              <w:t>(90 d)</w:t>
            </w:r>
          </w:p>
        </w:tc>
      </w:tr>
      <w:tr w:rsidR="00A22386" w:rsidRPr="007E4CC8" w14:paraId="5C456CCE" w14:textId="77777777" w:rsidTr="00320E74">
        <w:trPr>
          <w:trHeight w:val="315"/>
          <w:tblHeader/>
          <w:jc w:val="center"/>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F5C99A2" w14:textId="77777777" w:rsidR="006528AA" w:rsidRPr="004322E6" w:rsidRDefault="006528AA" w:rsidP="00320E74">
            <w:pPr>
              <w:spacing w:after="0" w:line="240" w:lineRule="auto"/>
              <w:contextualSpacing/>
              <w:textAlignment w:val="center"/>
              <w:rPr>
                <w:b/>
                <w:bCs/>
                <w:color w:val="000000"/>
                <w:sz w:val="20"/>
                <w:szCs w:val="20"/>
              </w:rPr>
            </w:pPr>
            <w:r w:rsidRPr="004322E6">
              <w:rPr>
                <w:b/>
                <w:bCs/>
                <w:color w:val="000000"/>
                <w:sz w:val="20"/>
                <w:szCs w:val="20"/>
                <w:lang w:bidi="ar"/>
              </w:rPr>
              <w:t>Window</w:t>
            </w:r>
          </w:p>
        </w:tc>
        <w:tc>
          <w:tcPr>
            <w:tcW w:w="0" w:type="auto"/>
            <w:tcBorders>
              <w:top w:val="nil"/>
              <w:left w:val="nil"/>
              <w:bottom w:val="single" w:sz="8" w:space="0" w:color="000000"/>
              <w:right w:val="single" w:sz="8" w:space="0" w:color="000000"/>
            </w:tcBorders>
            <w:shd w:val="clear" w:color="auto" w:fill="auto"/>
            <w:vAlign w:val="center"/>
          </w:tcPr>
          <w:p w14:paraId="3E7E8D9B"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180B3E2A"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025C9659"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tcPr>
          <w:p w14:paraId="35007394"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6D5EC4CA"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single" w:sz="8" w:space="0" w:color="000000"/>
              <w:left w:val="nil"/>
              <w:bottom w:val="single" w:sz="8" w:space="0" w:color="000000"/>
              <w:right w:val="single" w:sz="8" w:space="0" w:color="000000"/>
            </w:tcBorders>
            <w:shd w:val="clear" w:color="auto" w:fill="auto"/>
            <w:vAlign w:val="center"/>
          </w:tcPr>
          <w:p w14:paraId="67B069EC"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75DC7C57"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269B0E3E"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257E2516" w14:textId="77777777" w:rsidR="006528AA" w:rsidRPr="007E4CC8" w:rsidRDefault="006528AA" w:rsidP="00320E74">
            <w:pPr>
              <w:spacing w:after="0" w:line="240" w:lineRule="auto"/>
              <w:contextualSpacing/>
              <w:jc w:val="center"/>
              <w:rPr>
                <w:rFonts w:eastAsia="等线"/>
                <w:b/>
                <w:bCs/>
                <w:color w:val="000000"/>
                <w:sz w:val="20"/>
                <w:szCs w:val="20"/>
              </w:rPr>
            </w:pPr>
            <w:r w:rsidRPr="004322E6">
              <w:rPr>
                <w:b/>
                <w:bCs/>
                <w:color w:val="000000"/>
                <w:sz w:val="20"/>
                <w:szCs w:val="20"/>
              </w:rPr>
              <w:t>±1d</w:t>
            </w:r>
          </w:p>
        </w:tc>
        <w:tc>
          <w:tcPr>
            <w:tcW w:w="0" w:type="auto"/>
            <w:tcBorders>
              <w:top w:val="nil"/>
              <w:left w:val="nil"/>
              <w:bottom w:val="single" w:sz="8" w:space="0" w:color="000000"/>
              <w:right w:val="single" w:sz="8" w:space="0" w:color="000000"/>
            </w:tcBorders>
            <w:shd w:val="clear" w:color="auto" w:fill="auto"/>
            <w:vAlign w:val="center"/>
          </w:tcPr>
          <w:p w14:paraId="7361782F" w14:textId="77777777" w:rsidR="006528AA" w:rsidRPr="007E4CC8" w:rsidRDefault="006528AA" w:rsidP="00320E74">
            <w:pPr>
              <w:spacing w:after="0" w:line="240" w:lineRule="auto"/>
              <w:contextualSpacing/>
              <w:jc w:val="center"/>
              <w:rPr>
                <w:rFonts w:eastAsia="等线"/>
                <w:b/>
                <w:bCs/>
                <w:color w:val="000000"/>
                <w:sz w:val="20"/>
                <w:szCs w:val="20"/>
              </w:rPr>
            </w:pPr>
            <w:r w:rsidRPr="004322E6">
              <w:rPr>
                <w:b/>
                <w:bCs/>
                <w:color w:val="000000"/>
                <w:sz w:val="20"/>
                <w:szCs w:val="20"/>
              </w:rPr>
              <w:t>±1d</w:t>
            </w:r>
          </w:p>
        </w:tc>
        <w:tc>
          <w:tcPr>
            <w:tcW w:w="0" w:type="auto"/>
            <w:tcBorders>
              <w:top w:val="nil"/>
              <w:left w:val="nil"/>
              <w:bottom w:val="single" w:sz="8" w:space="0" w:color="000000"/>
              <w:right w:val="single" w:sz="8" w:space="0" w:color="000000"/>
            </w:tcBorders>
            <w:shd w:val="clear" w:color="auto" w:fill="auto"/>
            <w:vAlign w:val="center"/>
          </w:tcPr>
          <w:p w14:paraId="7D4C8FF1" w14:textId="77777777" w:rsidR="006528AA" w:rsidRPr="007E4CC8" w:rsidRDefault="006528AA" w:rsidP="00320E74">
            <w:pPr>
              <w:spacing w:after="0" w:line="240" w:lineRule="auto"/>
              <w:contextualSpacing/>
              <w:jc w:val="center"/>
              <w:rPr>
                <w:rFonts w:eastAsia="等线"/>
                <w:b/>
                <w:bCs/>
                <w:color w:val="000000"/>
                <w:sz w:val="20"/>
                <w:szCs w:val="20"/>
              </w:rPr>
            </w:pPr>
            <w:r w:rsidRPr="004322E6">
              <w:rPr>
                <w:b/>
                <w:bCs/>
                <w:color w:val="000000"/>
                <w:sz w:val="20"/>
                <w:szCs w:val="20"/>
              </w:rPr>
              <w:t>±1d</w:t>
            </w:r>
          </w:p>
        </w:tc>
        <w:tc>
          <w:tcPr>
            <w:tcW w:w="0" w:type="auto"/>
            <w:tcBorders>
              <w:top w:val="nil"/>
              <w:left w:val="nil"/>
              <w:bottom w:val="single" w:sz="8" w:space="0" w:color="000000"/>
              <w:right w:val="single" w:sz="8" w:space="0" w:color="000000"/>
            </w:tcBorders>
            <w:shd w:val="clear" w:color="auto" w:fill="auto"/>
            <w:vAlign w:val="center"/>
          </w:tcPr>
          <w:p w14:paraId="7D3B0DE7" w14:textId="77777777" w:rsidR="006528AA" w:rsidRPr="007E4CC8" w:rsidRDefault="006528AA" w:rsidP="00320E74">
            <w:pPr>
              <w:spacing w:after="0" w:line="240" w:lineRule="auto"/>
              <w:contextualSpacing/>
              <w:jc w:val="center"/>
              <w:rPr>
                <w:rFonts w:eastAsia="等线"/>
                <w:b/>
                <w:bCs/>
                <w:color w:val="000000"/>
                <w:sz w:val="20"/>
                <w:szCs w:val="20"/>
              </w:rPr>
            </w:pPr>
            <w:r w:rsidRPr="004322E6">
              <w:rPr>
                <w:b/>
                <w:bCs/>
                <w:color w:val="000000"/>
                <w:sz w:val="20"/>
                <w:szCs w:val="20"/>
              </w:rPr>
              <w:t>±1d</w:t>
            </w:r>
          </w:p>
        </w:tc>
        <w:tc>
          <w:tcPr>
            <w:tcW w:w="0" w:type="auto"/>
            <w:tcBorders>
              <w:top w:val="nil"/>
              <w:left w:val="nil"/>
              <w:bottom w:val="single" w:sz="8" w:space="0" w:color="000000"/>
              <w:right w:val="single" w:sz="8" w:space="0" w:color="000000"/>
            </w:tcBorders>
            <w:shd w:val="clear" w:color="auto" w:fill="auto"/>
            <w:vAlign w:val="center"/>
          </w:tcPr>
          <w:p w14:paraId="5D9152C6" w14:textId="77777777" w:rsidR="006528AA" w:rsidRPr="007E4CC8" w:rsidRDefault="006528AA" w:rsidP="00320E74">
            <w:pPr>
              <w:spacing w:after="0" w:line="240" w:lineRule="auto"/>
              <w:contextualSpacing/>
              <w:jc w:val="center"/>
              <w:rPr>
                <w:rFonts w:eastAsia="等线"/>
                <w:b/>
                <w:bCs/>
                <w:color w:val="000000"/>
                <w:sz w:val="20"/>
                <w:szCs w:val="20"/>
              </w:rPr>
            </w:pPr>
            <w:r w:rsidRPr="004322E6">
              <w:rPr>
                <w:b/>
                <w:bCs/>
                <w:color w:val="000000"/>
                <w:sz w:val="20"/>
                <w:szCs w:val="20"/>
              </w:rPr>
              <w:t>±2d</w:t>
            </w:r>
          </w:p>
        </w:tc>
        <w:tc>
          <w:tcPr>
            <w:tcW w:w="0" w:type="auto"/>
            <w:tcBorders>
              <w:top w:val="nil"/>
              <w:left w:val="nil"/>
              <w:bottom w:val="single" w:sz="8" w:space="0" w:color="000000"/>
              <w:right w:val="single" w:sz="8" w:space="0" w:color="000000"/>
            </w:tcBorders>
            <w:shd w:val="clear" w:color="auto" w:fill="auto"/>
            <w:vAlign w:val="center"/>
          </w:tcPr>
          <w:p w14:paraId="2B215983" w14:textId="77777777" w:rsidR="006528AA" w:rsidRPr="007E4CC8" w:rsidRDefault="006528AA" w:rsidP="00320E74">
            <w:pPr>
              <w:spacing w:after="0" w:line="240" w:lineRule="auto"/>
              <w:contextualSpacing/>
              <w:jc w:val="center"/>
              <w:rPr>
                <w:rFonts w:eastAsia="等线"/>
                <w:b/>
                <w:bCs/>
                <w:color w:val="000000"/>
                <w:sz w:val="20"/>
                <w:szCs w:val="20"/>
              </w:rPr>
            </w:pPr>
            <w:r w:rsidRPr="004322E6">
              <w:rPr>
                <w:b/>
                <w:bCs/>
                <w:color w:val="000000"/>
                <w:sz w:val="20"/>
                <w:szCs w:val="20"/>
              </w:rPr>
              <w:t>±14d</w:t>
            </w:r>
          </w:p>
        </w:tc>
        <w:tc>
          <w:tcPr>
            <w:tcW w:w="0" w:type="auto"/>
            <w:tcBorders>
              <w:top w:val="nil"/>
              <w:left w:val="nil"/>
              <w:bottom w:val="single" w:sz="8" w:space="0" w:color="000000"/>
              <w:right w:val="single" w:sz="8" w:space="0" w:color="000000"/>
            </w:tcBorders>
            <w:shd w:val="clear" w:color="auto" w:fill="auto"/>
            <w:vAlign w:val="center"/>
          </w:tcPr>
          <w:p w14:paraId="3973B96D" w14:textId="77777777" w:rsidR="006528AA" w:rsidRPr="007E4CC8" w:rsidRDefault="006528AA" w:rsidP="00320E74">
            <w:pPr>
              <w:spacing w:after="0" w:line="240" w:lineRule="auto"/>
              <w:contextualSpacing/>
              <w:jc w:val="center"/>
              <w:rPr>
                <w:rFonts w:eastAsia="等线"/>
                <w:b/>
                <w:bCs/>
                <w:color w:val="000000"/>
                <w:sz w:val="20"/>
                <w:szCs w:val="20"/>
              </w:rPr>
            </w:pPr>
            <w:r w:rsidRPr="004322E6">
              <w:rPr>
                <w:b/>
                <w:bCs/>
                <w:color w:val="000000"/>
                <w:sz w:val="20"/>
                <w:szCs w:val="20"/>
              </w:rPr>
              <w:t>±14d</w:t>
            </w:r>
          </w:p>
        </w:tc>
        <w:tc>
          <w:tcPr>
            <w:tcW w:w="0" w:type="auto"/>
            <w:tcBorders>
              <w:top w:val="nil"/>
              <w:left w:val="nil"/>
              <w:bottom w:val="single" w:sz="8" w:space="0" w:color="000000"/>
              <w:right w:val="single" w:sz="8" w:space="0" w:color="000000"/>
            </w:tcBorders>
            <w:shd w:val="clear" w:color="auto" w:fill="auto"/>
            <w:vAlign w:val="center"/>
          </w:tcPr>
          <w:p w14:paraId="279D6556" w14:textId="77777777" w:rsidR="006528AA" w:rsidRPr="007E4CC8" w:rsidRDefault="006528AA" w:rsidP="00320E74">
            <w:pPr>
              <w:spacing w:after="0" w:line="240" w:lineRule="auto"/>
              <w:contextualSpacing/>
              <w:jc w:val="center"/>
              <w:rPr>
                <w:rFonts w:eastAsia="等线"/>
                <w:b/>
                <w:bCs/>
                <w:color w:val="000000"/>
                <w:sz w:val="20"/>
                <w:szCs w:val="20"/>
              </w:rPr>
            </w:pPr>
            <w:r w:rsidRPr="004322E6">
              <w:rPr>
                <w:b/>
                <w:bCs/>
                <w:color w:val="000000"/>
                <w:sz w:val="20"/>
                <w:szCs w:val="20"/>
              </w:rPr>
              <w:t>±14d</w:t>
            </w:r>
          </w:p>
        </w:tc>
      </w:tr>
      <w:tr w:rsidR="00A22386" w:rsidRPr="007E4CC8" w14:paraId="0DB704AC" w14:textId="77777777" w:rsidTr="00320E74">
        <w:trPr>
          <w:trHeight w:val="292"/>
          <w:jc w:val="center"/>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E6C0F7F" w14:textId="77777777" w:rsidR="006528AA" w:rsidRPr="007E4CC8" w:rsidRDefault="006528AA" w:rsidP="00320E74">
            <w:pPr>
              <w:spacing w:after="0" w:line="240" w:lineRule="auto"/>
              <w:contextualSpacing/>
              <w:textAlignment w:val="center"/>
              <w:rPr>
                <w:color w:val="000000"/>
                <w:sz w:val="20"/>
                <w:szCs w:val="20"/>
              </w:rPr>
            </w:pPr>
            <w:r w:rsidRPr="007E4CC8">
              <w:rPr>
                <w:color w:val="000000"/>
                <w:sz w:val="20"/>
                <w:szCs w:val="20"/>
                <w:lang w:bidi="ar"/>
              </w:rPr>
              <w:t>Informed Consent</w:t>
            </w:r>
          </w:p>
        </w:tc>
        <w:tc>
          <w:tcPr>
            <w:tcW w:w="0" w:type="auto"/>
            <w:tcBorders>
              <w:top w:val="nil"/>
              <w:left w:val="nil"/>
              <w:bottom w:val="single" w:sz="8" w:space="0" w:color="000000"/>
              <w:right w:val="single" w:sz="8" w:space="0" w:color="000000"/>
            </w:tcBorders>
            <w:shd w:val="clear" w:color="auto" w:fill="auto"/>
            <w:vAlign w:val="center"/>
          </w:tcPr>
          <w:p w14:paraId="429B7439"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60C67690"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38BF5392" w14:textId="77777777" w:rsidR="006528AA" w:rsidRPr="007E4CC8" w:rsidRDefault="006528AA" w:rsidP="00320E74">
            <w:pPr>
              <w:spacing w:after="0" w:line="240" w:lineRule="auto"/>
              <w:contextualSpacing/>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tcPr>
          <w:p w14:paraId="1EF5D90A" w14:textId="77777777" w:rsidR="006528AA" w:rsidRPr="007E4CC8" w:rsidRDefault="006528AA" w:rsidP="00320E74">
            <w:pPr>
              <w:spacing w:after="0" w:line="240" w:lineRule="auto"/>
              <w:contextualSpacing/>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589415AB" w14:textId="77777777" w:rsidR="006528AA" w:rsidRPr="007E4CC8" w:rsidRDefault="006528AA" w:rsidP="00320E74">
            <w:pPr>
              <w:spacing w:after="0" w:line="240" w:lineRule="auto"/>
              <w:contextualSpacing/>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44103470"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3CB87512"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0B6FF8DA"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61AA7758"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63B154FE"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25166EF0"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68AABEC8"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7965F770"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57D27C65"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40FB2082"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7D1AF1B1" w14:textId="77777777" w:rsidR="006528AA" w:rsidRPr="007E4CC8" w:rsidRDefault="006528AA" w:rsidP="00320E74">
            <w:pPr>
              <w:spacing w:after="0" w:line="240" w:lineRule="auto"/>
              <w:contextualSpacing/>
              <w:jc w:val="center"/>
              <w:rPr>
                <w:rFonts w:eastAsia="等线"/>
                <w:b/>
                <w:bCs/>
                <w:color w:val="FF0000"/>
                <w:sz w:val="20"/>
                <w:szCs w:val="20"/>
              </w:rPr>
            </w:pPr>
          </w:p>
        </w:tc>
      </w:tr>
      <w:tr w:rsidR="00A22386" w:rsidRPr="007E4CC8" w14:paraId="0389CA83" w14:textId="77777777" w:rsidTr="00320E74">
        <w:trPr>
          <w:trHeight w:val="292"/>
          <w:jc w:val="center"/>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13AE738" w14:textId="77777777" w:rsidR="006528AA" w:rsidRPr="007E4CC8" w:rsidRDefault="006528AA" w:rsidP="00320E74">
            <w:pPr>
              <w:spacing w:after="0" w:line="240" w:lineRule="auto"/>
              <w:contextualSpacing/>
              <w:textAlignment w:val="center"/>
              <w:rPr>
                <w:color w:val="000000"/>
                <w:sz w:val="20"/>
                <w:szCs w:val="20"/>
              </w:rPr>
            </w:pPr>
            <w:r w:rsidRPr="007E4CC8">
              <w:rPr>
                <w:color w:val="000000"/>
                <w:sz w:val="20"/>
                <w:szCs w:val="20"/>
                <w:lang w:bidi="ar"/>
              </w:rPr>
              <w:t>Inclusion/Exclusion Criteria</w:t>
            </w:r>
            <w:r w:rsidRPr="007E4CC8">
              <w:rPr>
                <w:rStyle w:val="font41"/>
                <w:sz w:val="20"/>
                <w:szCs w:val="20"/>
                <w:lang w:bidi="ar"/>
              </w:rPr>
              <w:t>6</w:t>
            </w:r>
            <w:r w:rsidRPr="007E4CC8">
              <w:rPr>
                <w:rStyle w:val="font31"/>
                <w:sz w:val="20"/>
                <w:szCs w:val="20"/>
                <w:lang w:bidi="ar"/>
              </w:rPr>
              <w:t xml:space="preserve">  </w:t>
            </w:r>
          </w:p>
        </w:tc>
        <w:tc>
          <w:tcPr>
            <w:tcW w:w="0" w:type="auto"/>
            <w:tcBorders>
              <w:top w:val="nil"/>
              <w:left w:val="nil"/>
              <w:bottom w:val="single" w:sz="8" w:space="0" w:color="000000"/>
              <w:right w:val="single" w:sz="8" w:space="0" w:color="000000"/>
            </w:tcBorders>
            <w:shd w:val="clear" w:color="auto" w:fill="auto"/>
            <w:vAlign w:val="center"/>
          </w:tcPr>
          <w:p w14:paraId="0BC513AF"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2290C6DD"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2729DF28"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tcPr>
          <w:p w14:paraId="0C62D754"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46EB642B"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4F6E975E"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60B1D181"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20BF3255"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61FAB301"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69B21C2E"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70F00359"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42BD6A16"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779BB876"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2C008B58"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2BEE67D7"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741277C6" w14:textId="77777777" w:rsidR="006528AA" w:rsidRPr="007E4CC8" w:rsidRDefault="006528AA" w:rsidP="00320E74">
            <w:pPr>
              <w:spacing w:after="0" w:line="240" w:lineRule="auto"/>
              <w:contextualSpacing/>
              <w:jc w:val="center"/>
              <w:rPr>
                <w:rFonts w:eastAsia="等线"/>
                <w:b/>
                <w:bCs/>
                <w:color w:val="000000"/>
                <w:sz w:val="20"/>
                <w:szCs w:val="20"/>
              </w:rPr>
            </w:pPr>
          </w:p>
        </w:tc>
      </w:tr>
      <w:tr w:rsidR="00A22386" w:rsidRPr="007E4CC8" w14:paraId="0BB8ED59" w14:textId="77777777" w:rsidTr="00320E74">
        <w:trPr>
          <w:trHeight w:val="292"/>
          <w:jc w:val="center"/>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82AC680" w14:textId="77777777" w:rsidR="006528AA" w:rsidRPr="007E4CC8" w:rsidRDefault="006528AA" w:rsidP="00320E74">
            <w:pPr>
              <w:spacing w:after="0" w:line="240" w:lineRule="auto"/>
              <w:contextualSpacing/>
              <w:textAlignment w:val="center"/>
              <w:rPr>
                <w:color w:val="000000"/>
                <w:sz w:val="20"/>
                <w:szCs w:val="20"/>
              </w:rPr>
            </w:pPr>
            <w:r w:rsidRPr="007E4CC8">
              <w:rPr>
                <w:color w:val="000000"/>
                <w:sz w:val="20"/>
                <w:szCs w:val="20"/>
                <w:lang w:bidi="ar"/>
              </w:rPr>
              <w:t>Demographic Information</w:t>
            </w:r>
          </w:p>
        </w:tc>
        <w:tc>
          <w:tcPr>
            <w:tcW w:w="0" w:type="auto"/>
            <w:tcBorders>
              <w:top w:val="nil"/>
              <w:left w:val="nil"/>
              <w:bottom w:val="single" w:sz="8" w:space="0" w:color="000000"/>
              <w:right w:val="single" w:sz="8" w:space="0" w:color="000000"/>
            </w:tcBorders>
            <w:shd w:val="clear" w:color="auto" w:fill="auto"/>
            <w:vAlign w:val="center"/>
          </w:tcPr>
          <w:p w14:paraId="7C0DFE34"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3FDE0BB3"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4473A0C7"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tcPr>
          <w:p w14:paraId="22EBC876"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4A762C5C"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3290A8EE"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72AD6E53"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026E6B61"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611A1A37"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416C8FBE"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7CD33BBE"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4EA7F26A"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1C0BB93B"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08CDD56B"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5B811A33"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02D6F671" w14:textId="77777777" w:rsidR="006528AA" w:rsidRPr="007E4CC8" w:rsidRDefault="006528AA" w:rsidP="00320E74">
            <w:pPr>
              <w:spacing w:after="0" w:line="240" w:lineRule="auto"/>
              <w:contextualSpacing/>
              <w:jc w:val="center"/>
              <w:rPr>
                <w:rFonts w:eastAsia="等线"/>
                <w:b/>
                <w:bCs/>
                <w:color w:val="000000"/>
                <w:sz w:val="20"/>
                <w:szCs w:val="20"/>
              </w:rPr>
            </w:pPr>
          </w:p>
        </w:tc>
      </w:tr>
      <w:tr w:rsidR="00A22386" w:rsidRPr="007E4CC8" w14:paraId="7E9AC855" w14:textId="77777777" w:rsidTr="00320E74">
        <w:trPr>
          <w:trHeight w:val="292"/>
          <w:jc w:val="center"/>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0762DD3" w14:textId="77777777" w:rsidR="006528AA" w:rsidRPr="007E4CC8" w:rsidRDefault="006528AA" w:rsidP="00320E74">
            <w:pPr>
              <w:spacing w:after="0" w:line="240" w:lineRule="auto"/>
              <w:contextualSpacing/>
              <w:textAlignment w:val="center"/>
              <w:rPr>
                <w:color w:val="000000"/>
                <w:sz w:val="20"/>
                <w:szCs w:val="20"/>
              </w:rPr>
            </w:pPr>
            <w:r w:rsidRPr="007E4CC8">
              <w:rPr>
                <w:color w:val="000000"/>
                <w:sz w:val="20"/>
                <w:szCs w:val="20"/>
                <w:lang w:bidi="ar"/>
              </w:rPr>
              <w:t>Tumor Diagnosis and Treatment History</w:t>
            </w:r>
          </w:p>
        </w:tc>
        <w:tc>
          <w:tcPr>
            <w:tcW w:w="0" w:type="auto"/>
            <w:tcBorders>
              <w:top w:val="nil"/>
              <w:left w:val="nil"/>
              <w:bottom w:val="single" w:sz="8" w:space="0" w:color="000000"/>
              <w:right w:val="single" w:sz="8" w:space="0" w:color="000000"/>
            </w:tcBorders>
            <w:shd w:val="clear" w:color="auto" w:fill="auto"/>
            <w:vAlign w:val="center"/>
          </w:tcPr>
          <w:p w14:paraId="60C8D4DA"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139A9E9E"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2DC3CAB2"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tcPr>
          <w:p w14:paraId="4B43EA73"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07862B2D"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41331851"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6038B364"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7A46E69B"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0D09BC00"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497E10DC"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04599EFE"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7D352C4B"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7BF13805"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6FFF24E7"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2A37B352"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35E71EF1" w14:textId="77777777" w:rsidR="006528AA" w:rsidRPr="007E4CC8" w:rsidRDefault="006528AA" w:rsidP="00320E74">
            <w:pPr>
              <w:spacing w:after="0" w:line="240" w:lineRule="auto"/>
              <w:contextualSpacing/>
              <w:jc w:val="center"/>
              <w:rPr>
                <w:rFonts w:eastAsia="等线"/>
                <w:b/>
                <w:bCs/>
                <w:color w:val="000000"/>
                <w:sz w:val="20"/>
                <w:szCs w:val="20"/>
              </w:rPr>
            </w:pPr>
          </w:p>
        </w:tc>
      </w:tr>
      <w:tr w:rsidR="00A22386" w:rsidRPr="007E4CC8" w14:paraId="2E369101" w14:textId="77777777" w:rsidTr="00320E74">
        <w:trPr>
          <w:trHeight w:val="570"/>
          <w:jc w:val="center"/>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3045B58" w14:textId="77777777" w:rsidR="006528AA" w:rsidRPr="007E4CC8" w:rsidRDefault="006528AA" w:rsidP="00320E74">
            <w:pPr>
              <w:spacing w:after="0" w:line="240" w:lineRule="auto"/>
              <w:contextualSpacing/>
              <w:textAlignment w:val="center"/>
              <w:rPr>
                <w:color w:val="000000"/>
                <w:sz w:val="20"/>
                <w:szCs w:val="20"/>
              </w:rPr>
            </w:pPr>
            <w:r w:rsidRPr="007E4CC8">
              <w:rPr>
                <w:color w:val="000000"/>
                <w:sz w:val="20"/>
                <w:szCs w:val="20"/>
                <w:lang w:bidi="ar"/>
              </w:rPr>
              <w:t>Tumor Staging in Screening Period</w:t>
            </w:r>
          </w:p>
        </w:tc>
        <w:tc>
          <w:tcPr>
            <w:tcW w:w="0" w:type="auto"/>
            <w:tcBorders>
              <w:top w:val="nil"/>
              <w:left w:val="nil"/>
              <w:bottom w:val="single" w:sz="8" w:space="0" w:color="000000"/>
              <w:right w:val="single" w:sz="8" w:space="0" w:color="000000"/>
            </w:tcBorders>
            <w:shd w:val="clear" w:color="auto" w:fill="auto"/>
            <w:vAlign w:val="center"/>
          </w:tcPr>
          <w:p w14:paraId="2930F931"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56D48572"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32104C8B"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tcPr>
          <w:p w14:paraId="36553A14"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7EA1D2F9"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2127A620"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091CE348"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344809D6"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4AAE37ED"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18A44921"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71963C25"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2B8E4A62"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0CC85DA8"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7DBDB784"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723639B6"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2550F793" w14:textId="77777777" w:rsidR="006528AA" w:rsidRPr="007E4CC8" w:rsidRDefault="006528AA" w:rsidP="00320E74">
            <w:pPr>
              <w:spacing w:after="0" w:line="240" w:lineRule="auto"/>
              <w:contextualSpacing/>
              <w:jc w:val="center"/>
              <w:rPr>
                <w:rFonts w:eastAsia="等线"/>
                <w:b/>
                <w:bCs/>
                <w:color w:val="000000"/>
                <w:sz w:val="20"/>
                <w:szCs w:val="20"/>
              </w:rPr>
            </w:pPr>
          </w:p>
        </w:tc>
      </w:tr>
      <w:tr w:rsidR="00A22386" w:rsidRPr="007E4CC8" w14:paraId="1553FEC7" w14:textId="77777777" w:rsidTr="00320E74">
        <w:trPr>
          <w:trHeight w:val="608"/>
          <w:jc w:val="center"/>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E659B97" w14:textId="77777777" w:rsidR="006528AA" w:rsidRPr="007E4CC8" w:rsidRDefault="006528AA" w:rsidP="00320E74">
            <w:pPr>
              <w:spacing w:after="0" w:line="240" w:lineRule="auto"/>
              <w:contextualSpacing/>
              <w:textAlignment w:val="center"/>
              <w:rPr>
                <w:color w:val="000000"/>
                <w:sz w:val="20"/>
                <w:szCs w:val="20"/>
              </w:rPr>
            </w:pPr>
            <w:r w:rsidRPr="007E4CC8">
              <w:rPr>
                <w:color w:val="000000"/>
                <w:sz w:val="20"/>
                <w:szCs w:val="20"/>
                <w:lang w:bidi="ar"/>
              </w:rPr>
              <w:t xml:space="preserve">Medical History of Non-tumor </w:t>
            </w:r>
            <w:r w:rsidRPr="007E4CC8">
              <w:rPr>
                <w:rStyle w:val="font41"/>
                <w:sz w:val="20"/>
                <w:szCs w:val="20"/>
                <w:lang w:bidi="ar"/>
              </w:rPr>
              <w:t>7</w:t>
            </w:r>
          </w:p>
        </w:tc>
        <w:tc>
          <w:tcPr>
            <w:tcW w:w="0" w:type="auto"/>
            <w:tcBorders>
              <w:top w:val="nil"/>
              <w:left w:val="nil"/>
              <w:bottom w:val="single" w:sz="8" w:space="0" w:color="000000"/>
              <w:right w:val="single" w:sz="8" w:space="0" w:color="000000"/>
            </w:tcBorders>
            <w:shd w:val="clear" w:color="auto" w:fill="auto"/>
            <w:vAlign w:val="center"/>
          </w:tcPr>
          <w:p w14:paraId="1B0EF3F5"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27B1BA79"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684B7DD6"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tcPr>
          <w:p w14:paraId="33275854"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07746357"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1713A566"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67BCF4A6"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57025FCB"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1121C045"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56D9E285"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7FD3DEC8"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7E169005"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42A00946"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1090AD35"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19517783"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6562AB56" w14:textId="77777777" w:rsidR="006528AA" w:rsidRPr="007E4CC8" w:rsidRDefault="006528AA" w:rsidP="00320E74">
            <w:pPr>
              <w:spacing w:after="0" w:line="240" w:lineRule="auto"/>
              <w:contextualSpacing/>
              <w:jc w:val="center"/>
              <w:rPr>
                <w:rFonts w:eastAsia="等线"/>
                <w:b/>
                <w:bCs/>
                <w:color w:val="000000"/>
                <w:sz w:val="20"/>
                <w:szCs w:val="20"/>
              </w:rPr>
            </w:pPr>
          </w:p>
        </w:tc>
      </w:tr>
      <w:tr w:rsidR="00A22386" w:rsidRPr="007E4CC8" w14:paraId="030927E9" w14:textId="77777777" w:rsidTr="00320E74">
        <w:trPr>
          <w:trHeight w:val="292"/>
          <w:jc w:val="center"/>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261C76C" w14:textId="77777777" w:rsidR="006528AA" w:rsidRPr="007E4CC8" w:rsidRDefault="006528AA" w:rsidP="00320E74">
            <w:pPr>
              <w:spacing w:after="0" w:line="240" w:lineRule="auto"/>
              <w:contextualSpacing/>
              <w:textAlignment w:val="center"/>
              <w:rPr>
                <w:color w:val="000000"/>
                <w:sz w:val="20"/>
                <w:szCs w:val="20"/>
              </w:rPr>
            </w:pPr>
            <w:r w:rsidRPr="007E4CC8">
              <w:rPr>
                <w:color w:val="000000"/>
                <w:sz w:val="20"/>
                <w:szCs w:val="20"/>
                <w:lang w:bidi="ar"/>
              </w:rPr>
              <w:t>Concomitant Diseases</w:t>
            </w:r>
            <w:r w:rsidRPr="007E4CC8">
              <w:rPr>
                <w:rStyle w:val="font41"/>
                <w:sz w:val="20"/>
                <w:szCs w:val="20"/>
                <w:lang w:bidi="ar"/>
              </w:rPr>
              <w:t xml:space="preserve"> 8</w:t>
            </w:r>
          </w:p>
        </w:tc>
        <w:tc>
          <w:tcPr>
            <w:tcW w:w="0" w:type="auto"/>
            <w:tcBorders>
              <w:top w:val="nil"/>
              <w:left w:val="nil"/>
              <w:bottom w:val="single" w:sz="8" w:space="0" w:color="000000"/>
              <w:right w:val="single" w:sz="8" w:space="0" w:color="000000"/>
            </w:tcBorders>
            <w:shd w:val="clear" w:color="auto" w:fill="auto"/>
            <w:vAlign w:val="center"/>
          </w:tcPr>
          <w:p w14:paraId="0C2C5DBE"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1D14FDE5"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495CF2B0"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tcPr>
          <w:p w14:paraId="0DD72222"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11451DD0"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23957587"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37CA8207"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6EEB130B"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4B46784B"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6981B347"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2FC7A96C"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19BB6D07"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46526262"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61953652"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3451D722"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42B70A0B" w14:textId="77777777" w:rsidR="006528AA" w:rsidRPr="007E4CC8" w:rsidRDefault="006528AA" w:rsidP="00320E74">
            <w:pPr>
              <w:spacing w:after="0" w:line="240" w:lineRule="auto"/>
              <w:contextualSpacing/>
              <w:jc w:val="center"/>
              <w:rPr>
                <w:rFonts w:eastAsia="等线"/>
                <w:b/>
                <w:bCs/>
                <w:color w:val="000000"/>
                <w:sz w:val="20"/>
                <w:szCs w:val="20"/>
              </w:rPr>
            </w:pPr>
          </w:p>
        </w:tc>
      </w:tr>
      <w:tr w:rsidR="00A22386" w:rsidRPr="007E4CC8" w14:paraId="5DE9980D" w14:textId="77777777" w:rsidTr="00320E74">
        <w:trPr>
          <w:trHeight w:val="292"/>
          <w:jc w:val="center"/>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14CB5F1" w14:textId="77777777" w:rsidR="006528AA" w:rsidRPr="007E4CC8" w:rsidRDefault="006528AA" w:rsidP="00320E74">
            <w:pPr>
              <w:spacing w:after="0" w:line="240" w:lineRule="auto"/>
              <w:contextualSpacing/>
              <w:textAlignment w:val="center"/>
              <w:rPr>
                <w:color w:val="000000"/>
                <w:sz w:val="20"/>
                <w:szCs w:val="20"/>
              </w:rPr>
            </w:pPr>
            <w:r w:rsidRPr="007E4CC8">
              <w:rPr>
                <w:color w:val="000000"/>
                <w:sz w:val="20"/>
                <w:szCs w:val="20"/>
                <w:lang w:bidi="ar"/>
              </w:rPr>
              <w:t>Previous</w:t>
            </w:r>
            <w:r w:rsidRPr="007E4CC8">
              <w:rPr>
                <w:rStyle w:val="font41"/>
                <w:sz w:val="20"/>
                <w:szCs w:val="20"/>
                <w:lang w:bidi="ar"/>
              </w:rPr>
              <w:t xml:space="preserve"> </w:t>
            </w:r>
            <w:r w:rsidRPr="007E4CC8">
              <w:rPr>
                <w:rStyle w:val="font31"/>
                <w:sz w:val="20"/>
                <w:szCs w:val="20"/>
                <w:lang w:bidi="ar"/>
              </w:rPr>
              <w:t xml:space="preserve">Treatment </w:t>
            </w:r>
            <w:r w:rsidRPr="007E4CC8">
              <w:rPr>
                <w:rStyle w:val="font41"/>
                <w:sz w:val="20"/>
                <w:szCs w:val="20"/>
                <w:lang w:bidi="ar"/>
              </w:rPr>
              <w:t>9</w:t>
            </w:r>
          </w:p>
        </w:tc>
        <w:tc>
          <w:tcPr>
            <w:tcW w:w="0" w:type="auto"/>
            <w:tcBorders>
              <w:top w:val="nil"/>
              <w:left w:val="nil"/>
              <w:bottom w:val="single" w:sz="8" w:space="0" w:color="000000"/>
              <w:right w:val="single" w:sz="8" w:space="0" w:color="000000"/>
            </w:tcBorders>
            <w:shd w:val="clear" w:color="auto" w:fill="auto"/>
            <w:vAlign w:val="center"/>
          </w:tcPr>
          <w:p w14:paraId="46EC9D0B"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7E518C34" w14:textId="77777777" w:rsidR="006528AA" w:rsidRPr="007E4CC8" w:rsidRDefault="006528AA" w:rsidP="00320E74">
            <w:pPr>
              <w:spacing w:after="0" w:line="240" w:lineRule="auto"/>
              <w:contextualSpacing/>
              <w:jc w:val="center"/>
              <w:rPr>
                <w:rFonts w:eastAsia="等线"/>
                <w:color w:val="000000"/>
                <w:sz w:val="20"/>
                <w:szCs w:val="20"/>
              </w:rPr>
            </w:pPr>
          </w:p>
        </w:tc>
        <w:tc>
          <w:tcPr>
            <w:tcW w:w="0" w:type="auto"/>
            <w:gridSpan w:val="14"/>
            <w:tcBorders>
              <w:top w:val="nil"/>
              <w:left w:val="nil"/>
              <w:bottom w:val="single" w:sz="8" w:space="0" w:color="000000"/>
              <w:right w:val="single" w:sz="8" w:space="0" w:color="000000"/>
            </w:tcBorders>
            <w:shd w:val="clear" w:color="auto" w:fill="auto"/>
            <w:vAlign w:val="center"/>
          </w:tcPr>
          <w:p w14:paraId="197CA599" w14:textId="3C51DEEB" w:rsidR="006528AA" w:rsidRPr="007E4CC8" w:rsidRDefault="006528AA" w:rsidP="00320E74">
            <w:pPr>
              <w:spacing w:after="0" w:line="240" w:lineRule="auto"/>
              <w:contextualSpacing/>
              <w:jc w:val="center"/>
              <w:textAlignment w:val="center"/>
              <w:rPr>
                <w:rFonts w:eastAsia="等线"/>
                <w:color w:val="000000"/>
                <w:sz w:val="20"/>
                <w:szCs w:val="20"/>
              </w:rPr>
            </w:pPr>
            <w:r w:rsidRPr="007E4CC8">
              <w:rPr>
                <w:rFonts w:eastAsia="等线"/>
                <w:color w:val="000000"/>
                <w:sz w:val="20"/>
                <w:szCs w:val="20"/>
                <w:lang w:bidi="ar"/>
              </w:rPr>
              <w:t xml:space="preserve">Evaluation methods should be decided by investigators based on </w:t>
            </w:r>
            <w:r w:rsidR="00EA599D">
              <w:rPr>
                <w:rFonts w:eastAsia="等线"/>
                <w:color w:val="000000"/>
                <w:sz w:val="20"/>
                <w:szCs w:val="20"/>
                <w:lang w:bidi="ar"/>
              </w:rPr>
              <w:t xml:space="preserve">the </w:t>
            </w:r>
            <w:r w:rsidRPr="007E4CC8">
              <w:rPr>
                <w:rFonts w:eastAsia="等线"/>
                <w:color w:val="000000"/>
                <w:sz w:val="20"/>
                <w:szCs w:val="20"/>
                <w:lang w:bidi="ar"/>
              </w:rPr>
              <w:t>patients</w:t>
            </w:r>
            <w:r w:rsidR="00EA599D" w:rsidRPr="007E4CC8">
              <w:rPr>
                <w:rFonts w:eastAsia="等线"/>
                <w:color w:val="000000"/>
                <w:sz w:val="20"/>
                <w:szCs w:val="20"/>
                <w:lang w:bidi="ar"/>
              </w:rPr>
              <w:t>’</w:t>
            </w:r>
            <w:r w:rsidRPr="007E4CC8">
              <w:rPr>
                <w:rFonts w:eastAsia="等线"/>
                <w:color w:val="000000"/>
                <w:sz w:val="20"/>
                <w:szCs w:val="20"/>
                <w:lang w:bidi="ar"/>
              </w:rPr>
              <w:t xml:space="preserve"> clinical indicators. The follow-up examination methods for the same patient should try to keep consistent. </w:t>
            </w:r>
          </w:p>
        </w:tc>
      </w:tr>
      <w:tr w:rsidR="00A22386" w:rsidRPr="007E4CC8" w14:paraId="6A958811" w14:textId="77777777" w:rsidTr="00320E74">
        <w:trPr>
          <w:trHeight w:val="292"/>
          <w:jc w:val="center"/>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57B10C6" w14:textId="77777777" w:rsidR="006528AA" w:rsidRPr="007E4CC8" w:rsidRDefault="006528AA" w:rsidP="00320E74">
            <w:pPr>
              <w:spacing w:after="0" w:line="240" w:lineRule="auto"/>
              <w:contextualSpacing/>
              <w:textAlignment w:val="center"/>
              <w:rPr>
                <w:color w:val="000000"/>
                <w:sz w:val="20"/>
                <w:szCs w:val="20"/>
              </w:rPr>
            </w:pPr>
            <w:r w:rsidRPr="007E4CC8">
              <w:rPr>
                <w:color w:val="000000"/>
                <w:sz w:val="20"/>
                <w:szCs w:val="20"/>
                <w:lang w:bidi="ar"/>
              </w:rPr>
              <w:t>Imaging Evaluation</w:t>
            </w:r>
            <w:r w:rsidRPr="007E4CC8">
              <w:rPr>
                <w:rStyle w:val="font41"/>
                <w:sz w:val="20"/>
                <w:szCs w:val="20"/>
                <w:lang w:bidi="ar"/>
              </w:rPr>
              <w:t xml:space="preserve"> 10</w:t>
            </w:r>
          </w:p>
        </w:tc>
        <w:tc>
          <w:tcPr>
            <w:tcW w:w="0" w:type="auto"/>
            <w:tcBorders>
              <w:top w:val="nil"/>
              <w:left w:val="nil"/>
              <w:bottom w:val="single" w:sz="8" w:space="0" w:color="000000"/>
              <w:right w:val="single" w:sz="8" w:space="0" w:color="000000"/>
            </w:tcBorders>
            <w:shd w:val="clear" w:color="auto" w:fill="auto"/>
            <w:vAlign w:val="center"/>
          </w:tcPr>
          <w:p w14:paraId="3D3F64E8"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tcPr>
          <w:p w14:paraId="440EDE1D" w14:textId="77777777" w:rsidR="006528AA" w:rsidRPr="007E4CC8" w:rsidRDefault="006528AA" w:rsidP="00320E74">
            <w:pPr>
              <w:spacing w:after="0" w:line="240" w:lineRule="auto"/>
              <w:contextualSpacing/>
              <w:jc w:val="center"/>
              <w:rPr>
                <w:rFonts w:eastAsia="等线"/>
                <w:color w:val="000000"/>
                <w:sz w:val="20"/>
                <w:szCs w:val="20"/>
              </w:rPr>
            </w:pPr>
          </w:p>
        </w:tc>
        <w:tc>
          <w:tcPr>
            <w:tcW w:w="0" w:type="auto"/>
            <w:tcBorders>
              <w:top w:val="nil"/>
              <w:left w:val="nil"/>
              <w:bottom w:val="single" w:sz="8" w:space="0" w:color="000000"/>
              <w:right w:val="single" w:sz="8" w:space="0" w:color="000000"/>
            </w:tcBorders>
            <w:shd w:val="clear" w:color="auto" w:fill="auto"/>
          </w:tcPr>
          <w:p w14:paraId="096BE378" w14:textId="77777777" w:rsidR="006528AA" w:rsidRPr="007E4CC8" w:rsidRDefault="006528AA" w:rsidP="00320E74">
            <w:pPr>
              <w:spacing w:after="0" w:line="240" w:lineRule="auto"/>
              <w:contextualSpacing/>
              <w:jc w:val="center"/>
              <w:textAlignment w:val="top"/>
              <w:rPr>
                <w:rFonts w:eastAsia="等线"/>
                <w:b/>
                <w:bCs/>
                <w:color w:val="000000"/>
                <w:sz w:val="20"/>
                <w:szCs w:val="20"/>
              </w:rPr>
            </w:pPr>
            <w:r w:rsidRPr="007E4CC8">
              <w:rPr>
                <w:rFonts w:eastAsia="等线"/>
                <w:b/>
                <w:bCs/>
                <w:color w:val="000000"/>
                <w:sz w:val="20"/>
                <w:szCs w:val="20"/>
                <w:lang w:bidi="ar"/>
              </w:rPr>
              <w:t>×</w:t>
            </w:r>
          </w:p>
        </w:tc>
        <w:tc>
          <w:tcPr>
            <w:tcW w:w="0" w:type="auto"/>
            <w:gridSpan w:val="13"/>
            <w:tcBorders>
              <w:top w:val="single" w:sz="8" w:space="0" w:color="000000"/>
              <w:left w:val="nil"/>
              <w:bottom w:val="single" w:sz="8" w:space="0" w:color="000000"/>
              <w:right w:val="single" w:sz="8" w:space="0" w:color="000000"/>
            </w:tcBorders>
            <w:shd w:val="clear" w:color="auto" w:fill="auto"/>
          </w:tcPr>
          <w:p w14:paraId="0B021969" w14:textId="77777777" w:rsidR="006528AA" w:rsidRPr="007E4CC8" w:rsidRDefault="006528AA" w:rsidP="00320E74">
            <w:pPr>
              <w:spacing w:after="0" w:line="240" w:lineRule="auto"/>
              <w:contextualSpacing/>
              <w:jc w:val="center"/>
              <w:textAlignment w:val="top"/>
              <w:rPr>
                <w:rFonts w:eastAsia="等线"/>
                <w:color w:val="000000"/>
                <w:sz w:val="20"/>
                <w:szCs w:val="20"/>
              </w:rPr>
            </w:pPr>
            <w:r w:rsidRPr="007E4CC8">
              <w:rPr>
                <w:rFonts w:eastAsia="等线"/>
                <w:color w:val="000000"/>
                <w:sz w:val="20"/>
                <w:szCs w:val="20"/>
                <w:lang w:bidi="ar"/>
              </w:rPr>
              <w:t>If the patient has signs or symptoms, such as heart failure, according to clinical indicators</w:t>
            </w:r>
          </w:p>
        </w:tc>
      </w:tr>
      <w:tr w:rsidR="00A22386" w:rsidRPr="007E4CC8" w14:paraId="18B02DB6" w14:textId="77777777" w:rsidTr="00320E74">
        <w:trPr>
          <w:trHeight w:val="292"/>
          <w:jc w:val="center"/>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591D37D" w14:textId="77777777" w:rsidR="006528AA" w:rsidRPr="007E4CC8" w:rsidRDefault="006528AA" w:rsidP="00320E74">
            <w:pPr>
              <w:spacing w:after="0" w:line="240" w:lineRule="auto"/>
              <w:contextualSpacing/>
              <w:textAlignment w:val="center"/>
              <w:rPr>
                <w:color w:val="000000"/>
                <w:sz w:val="20"/>
                <w:szCs w:val="20"/>
              </w:rPr>
            </w:pPr>
            <w:r w:rsidRPr="007E4CC8">
              <w:rPr>
                <w:color w:val="000000"/>
                <w:sz w:val="20"/>
                <w:szCs w:val="20"/>
                <w:lang w:bidi="ar"/>
              </w:rPr>
              <w:t>Echocardiography</w:t>
            </w:r>
          </w:p>
        </w:tc>
        <w:tc>
          <w:tcPr>
            <w:tcW w:w="0" w:type="auto"/>
            <w:tcBorders>
              <w:top w:val="nil"/>
              <w:left w:val="nil"/>
              <w:bottom w:val="single" w:sz="8" w:space="0" w:color="000000"/>
              <w:right w:val="single" w:sz="8" w:space="0" w:color="000000"/>
            </w:tcBorders>
            <w:shd w:val="clear" w:color="auto" w:fill="auto"/>
            <w:vAlign w:val="center"/>
          </w:tcPr>
          <w:p w14:paraId="466B17AF"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15787409"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r w:rsidRPr="007E4CC8">
              <w:rPr>
                <w:rFonts w:eastAsia="等线"/>
                <w:b/>
                <w:bCs/>
                <w:color w:val="000000"/>
                <w:sz w:val="20"/>
                <w:szCs w:val="20"/>
                <w:lang w:bidi="ar"/>
              </w:rPr>
              <w:t xml:space="preserve">　</w:t>
            </w:r>
          </w:p>
        </w:tc>
        <w:tc>
          <w:tcPr>
            <w:tcW w:w="0" w:type="auto"/>
            <w:tcBorders>
              <w:top w:val="nil"/>
              <w:left w:val="nil"/>
              <w:bottom w:val="single" w:sz="8" w:space="0" w:color="000000"/>
              <w:right w:val="single" w:sz="8" w:space="0" w:color="000000"/>
            </w:tcBorders>
            <w:shd w:val="clear" w:color="auto" w:fill="auto"/>
            <w:vAlign w:val="center"/>
          </w:tcPr>
          <w:p w14:paraId="4908407B"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5C9E85E6"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4883B2E1"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r w:rsidRPr="007E4CC8">
              <w:rPr>
                <w:rFonts w:eastAsia="等线"/>
                <w:b/>
                <w:bCs/>
                <w:color w:val="000000"/>
                <w:sz w:val="20"/>
                <w:szCs w:val="20"/>
                <w:lang w:bidi="ar"/>
              </w:rPr>
              <w:t xml:space="preserve">　</w:t>
            </w:r>
          </w:p>
        </w:tc>
        <w:tc>
          <w:tcPr>
            <w:tcW w:w="0" w:type="auto"/>
            <w:tcBorders>
              <w:top w:val="single" w:sz="8" w:space="0" w:color="000000"/>
              <w:left w:val="nil"/>
              <w:bottom w:val="single" w:sz="8" w:space="0" w:color="000000"/>
              <w:right w:val="single" w:sz="8" w:space="0" w:color="000000"/>
            </w:tcBorders>
            <w:shd w:val="clear" w:color="auto" w:fill="auto"/>
            <w:vAlign w:val="center"/>
          </w:tcPr>
          <w:p w14:paraId="7F7231E8"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5AF19F1F"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02723C43"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737E7B34"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564961D1"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583A7D4B"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56E59570"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40A2D8CE"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42643EFD"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1AD135D2"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670A7ED2" w14:textId="77777777" w:rsidR="006528AA" w:rsidRPr="007E4CC8" w:rsidRDefault="006528AA" w:rsidP="00320E74">
            <w:pPr>
              <w:spacing w:after="0" w:line="240" w:lineRule="auto"/>
              <w:contextualSpacing/>
              <w:jc w:val="center"/>
              <w:rPr>
                <w:rFonts w:eastAsia="等线"/>
                <w:b/>
                <w:bCs/>
                <w:color w:val="000000"/>
                <w:sz w:val="20"/>
                <w:szCs w:val="20"/>
              </w:rPr>
            </w:pPr>
          </w:p>
        </w:tc>
      </w:tr>
      <w:tr w:rsidR="00A22386" w:rsidRPr="007E4CC8" w14:paraId="16575F15" w14:textId="77777777" w:rsidTr="00320E74">
        <w:trPr>
          <w:trHeight w:val="292"/>
          <w:jc w:val="center"/>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9D6566A" w14:textId="77777777" w:rsidR="006528AA" w:rsidRPr="007E4CC8" w:rsidRDefault="006528AA" w:rsidP="00320E74">
            <w:pPr>
              <w:spacing w:after="0" w:line="240" w:lineRule="auto"/>
              <w:contextualSpacing/>
              <w:textAlignment w:val="center"/>
              <w:rPr>
                <w:color w:val="000000"/>
                <w:sz w:val="20"/>
                <w:szCs w:val="20"/>
              </w:rPr>
            </w:pPr>
            <w:r w:rsidRPr="007E4CC8">
              <w:rPr>
                <w:color w:val="000000"/>
                <w:sz w:val="20"/>
                <w:szCs w:val="20"/>
                <w:lang w:bidi="ar"/>
              </w:rPr>
              <w:t xml:space="preserve">Height/Weight/Body Surface Area </w:t>
            </w:r>
            <w:r w:rsidRPr="007E4CC8">
              <w:rPr>
                <w:rStyle w:val="font41"/>
                <w:sz w:val="20"/>
                <w:szCs w:val="20"/>
                <w:lang w:bidi="ar"/>
              </w:rPr>
              <w:t>11</w:t>
            </w:r>
          </w:p>
        </w:tc>
        <w:tc>
          <w:tcPr>
            <w:tcW w:w="0" w:type="auto"/>
            <w:tcBorders>
              <w:top w:val="nil"/>
              <w:left w:val="nil"/>
              <w:bottom w:val="single" w:sz="8" w:space="0" w:color="000000"/>
              <w:right w:val="single" w:sz="8" w:space="0" w:color="000000"/>
            </w:tcBorders>
            <w:shd w:val="clear" w:color="auto" w:fill="auto"/>
            <w:vAlign w:val="center"/>
          </w:tcPr>
          <w:p w14:paraId="6EBDFC4B"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0984B6A5"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r w:rsidRPr="007E4CC8">
              <w:rPr>
                <w:rFonts w:eastAsia="等线"/>
                <w:b/>
                <w:bCs/>
                <w:color w:val="000000"/>
                <w:sz w:val="20"/>
                <w:szCs w:val="20"/>
                <w:lang w:bidi="ar"/>
              </w:rPr>
              <w:t xml:space="preserve">　</w:t>
            </w:r>
          </w:p>
        </w:tc>
        <w:tc>
          <w:tcPr>
            <w:tcW w:w="0" w:type="auto"/>
            <w:tcBorders>
              <w:top w:val="nil"/>
              <w:left w:val="nil"/>
              <w:bottom w:val="single" w:sz="8" w:space="0" w:color="000000"/>
              <w:right w:val="single" w:sz="8" w:space="0" w:color="000000"/>
            </w:tcBorders>
            <w:shd w:val="clear" w:color="auto" w:fill="auto"/>
            <w:vAlign w:val="center"/>
          </w:tcPr>
          <w:p w14:paraId="435F92E9"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tcPr>
          <w:p w14:paraId="4493CC9C"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751D5FF3"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02F6E0F8"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54214EF4"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1CDEBDB6"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2820BC25"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0ADEA6CB"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1AB17AF0"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25C5FDB7"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37A3159F"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06813AD3"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26BA5DC3"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56ABC2A7"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r>
      <w:tr w:rsidR="00A22386" w:rsidRPr="007E4CC8" w14:paraId="268274CC" w14:textId="77777777" w:rsidTr="00320E74">
        <w:trPr>
          <w:trHeight w:val="292"/>
          <w:jc w:val="center"/>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0E75703" w14:textId="77777777" w:rsidR="006528AA" w:rsidRPr="007E4CC8" w:rsidRDefault="006528AA" w:rsidP="00320E74">
            <w:pPr>
              <w:spacing w:after="0" w:line="240" w:lineRule="auto"/>
              <w:contextualSpacing/>
              <w:textAlignment w:val="center"/>
              <w:rPr>
                <w:color w:val="000000"/>
                <w:sz w:val="20"/>
                <w:szCs w:val="20"/>
              </w:rPr>
            </w:pPr>
            <w:r w:rsidRPr="007E4CC8">
              <w:rPr>
                <w:color w:val="000000"/>
                <w:sz w:val="20"/>
                <w:szCs w:val="20"/>
                <w:lang w:bidi="ar"/>
              </w:rPr>
              <w:t>Vital Signs</w:t>
            </w:r>
            <w:r w:rsidRPr="007E4CC8">
              <w:rPr>
                <w:rStyle w:val="font41"/>
                <w:sz w:val="20"/>
                <w:szCs w:val="20"/>
                <w:lang w:bidi="ar"/>
              </w:rPr>
              <w:t xml:space="preserve"> 12</w:t>
            </w:r>
          </w:p>
        </w:tc>
        <w:tc>
          <w:tcPr>
            <w:tcW w:w="0" w:type="auto"/>
            <w:tcBorders>
              <w:top w:val="nil"/>
              <w:left w:val="nil"/>
              <w:bottom w:val="single" w:sz="8" w:space="0" w:color="000000"/>
              <w:right w:val="single" w:sz="8" w:space="0" w:color="000000"/>
            </w:tcBorders>
            <w:shd w:val="clear" w:color="auto" w:fill="auto"/>
            <w:vAlign w:val="center"/>
          </w:tcPr>
          <w:p w14:paraId="3601D247"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7EECAC81"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58A2D257"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tcPr>
          <w:p w14:paraId="796C28A5"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4560485D"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19C4EC88"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32B2E198"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138542F0"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7A65A5EF"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289BBD3C"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79B76090"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0B00763E"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2BC4DACD"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3A0ABFBE"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496AAA9F"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1C20845C"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r>
      <w:tr w:rsidR="00A22386" w:rsidRPr="007E4CC8" w14:paraId="63CEDB36" w14:textId="77777777" w:rsidTr="00320E74">
        <w:trPr>
          <w:trHeight w:val="307"/>
          <w:jc w:val="center"/>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5C77280" w14:textId="77777777" w:rsidR="006528AA" w:rsidRPr="007E4CC8" w:rsidRDefault="006528AA" w:rsidP="00320E74">
            <w:pPr>
              <w:spacing w:after="0" w:line="240" w:lineRule="auto"/>
              <w:contextualSpacing/>
              <w:textAlignment w:val="center"/>
              <w:rPr>
                <w:color w:val="000000"/>
                <w:sz w:val="20"/>
                <w:szCs w:val="20"/>
              </w:rPr>
            </w:pPr>
            <w:r w:rsidRPr="007E4CC8">
              <w:rPr>
                <w:color w:val="000000"/>
                <w:sz w:val="20"/>
                <w:szCs w:val="20"/>
                <w:lang w:bidi="ar"/>
              </w:rPr>
              <w:lastRenderedPageBreak/>
              <w:t>Physical Examination</w:t>
            </w:r>
          </w:p>
        </w:tc>
        <w:tc>
          <w:tcPr>
            <w:tcW w:w="0" w:type="auto"/>
            <w:tcBorders>
              <w:top w:val="nil"/>
              <w:left w:val="nil"/>
              <w:bottom w:val="single" w:sz="8" w:space="0" w:color="000000"/>
              <w:right w:val="single" w:sz="8" w:space="0" w:color="000000"/>
            </w:tcBorders>
            <w:shd w:val="clear" w:color="auto" w:fill="auto"/>
            <w:vAlign w:val="center"/>
          </w:tcPr>
          <w:p w14:paraId="7F8081C5"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7FFF6AB5"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04ADA39C"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tcPr>
          <w:p w14:paraId="146A42E9"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4B9590B4"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43DD1BBD"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147DED0A"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3DFB6822"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70D6AF79"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7716ADF7"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3C1CC40F"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369A3982"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r w:rsidRPr="007E4CC8">
              <w:rPr>
                <w:rFonts w:eastAsia="等线"/>
                <w:b/>
                <w:bCs/>
                <w:color w:val="000000"/>
                <w:sz w:val="20"/>
                <w:szCs w:val="20"/>
                <w:lang w:bidi="ar"/>
              </w:rPr>
              <w:t xml:space="preserve">　</w:t>
            </w:r>
          </w:p>
        </w:tc>
        <w:tc>
          <w:tcPr>
            <w:tcW w:w="0" w:type="auto"/>
            <w:tcBorders>
              <w:top w:val="nil"/>
              <w:left w:val="nil"/>
              <w:bottom w:val="single" w:sz="8" w:space="0" w:color="000000"/>
              <w:right w:val="single" w:sz="8" w:space="0" w:color="000000"/>
            </w:tcBorders>
            <w:shd w:val="clear" w:color="auto" w:fill="auto"/>
            <w:vAlign w:val="center"/>
          </w:tcPr>
          <w:p w14:paraId="559D03B2"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03A3AAD8"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38DDD884"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31C814B3"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r>
      <w:tr w:rsidR="00A22386" w:rsidRPr="007E4CC8" w14:paraId="5C3BC0BB" w14:textId="77777777" w:rsidTr="00320E74">
        <w:trPr>
          <w:trHeight w:val="292"/>
          <w:jc w:val="center"/>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1BC8BB3" w14:textId="77777777" w:rsidR="006528AA" w:rsidRPr="007E4CC8" w:rsidRDefault="006528AA" w:rsidP="00320E74">
            <w:pPr>
              <w:spacing w:after="0" w:line="240" w:lineRule="auto"/>
              <w:contextualSpacing/>
              <w:textAlignment w:val="center"/>
              <w:rPr>
                <w:color w:val="000000"/>
                <w:sz w:val="20"/>
                <w:szCs w:val="20"/>
              </w:rPr>
            </w:pPr>
            <w:r w:rsidRPr="007E4CC8">
              <w:rPr>
                <w:color w:val="000000"/>
                <w:sz w:val="20"/>
                <w:szCs w:val="20"/>
                <w:lang w:bidi="ar"/>
              </w:rPr>
              <w:t>ECOG Score</w:t>
            </w:r>
          </w:p>
        </w:tc>
        <w:tc>
          <w:tcPr>
            <w:tcW w:w="0" w:type="auto"/>
            <w:tcBorders>
              <w:top w:val="nil"/>
              <w:left w:val="nil"/>
              <w:bottom w:val="single" w:sz="8" w:space="0" w:color="000000"/>
              <w:right w:val="single" w:sz="8" w:space="0" w:color="000000"/>
            </w:tcBorders>
            <w:shd w:val="clear" w:color="auto" w:fill="auto"/>
            <w:vAlign w:val="center"/>
          </w:tcPr>
          <w:p w14:paraId="094806C8"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2B38D557"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3E5D244D"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tcPr>
          <w:p w14:paraId="16467292"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27A6014A"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268C3AD7"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6CBA2477"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3C15EBAE"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2FFF5531"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7174109D"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0CAE52BF"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16A918AB"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70242332"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35673584"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537CE8A3"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79F58D54"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r>
      <w:tr w:rsidR="00A22386" w:rsidRPr="007E4CC8" w14:paraId="6028D5A6" w14:textId="77777777" w:rsidTr="00320E74">
        <w:trPr>
          <w:trHeight w:val="330"/>
          <w:jc w:val="center"/>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B5DB174" w14:textId="77777777" w:rsidR="006528AA" w:rsidRPr="007E4CC8" w:rsidRDefault="006528AA" w:rsidP="00320E74">
            <w:pPr>
              <w:spacing w:after="0" w:line="240" w:lineRule="auto"/>
              <w:contextualSpacing/>
              <w:textAlignment w:val="center"/>
              <w:rPr>
                <w:color w:val="000000"/>
                <w:sz w:val="20"/>
                <w:szCs w:val="20"/>
              </w:rPr>
            </w:pPr>
            <w:r w:rsidRPr="007E4CC8">
              <w:rPr>
                <w:color w:val="000000"/>
                <w:sz w:val="20"/>
                <w:szCs w:val="20"/>
                <w:lang w:bidi="ar"/>
              </w:rPr>
              <w:t xml:space="preserve">12-lead Electrocardiogram </w:t>
            </w:r>
            <w:r w:rsidRPr="007E4CC8">
              <w:rPr>
                <w:rStyle w:val="font41"/>
                <w:sz w:val="20"/>
                <w:szCs w:val="20"/>
                <w:lang w:bidi="ar"/>
              </w:rPr>
              <w:t>13</w:t>
            </w:r>
          </w:p>
        </w:tc>
        <w:tc>
          <w:tcPr>
            <w:tcW w:w="0" w:type="auto"/>
            <w:tcBorders>
              <w:top w:val="nil"/>
              <w:left w:val="nil"/>
              <w:bottom w:val="single" w:sz="8" w:space="0" w:color="000000"/>
              <w:right w:val="single" w:sz="8" w:space="0" w:color="000000"/>
            </w:tcBorders>
            <w:shd w:val="clear" w:color="auto" w:fill="auto"/>
            <w:vAlign w:val="center"/>
          </w:tcPr>
          <w:p w14:paraId="546DA214"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0CEFCBAF"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6665BA0F"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tcPr>
          <w:p w14:paraId="679FC835"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77D095A2"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180955C6"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392C5264"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74618869"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5CBB2C4A"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139EEE60"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532B8408"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477518B9"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724247AC"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73C482D9"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54DCB84A"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3296D9A8" w14:textId="77777777" w:rsidR="006528AA" w:rsidRPr="007E4CC8" w:rsidRDefault="006528AA" w:rsidP="00320E74">
            <w:pPr>
              <w:spacing w:after="0" w:line="240" w:lineRule="auto"/>
              <w:contextualSpacing/>
              <w:jc w:val="center"/>
              <w:rPr>
                <w:rFonts w:eastAsia="等线"/>
                <w:b/>
                <w:bCs/>
                <w:color w:val="000000"/>
                <w:sz w:val="20"/>
                <w:szCs w:val="20"/>
              </w:rPr>
            </w:pPr>
          </w:p>
        </w:tc>
      </w:tr>
      <w:tr w:rsidR="00A22386" w:rsidRPr="007E4CC8" w14:paraId="49966434" w14:textId="77777777" w:rsidTr="00320E74">
        <w:trPr>
          <w:trHeight w:val="577"/>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extDirection w:val="tbRl"/>
            <w:vAlign w:val="center"/>
          </w:tcPr>
          <w:p w14:paraId="1999366C" w14:textId="77777777" w:rsidR="006528AA" w:rsidRPr="007E4CC8" w:rsidRDefault="006528AA" w:rsidP="00320E74">
            <w:pPr>
              <w:spacing w:after="0" w:line="240" w:lineRule="auto"/>
              <w:ind w:left="113" w:right="113"/>
              <w:contextualSpacing/>
              <w:textAlignment w:val="center"/>
              <w:rPr>
                <w:color w:val="000000"/>
                <w:sz w:val="20"/>
                <w:szCs w:val="20"/>
              </w:rPr>
            </w:pPr>
            <w:r w:rsidRPr="007E4CC8">
              <w:rPr>
                <w:color w:val="000000"/>
                <w:sz w:val="20"/>
                <w:szCs w:val="20"/>
                <w:lang w:bidi="ar"/>
              </w:rPr>
              <w:t>Laboratory Tests</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25C97D0A" w14:textId="77777777" w:rsidR="006528AA" w:rsidRPr="007E4CC8" w:rsidRDefault="006528AA" w:rsidP="00320E74">
            <w:pPr>
              <w:spacing w:after="0" w:line="240" w:lineRule="auto"/>
              <w:contextualSpacing/>
              <w:textAlignment w:val="center"/>
              <w:rPr>
                <w:color w:val="000000"/>
                <w:sz w:val="20"/>
                <w:szCs w:val="20"/>
              </w:rPr>
            </w:pPr>
            <w:r w:rsidRPr="007E4CC8">
              <w:rPr>
                <w:color w:val="000000"/>
                <w:sz w:val="20"/>
                <w:szCs w:val="20"/>
                <w:lang w:bidi="ar"/>
              </w:rPr>
              <w:t>Blood Oxygen Saturation Test</w:t>
            </w:r>
          </w:p>
        </w:tc>
        <w:tc>
          <w:tcPr>
            <w:tcW w:w="0" w:type="auto"/>
            <w:tcBorders>
              <w:top w:val="nil"/>
              <w:left w:val="nil"/>
              <w:bottom w:val="single" w:sz="8" w:space="0" w:color="000000"/>
              <w:right w:val="single" w:sz="8" w:space="0" w:color="000000"/>
            </w:tcBorders>
            <w:shd w:val="clear" w:color="auto" w:fill="auto"/>
            <w:vAlign w:val="center"/>
          </w:tcPr>
          <w:p w14:paraId="3DCEBE20"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3F60B521"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gridSpan w:val="14"/>
            <w:tcBorders>
              <w:top w:val="nil"/>
              <w:left w:val="nil"/>
              <w:bottom w:val="single" w:sz="8" w:space="0" w:color="000000"/>
              <w:right w:val="single" w:sz="8" w:space="0" w:color="000000"/>
            </w:tcBorders>
            <w:shd w:val="clear" w:color="auto" w:fill="auto"/>
          </w:tcPr>
          <w:p w14:paraId="7C119537" w14:textId="77777777" w:rsidR="006528AA" w:rsidRPr="007E4CC8" w:rsidRDefault="006528AA" w:rsidP="00320E74">
            <w:pPr>
              <w:spacing w:after="0" w:line="240" w:lineRule="auto"/>
              <w:contextualSpacing/>
              <w:jc w:val="center"/>
              <w:textAlignment w:val="top"/>
              <w:rPr>
                <w:rFonts w:eastAsia="等线"/>
                <w:color w:val="000000"/>
                <w:sz w:val="20"/>
                <w:szCs w:val="20"/>
              </w:rPr>
            </w:pPr>
            <w:r w:rsidRPr="007E4CC8">
              <w:rPr>
                <w:rFonts w:eastAsia="等线"/>
                <w:color w:val="000000"/>
                <w:sz w:val="20"/>
                <w:szCs w:val="20"/>
                <w:lang w:bidi="ar"/>
              </w:rPr>
              <w:t>Women of childbearing potential should be reviewed promptly if they experience suspected pregnancy, such as menopause, vomiting, abdominal pain, and vaginal bleeding, according to clinical indicators</w:t>
            </w:r>
          </w:p>
        </w:tc>
      </w:tr>
      <w:tr w:rsidR="00A22386" w:rsidRPr="007E4CC8" w14:paraId="344F5F32" w14:textId="77777777" w:rsidTr="00320E74">
        <w:trPr>
          <w:trHeight w:val="613"/>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tcPr>
          <w:p w14:paraId="298EF73C" w14:textId="77777777" w:rsidR="006528AA" w:rsidRPr="007E4CC8" w:rsidRDefault="006528AA" w:rsidP="00320E74">
            <w:pPr>
              <w:spacing w:after="0" w:line="240" w:lineRule="auto"/>
              <w:contextualSpacing/>
              <w:rPr>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6CAF7231" w14:textId="77777777" w:rsidR="006528AA" w:rsidRPr="007E4CC8" w:rsidRDefault="006528AA" w:rsidP="00320E74">
            <w:pPr>
              <w:spacing w:after="0" w:line="240" w:lineRule="auto"/>
              <w:contextualSpacing/>
              <w:textAlignment w:val="center"/>
              <w:rPr>
                <w:color w:val="000000"/>
                <w:sz w:val="20"/>
                <w:szCs w:val="20"/>
              </w:rPr>
            </w:pPr>
            <w:r w:rsidRPr="007E4CC8">
              <w:rPr>
                <w:color w:val="000000"/>
                <w:sz w:val="20"/>
                <w:szCs w:val="20"/>
                <w:lang w:bidi="ar"/>
              </w:rPr>
              <w:t>Blood Pregnancy test</w:t>
            </w:r>
            <w:r w:rsidRPr="007E4CC8">
              <w:rPr>
                <w:rStyle w:val="font41"/>
                <w:sz w:val="20"/>
                <w:szCs w:val="20"/>
                <w:lang w:bidi="ar"/>
              </w:rPr>
              <w:t>14</w:t>
            </w:r>
          </w:p>
        </w:tc>
        <w:tc>
          <w:tcPr>
            <w:tcW w:w="0" w:type="auto"/>
            <w:tcBorders>
              <w:top w:val="nil"/>
              <w:left w:val="nil"/>
              <w:bottom w:val="single" w:sz="8" w:space="0" w:color="000000"/>
              <w:right w:val="single" w:sz="8" w:space="0" w:color="000000"/>
            </w:tcBorders>
            <w:shd w:val="clear" w:color="auto" w:fill="auto"/>
            <w:vAlign w:val="center"/>
          </w:tcPr>
          <w:p w14:paraId="21BCA0E3"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5C74EB45"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0C72A8DC" w14:textId="77777777" w:rsidR="006528AA" w:rsidRPr="007E4CC8" w:rsidRDefault="006528AA" w:rsidP="00320E74">
            <w:pPr>
              <w:spacing w:after="0" w:line="240" w:lineRule="auto"/>
              <w:contextualSpacing/>
              <w:jc w:val="center"/>
              <w:rPr>
                <w:rFonts w:eastAsia="等线"/>
                <w:color w:val="000000"/>
                <w:sz w:val="20"/>
                <w:szCs w:val="20"/>
              </w:rPr>
            </w:pPr>
          </w:p>
        </w:tc>
        <w:tc>
          <w:tcPr>
            <w:tcW w:w="0" w:type="auto"/>
            <w:tcBorders>
              <w:top w:val="nil"/>
              <w:left w:val="nil"/>
              <w:bottom w:val="single" w:sz="8" w:space="0" w:color="000000"/>
              <w:right w:val="single" w:sz="8" w:space="0" w:color="000000"/>
            </w:tcBorders>
            <w:shd w:val="clear" w:color="auto" w:fill="auto"/>
          </w:tcPr>
          <w:p w14:paraId="25C4BDE4" w14:textId="77777777" w:rsidR="006528AA" w:rsidRPr="007E4CC8" w:rsidRDefault="006528AA" w:rsidP="00320E74">
            <w:pPr>
              <w:spacing w:after="0" w:line="240" w:lineRule="auto"/>
              <w:contextualSpacing/>
              <w:jc w:val="center"/>
              <w:rPr>
                <w:rFonts w:eastAsia="等线"/>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07B58FA0" w14:textId="77777777" w:rsidR="006528AA" w:rsidRPr="007E4CC8" w:rsidRDefault="006528AA" w:rsidP="00320E74">
            <w:pPr>
              <w:spacing w:after="0" w:line="240" w:lineRule="auto"/>
              <w:contextualSpacing/>
              <w:jc w:val="center"/>
              <w:rPr>
                <w:rFonts w:eastAsia="等线"/>
                <w:color w:val="000000"/>
                <w:sz w:val="20"/>
                <w:szCs w:val="20"/>
              </w:rPr>
            </w:pPr>
          </w:p>
        </w:tc>
        <w:tc>
          <w:tcPr>
            <w:tcW w:w="0" w:type="auto"/>
            <w:tcBorders>
              <w:top w:val="single" w:sz="8" w:space="0" w:color="000000"/>
              <w:left w:val="nil"/>
              <w:bottom w:val="single" w:sz="8" w:space="0" w:color="000000"/>
              <w:right w:val="single" w:sz="8" w:space="0" w:color="000000"/>
            </w:tcBorders>
            <w:shd w:val="clear" w:color="auto" w:fill="auto"/>
            <w:vAlign w:val="center"/>
          </w:tcPr>
          <w:p w14:paraId="5B539EA7" w14:textId="77777777" w:rsidR="006528AA" w:rsidRPr="007E4CC8" w:rsidRDefault="006528AA" w:rsidP="00320E74">
            <w:pPr>
              <w:spacing w:after="0" w:line="240" w:lineRule="auto"/>
              <w:contextualSpacing/>
              <w:jc w:val="center"/>
              <w:rPr>
                <w:rFonts w:eastAsia="等线"/>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31FA48FB" w14:textId="77777777" w:rsidR="006528AA" w:rsidRPr="007E4CC8" w:rsidRDefault="006528AA" w:rsidP="00320E74">
            <w:pPr>
              <w:spacing w:after="0" w:line="240" w:lineRule="auto"/>
              <w:contextualSpacing/>
              <w:jc w:val="center"/>
              <w:rPr>
                <w:rFonts w:eastAsia="等线"/>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69CE96A1" w14:textId="77777777" w:rsidR="006528AA" w:rsidRPr="007E4CC8" w:rsidRDefault="006528AA" w:rsidP="00320E74">
            <w:pPr>
              <w:spacing w:after="0" w:line="240" w:lineRule="auto"/>
              <w:contextualSpacing/>
              <w:jc w:val="center"/>
              <w:rPr>
                <w:rFonts w:eastAsia="等线"/>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35758956" w14:textId="77777777" w:rsidR="006528AA" w:rsidRPr="007E4CC8" w:rsidRDefault="006528AA" w:rsidP="00320E74">
            <w:pPr>
              <w:spacing w:after="0" w:line="240" w:lineRule="auto"/>
              <w:contextualSpacing/>
              <w:jc w:val="center"/>
              <w:rPr>
                <w:rFonts w:eastAsia="等线"/>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792282D4" w14:textId="77777777" w:rsidR="006528AA" w:rsidRPr="007E4CC8" w:rsidRDefault="006528AA" w:rsidP="00320E74">
            <w:pPr>
              <w:spacing w:after="0" w:line="240" w:lineRule="auto"/>
              <w:contextualSpacing/>
              <w:jc w:val="center"/>
              <w:rPr>
                <w:rFonts w:eastAsia="等线"/>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3C01F002" w14:textId="77777777" w:rsidR="006528AA" w:rsidRPr="007E4CC8" w:rsidRDefault="006528AA" w:rsidP="00320E74">
            <w:pPr>
              <w:spacing w:after="0" w:line="240" w:lineRule="auto"/>
              <w:contextualSpacing/>
              <w:jc w:val="center"/>
              <w:rPr>
                <w:rFonts w:eastAsia="等线"/>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31615345" w14:textId="77777777" w:rsidR="006528AA" w:rsidRPr="007E4CC8" w:rsidRDefault="006528AA" w:rsidP="00320E74">
            <w:pPr>
              <w:spacing w:after="0" w:line="240" w:lineRule="auto"/>
              <w:contextualSpacing/>
              <w:jc w:val="center"/>
              <w:rPr>
                <w:rFonts w:eastAsia="等线"/>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7DC45009" w14:textId="77777777" w:rsidR="006528AA" w:rsidRPr="007E4CC8" w:rsidRDefault="006528AA" w:rsidP="00320E74">
            <w:pPr>
              <w:spacing w:after="0" w:line="240" w:lineRule="auto"/>
              <w:contextualSpacing/>
              <w:jc w:val="center"/>
              <w:rPr>
                <w:rFonts w:eastAsia="等线"/>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6F3F5E88" w14:textId="77777777" w:rsidR="006528AA" w:rsidRPr="007E4CC8" w:rsidRDefault="006528AA" w:rsidP="00320E74">
            <w:pPr>
              <w:spacing w:after="0" w:line="240" w:lineRule="auto"/>
              <w:contextualSpacing/>
              <w:jc w:val="center"/>
              <w:rPr>
                <w:rFonts w:eastAsia="等线"/>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6D1A6B95" w14:textId="77777777" w:rsidR="006528AA" w:rsidRPr="007E4CC8" w:rsidRDefault="006528AA" w:rsidP="00320E74">
            <w:pPr>
              <w:spacing w:after="0" w:line="240" w:lineRule="auto"/>
              <w:contextualSpacing/>
              <w:jc w:val="center"/>
              <w:rPr>
                <w:rFonts w:eastAsia="等线"/>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299E2DCA" w14:textId="77777777" w:rsidR="006528AA" w:rsidRPr="007E4CC8" w:rsidRDefault="006528AA" w:rsidP="00320E74">
            <w:pPr>
              <w:spacing w:after="0" w:line="240" w:lineRule="auto"/>
              <w:contextualSpacing/>
              <w:jc w:val="center"/>
              <w:rPr>
                <w:rFonts w:eastAsia="等线"/>
                <w:color w:val="000000"/>
                <w:sz w:val="20"/>
                <w:szCs w:val="20"/>
              </w:rPr>
            </w:pPr>
          </w:p>
        </w:tc>
      </w:tr>
      <w:tr w:rsidR="00A22386" w:rsidRPr="007E4CC8" w14:paraId="0E37003B" w14:textId="77777777" w:rsidTr="00320E74">
        <w:trPr>
          <w:trHeight w:val="523"/>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tcPr>
          <w:p w14:paraId="6403DF92" w14:textId="77777777" w:rsidR="006528AA" w:rsidRPr="007E4CC8" w:rsidRDefault="006528AA" w:rsidP="00320E74">
            <w:pPr>
              <w:spacing w:after="0" w:line="240" w:lineRule="auto"/>
              <w:contextualSpacing/>
              <w:rPr>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03A4DF26" w14:textId="77777777" w:rsidR="006528AA" w:rsidRPr="007E4CC8" w:rsidRDefault="006528AA" w:rsidP="00320E74">
            <w:pPr>
              <w:spacing w:after="0" w:line="240" w:lineRule="auto"/>
              <w:contextualSpacing/>
              <w:textAlignment w:val="center"/>
              <w:rPr>
                <w:color w:val="000000"/>
                <w:sz w:val="20"/>
                <w:szCs w:val="20"/>
              </w:rPr>
            </w:pPr>
            <w:r w:rsidRPr="007E4CC8">
              <w:rPr>
                <w:color w:val="000000"/>
                <w:sz w:val="20"/>
                <w:szCs w:val="20"/>
                <w:lang w:bidi="ar"/>
              </w:rPr>
              <w:t>Virology/Syphilis test</w:t>
            </w:r>
            <w:r w:rsidRPr="007E4CC8">
              <w:rPr>
                <w:rStyle w:val="font41"/>
                <w:sz w:val="20"/>
                <w:szCs w:val="20"/>
                <w:lang w:bidi="ar"/>
              </w:rPr>
              <w:t>15</w:t>
            </w:r>
          </w:p>
        </w:tc>
        <w:tc>
          <w:tcPr>
            <w:tcW w:w="0" w:type="auto"/>
            <w:tcBorders>
              <w:top w:val="nil"/>
              <w:left w:val="nil"/>
              <w:bottom w:val="single" w:sz="8" w:space="0" w:color="000000"/>
              <w:right w:val="single" w:sz="8" w:space="0" w:color="000000"/>
            </w:tcBorders>
            <w:shd w:val="clear" w:color="auto" w:fill="auto"/>
            <w:vAlign w:val="center"/>
          </w:tcPr>
          <w:p w14:paraId="671178FD"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245B66FE"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618AD305"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tcPr>
          <w:p w14:paraId="25CE623A"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799B04C3"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4B12A7CC"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25BC19CC"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3C367509"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1034B084"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50646E0D"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37DEC81B"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78AF9669"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r w:rsidRPr="007E4CC8">
              <w:rPr>
                <w:rFonts w:eastAsia="等线"/>
                <w:b/>
                <w:bCs/>
                <w:color w:val="000000"/>
                <w:sz w:val="20"/>
                <w:szCs w:val="20"/>
                <w:lang w:bidi="ar"/>
              </w:rPr>
              <w:t xml:space="preserve">　</w:t>
            </w:r>
          </w:p>
        </w:tc>
        <w:tc>
          <w:tcPr>
            <w:tcW w:w="0" w:type="auto"/>
            <w:tcBorders>
              <w:top w:val="nil"/>
              <w:left w:val="nil"/>
              <w:bottom w:val="single" w:sz="8" w:space="0" w:color="000000"/>
              <w:right w:val="single" w:sz="8" w:space="0" w:color="000000"/>
            </w:tcBorders>
            <w:shd w:val="clear" w:color="auto" w:fill="auto"/>
            <w:vAlign w:val="center"/>
          </w:tcPr>
          <w:p w14:paraId="032A3BD9"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0646B77F"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61FA3770"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572DAC47"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r>
      <w:tr w:rsidR="00A22386" w:rsidRPr="007E4CC8" w14:paraId="30FE7D19" w14:textId="77777777" w:rsidTr="00320E74">
        <w:trPr>
          <w:trHeight w:val="413"/>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tcPr>
          <w:p w14:paraId="6F108224" w14:textId="77777777" w:rsidR="006528AA" w:rsidRPr="007E4CC8" w:rsidRDefault="006528AA" w:rsidP="00320E74">
            <w:pPr>
              <w:spacing w:after="0" w:line="240" w:lineRule="auto"/>
              <w:contextualSpacing/>
              <w:rPr>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675D8D72" w14:textId="098F8EB6" w:rsidR="006528AA" w:rsidRPr="007E4CC8" w:rsidRDefault="006528AA" w:rsidP="00320E74">
            <w:pPr>
              <w:spacing w:after="0" w:line="240" w:lineRule="auto"/>
              <w:contextualSpacing/>
              <w:textAlignment w:val="center"/>
              <w:rPr>
                <w:color w:val="000000"/>
                <w:sz w:val="20"/>
                <w:szCs w:val="20"/>
              </w:rPr>
            </w:pPr>
            <w:r w:rsidRPr="007E4CC8">
              <w:rPr>
                <w:color w:val="000000"/>
                <w:sz w:val="20"/>
                <w:szCs w:val="20"/>
                <w:lang w:bidi="ar"/>
              </w:rPr>
              <w:t>Hem</w:t>
            </w:r>
            <w:r w:rsidR="00EA599D">
              <w:rPr>
                <w:color w:val="000000"/>
                <w:sz w:val="20"/>
                <w:szCs w:val="20"/>
                <w:lang w:bidi="ar"/>
              </w:rPr>
              <w:t>a</w:t>
            </w:r>
            <w:r w:rsidRPr="007E4CC8">
              <w:rPr>
                <w:color w:val="000000"/>
                <w:sz w:val="20"/>
                <w:szCs w:val="20"/>
                <w:lang w:bidi="ar"/>
              </w:rPr>
              <w:t>tology</w:t>
            </w:r>
          </w:p>
        </w:tc>
        <w:tc>
          <w:tcPr>
            <w:tcW w:w="0" w:type="auto"/>
            <w:tcBorders>
              <w:top w:val="nil"/>
              <w:left w:val="nil"/>
              <w:bottom w:val="single" w:sz="8" w:space="0" w:color="000000"/>
              <w:right w:val="single" w:sz="8" w:space="0" w:color="000000"/>
            </w:tcBorders>
            <w:shd w:val="clear" w:color="auto" w:fill="auto"/>
            <w:vAlign w:val="center"/>
          </w:tcPr>
          <w:p w14:paraId="0B083DB0"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5633324C"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r w:rsidRPr="007E4CC8">
              <w:rPr>
                <w:rFonts w:eastAsia="等线"/>
                <w:b/>
                <w:bCs/>
                <w:color w:val="000000"/>
                <w:sz w:val="20"/>
                <w:szCs w:val="20"/>
                <w:lang w:bidi="ar"/>
              </w:rPr>
              <w:t xml:space="preserve">　</w:t>
            </w:r>
          </w:p>
        </w:tc>
        <w:tc>
          <w:tcPr>
            <w:tcW w:w="0" w:type="auto"/>
            <w:tcBorders>
              <w:top w:val="nil"/>
              <w:left w:val="nil"/>
              <w:bottom w:val="single" w:sz="8" w:space="0" w:color="000000"/>
              <w:right w:val="single" w:sz="8" w:space="0" w:color="000000"/>
            </w:tcBorders>
            <w:shd w:val="clear" w:color="auto" w:fill="auto"/>
            <w:vAlign w:val="center"/>
          </w:tcPr>
          <w:p w14:paraId="051D71A4"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tcPr>
          <w:p w14:paraId="559D66DC"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127FEE4D"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50E5B46C"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174772C5"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2B0AB9BF"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5584A77B"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r w:rsidRPr="007E4CC8">
              <w:rPr>
                <w:rFonts w:eastAsia="等线"/>
                <w:b/>
                <w:bCs/>
                <w:color w:val="000000"/>
                <w:sz w:val="20"/>
                <w:szCs w:val="20"/>
                <w:lang w:bidi="ar"/>
              </w:rPr>
              <w:t xml:space="preserve">　</w:t>
            </w:r>
          </w:p>
        </w:tc>
        <w:tc>
          <w:tcPr>
            <w:tcW w:w="0" w:type="auto"/>
            <w:tcBorders>
              <w:top w:val="nil"/>
              <w:left w:val="nil"/>
              <w:bottom w:val="single" w:sz="8" w:space="0" w:color="000000"/>
              <w:right w:val="single" w:sz="8" w:space="0" w:color="000000"/>
            </w:tcBorders>
            <w:shd w:val="clear" w:color="auto" w:fill="auto"/>
            <w:vAlign w:val="center"/>
          </w:tcPr>
          <w:p w14:paraId="5D1A0461"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4A26F041"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52DBC07C"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r w:rsidRPr="007E4CC8">
              <w:rPr>
                <w:rFonts w:eastAsia="等线"/>
                <w:b/>
                <w:bCs/>
                <w:color w:val="000000"/>
                <w:sz w:val="20"/>
                <w:szCs w:val="20"/>
                <w:lang w:bidi="ar"/>
              </w:rPr>
              <w:t xml:space="preserve">　</w:t>
            </w:r>
          </w:p>
        </w:tc>
        <w:tc>
          <w:tcPr>
            <w:tcW w:w="0" w:type="auto"/>
            <w:tcBorders>
              <w:top w:val="nil"/>
              <w:left w:val="nil"/>
              <w:bottom w:val="single" w:sz="8" w:space="0" w:color="000000"/>
              <w:right w:val="single" w:sz="8" w:space="0" w:color="000000"/>
            </w:tcBorders>
            <w:shd w:val="clear" w:color="auto" w:fill="auto"/>
            <w:vAlign w:val="center"/>
          </w:tcPr>
          <w:p w14:paraId="53742AD7"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2A9C531F"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4A2D9E02"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53139315"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r>
      <w:tr w:rsidR="00A22386" w:rsidRPr="007E4CC8" w14:paraId="546BF948" w14:textId="77777777" w:rsidTr="00320E74">
        <w:trPr>
          <w:trHeight w:val="413"/>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tcPr>
          <w:p w14:paraId="2E11F436" w14:textId="77777777" w:rsidR="006528AA" w:rsidRPr="007E4CC8" w:rsidRDefault="006528AA" w:rsidP="00320E74">
            <w:pPr>
              <w:spacing w:after="0" w:line="240" w:lineRule="auto"/>
              <w:contextualSpacing/>
              <w:rPr>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01D28414" w14:textId="6A0F76DB" w:rsidR="006528AA" w:rsidRPr="007E4CC8" w:rsidRDefault="00A324D3" w:rsidP="00320E74">
            <w:pPr>
              <w:spacing w:after="0" w:line="240" w:lineRule="auto"/>
              <w:contextualSpacing/>
              <w:textAlignment w:val="center"/>
              <w:rPr>
                <w:color w:val="000000"/>
                <w:sz w:val="20"/>
                <w:szCs w:val="20"/>
              </w:rPr>
            </w:pPr>
            <w:r>
              <w:rPr>
                <w:color w:val="000000"/>
                <w:sz w:val="20"/>
                <w:szCs w:val="20"/>
                <w:lang w:bidi="ar"/>
              </w:rPr>
              <w:t>Blood biochemical indexes</w:t>
            </w:r>
          </w:p>
        </w:tc>
        <w:tc>
          <w:tcPr>
            <w:tcW w:w="0" w:type="auto"/>
            <w:tcBorders>
              <w:top w:val="nil"/>
              <w:left w:val="nil"/>
              <w:bottom w:val="single" w:sz="8" w:space="0" w:color="000000"/>
              <w:right w:val="single" w:sz="8" w:space="0" w:color="000000"/>
            </w:tcBorders>
            <w:shd w:val="clear" w:color="auto" w:fill="auto"/>
            <w:vAlign w:val="center"/>
          </w:tcPr>
          <w:p w14:paraId="0421992F"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17FE501C"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r w:rsidRPr="007E4CC8">
              <w:rPr>
                <w:rFonts w:eastAsia="等线"/>
                <w:b/>
                <w:bCs/>
                <w:color w:val="000000"/>
                <w:sz w:val="20"/>
                <w:szCs w:val="20"/>
                <w:lang w:bidi="ar"/>
              </w:rPr>
              <w:t xml:space="preserve">　</w:t>
            </w:r>
          </w:p>
        </w:tc>
        <w:tc>
          <w:tcPr>
            <w:tcW w:w="0" w:type="auto"/>
            <w:tcBorders>
              <w:top w:val="nil"/>
              <w:left w:val="nil"/>
              <w:bottom w:val="single" w:sz="8" w:space="0" w:color="000000"/>
              <w:right w:val="single" w:sz="8" w:space="0" w:color="000000"/>
            </w:tcBorders>
            <w:shd w:val="clear" w:color="auto" w:fill="auto"/>
            <w:vAlign w:val="center"/>
          </w:tcPr>
          <w:p w14:paraId="1253F6D7"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tcPr>
          <w:p w14:paraId="3A3154EF"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11942736"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7BB0FE42"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50171A4B"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215893E1"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5E2DD00A"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r w:rsidRPr="007E4CC8">
              <w:rPr>
                <w:rFonts w:eastAsia="等线"/>
                <w:b/>
                <w:bCs/>
                <w:color w:val="000000"/>
                <w:sz w:val="20"/>
                <w:szCs w:val="20"/>
                <w:lang w:bidi="ar"/>
              </w:rPr>
              <w:t xml:space="preserve">　</w:t>
            </w:r>
          </w:p>
        </w:tc>
        <w:tc>
          <w:tcPr>
            <w:tcW w:w="0" w:type="auto"/>
            <w:tcBorders>
              <w:top w:val="nil"/>
              <w:left w:val="nil"/>
              <w:bottom w:val="single" w:sz="8" w:space="0" w:color="000000"/>
              <w:right w:val="single" w:sz="8" w:space="0" w:color="000000"/>
            </w:tcBorders>
            <w:shd w:val="clear" w:color="auto" w:fill="auto"/>
            <w:vAlign w:val="center"/>
          </w:tcPr>
          <w:p w14:paraId="1E92FD68"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0810363B"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r w:rsidRPr="007E4CC8">
              <w:rPr>
                <w:rFonts w:eastAsia="等线"/>
                <w:b/>
                <w:bCs/>
                <w:color w:val="000000"/>
                <w:sz w:val="20"/>
                <w:szCs w:val="20"/>
                <w:lang w:bidi="ar"/>
              </w:rPr>
              <w:t xml:space="preserve">　</w:t>
            </w:r>
          </w:p>
        </w:tc>
        <w:tc>
          <w:tcPr>
            <w:tcW w:w="0" w:type="auto"/>
            <w:tcBorders>
              <w:top w:val="nil"/>
              <w:left w:val="nil"/>
              <w:bottom w:val="single" w:sz="8" w:space="0" w:color="000000"/>
              <w:right w:val="single" w:sz="8" w:space="0" w:color="000000"/>
            </w:tcBorders>
            <w:shd w:val="clear" w:color="auto" w:fill="auto"/>
            <w:vAlign w:val="center"/>
          </w:tcPr>
          <w:p w14:paraId="70FD38CB"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r w:rsidRPr="007E4CC8">
              <w:rPr>
                <w:rFonts w:eastAsia="等线"/>
                <w:b/>
                <w:bCs/>
                <w:color w:val="000000"/>
                <w:sz w:val="20"/>
                <w:szCs w:val="20"/>
                <w:lang w:bidi="ar"/>
              </w:rPr>
              <w:t xml:space="preserve">　</w:t>
            </w:r>
          </w:p>
        </w:tc>
        <w:tc>
          <w:tcPr>
            <w:tcW w:w="0" w:type="auto"/>
            <w:tcBorders>
              <w:top w:val="nil"/>
              <w:left w:val="nil"/>
              <w:bottom w:val="single" w:sz="8" w:space="0" w:color="000000"/>
              <w:right w:val="single" w:sz="8" w:space="0" w:color="000000"/>
            </w:tcBorders>
            <w:shd w:val="clear" w:color="auto" w:fill="auto"/>
            <w:vAlign w:val="center"/>
          </w:tcPr>
          <w:p w14:paraId="3D78A8E6"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58F461C9"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32583AE1"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7DD7A1ED"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r>
      <w:tr w:rsidR="00A22386" w:rsidRPr="007E4CC8" w14:paraId="4F928EF6" w14:textId="77777777" w:rsidTr="00320E74">
        <w:trPr>
          <w:trHeight w:val="413"/>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tcPr>
          <w:p w14:paraId="4D47267B" w14:textId="77777777" w:rsidR="006528AA" w:rsidRPr="007E4CC8" w:rsidRDefault="006528AA" w:rsidP="00320E74">
            <w:pPr>
              <w:spacing w:after="0" w:line="240" w:lineRule="auto"/>
              <w:contextualSpacing/>
              <w:rPr>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3D9C2908" w14:textId="77777777" w:rsidR="006528AA" w:rsidRPr="007E4CC8" w:rsidRDefault="006528AA" w:rsidP="00320E74">
            <w:pPr>
              <w:spacing w:after="0" w:line="240" w:lineRule="auto"/>
              <w:contextualSpacing/>
              <w:textAlignment w:val="center"/>
              <w:rPr>
                <w:color w:val="000000"/>
                <w:sz w:val="20"/>
                <w:szCs w:val="20"/>
              </w:rPr>
            </w:pPr>
            <w:r w:rsidRPr="007E4CC8">
              <w:rPr>
                <w:color w:val="000000"/>
                <w:sz w:val="20"/>
                <w:szCs w:val="20"/>
                <w:lang w:bidi="ar"/>
              </w:rPr>
              <w:t>Coagulation</w:t>
            </w:r>
          </w:p>
        </w:tc>
        <w:tc>
          <w:tcPr>
            <w:tcW w:w="0" w:type="auto"/>
            <w:tcBorders>
              <w:top w:val="nil"/>
              <w:left w:val="nil"/>
              <w:bottom w:val="single" w:sz="8" w:space="0" w:color="000000"/>
              <w:right w:val="single" w:sz="8" w:space="0" w:color="000000"/>
            </w:tcBorders>
            <w:shd w:val="clear" w:color="auto" w:fill="auto"/>
            <w:vAlign w:val="center"/>
          </w:tcPr>
          <w:p w14:paraId="2ADEE469"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43ED5514"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r w:rsidRPr="007E4CC8">
              <w:rPr>
                <w:rFonts w:eastAsia="等线"/>
                <w:b/>
                <w:bCs/>
                <w:color w:val="000000"/>
                <w:sz w:val="20"/>
                <w:szCs w:val="20"/>
                <w:lang w:bidi="ar"/>
              </w:rPr>
              <w:t xml:space="preserve">　</w:t>
            </w:r>
          </w:p>
        </w:tc>
        <w:tc>
          <w:tcPr>
            <w:tcW w:w="0" w:type="auto"/>
            <w:tcBorders>
              <w:top w:val="nil"/>
              <w:left w:val="nil"/>
              <w:bottom w:val="single" w:sz="8" w:space="0" w:color="000000"/>
              <w:right w:val="single" w:sz="8" w:space="0" w:color="000000"/>
            </w:tcBorders>
            <w:shd w:val="clear" w:color="auto" w:fill="auto"/>
            <w:vAlign w:val="center"/>
          </w:tcPr>
          <w:p w14:paraId="02E5BE4E"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tcPr>
          <w:p w14:paraId="42C2683D"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3725C4F4"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3F01987C"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3B43B0B4"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2EDEB332"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308D5BC8"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r w:rsidRPr="007E4CC8">
              <w:rPr>
                <w:rFonts w:eastAsia="等线"/>
                <w:b/>
                <w:bCs/>
                <w:color w:val="000000"/>
                <w:sz w:val="20"/>
                <w:szCs w:val="20"/>
                <w:lang w:bidi="ar"/>
              </w:rPr>
              <w:t xml:space="preserve">　</w:t>
            </w:r>
          </w:p>
        </w:tc>
        <w:tc>
          <w:tcPr>
            <w:tcW w:w="0" w:type="auto"/>
            <w:tcBorders>
              <w:top w:val="nil"/>
              <w:left w:val="nil"/>
              <w:bottom w:val="single" w:sz="8" w:space="0" w:color="000000"/>
              <w:right w:val="single" w:sz="8" w:space="0" w:color="000000"/>
            </w:tcBorders>
            <w:shd w:val="clear" w:color="auto" w:fill="auto"/>
            <w:vAlign w:val="center"/>
          </w:tcPr>
          <w:p w14:paraId="3A06E099"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34E3185D"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072A65E8"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r w:rsidRPr="007E4CC8">
              <w:rPr>
                <w:rFonts w:eastAsia="等线"/>
                <w:b/>
                <w:bCs/>
                <w:color w:val="000000"/>
                <w:sz w:val="20"/>
                <w:szCs w:val="20"/>
                <w:lang w:bidi="ar"/>
              </w:rPr>
              <w:t xml:space="preserve">　</w:t>
            </w:r>
          </w:p>
        </w:tc>
        <w:tc>
          <w:tcPr>
            <w:tcW w:w="0" w:type="auto"/>
            <w:tcBorders>
              <w:top w:val="nil"/>
              <w:left w:val="nil"/>
              <w:bottom w:val="single" w:sz="8" w:space="0" w:color="000000"/>
              <w:right w:val="single" w:sz="8" w:space="0" w:color="000000"/>
            </w:tcBorders>
            <w:shd w:val="clear" w:color="auto" w:fill="auto"/>
            <w:vAlign w:val="center"/>
          </w:tcPr>
          <w:p w14:paraId="009418A7"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4C8267F4"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41DAD8B4"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03B84743"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r>
      <w:tr w:rsidR="00A22386" w:rsidRPr="007E4CC8" w14:paraId="0498EAE2" w14:textId="77777777" w:rsidTr="00320E74">
        <w:trPr>
          <w:trHeight w:val="413"/>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tcPr>
          <w:p w14:paraId="448340FE" w14:textId="77777777" w:rsidR="006528AA" w:rsidRPr="007E4CC8" w:rsidRDefault="006528AA" w:rsidP="00320E74">
            <w:pPr>
              <w:spacing w:after="0" w:line="240" w:lineRule="auto"/>
              <w:contextualSpacing/>
              <w:rPr>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7A613101" w14:textId="77777777" w:rsidR="006528AA" w:rsidRPr="007E4CC8" w:rsidRDefault="006528AA" w:rsidP="00320E74">
            <w:pPr>
              <w:spacing w:after="0" w:line="240" w:lineRule="auto"/>
              <w:contextualSpacing/>
              <w:textAlignment w:val="center"/>
              <w:rPr>
                <w:color w:val="000000"/>
                <w:sz w:val="20"/>
                <w:szCs w:val="20"/>
              </w:rPr>
            </w:pPr>
            <w:r w:rsidRPr="007E4CC8">
              <w:rPr>
                <w:color w:val="000000"/>
                <w:sz w:val="20"/>
                <w:szCs w:val="20"/>
                <w:lang w:bidi="ar"/>
              </w:rPr>
              <w:t>Urinalysis</w:t>
            </w:r>
          </w:p>
        </w:tc>
        <w:tc>
          <w:tcPr>
            <w:tcW w:w="0" w:type="auto"/>
            <w:tcBorders>
              <w:top w:val="nil"/>
              <w:left w:val="nil"/>
              <w:bottom w:val="single" w:sz="8" w:space="0" w:color="000000"/>
              <w:right w:val="single" w:sz="8" w:space="0" w:color="000000"/>
            </w:tcBorders>
            <w:shd w:val="clear" w:color="auto" w:fill="auto"/>
            <w:vAlign w:val="center"/>
          </w:tcPr>
          <w:p w14:paraId="7DA1E04E"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462714BC"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645348A3"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r w:rsidRPr="007E4CC8">
              <w:rPr>
                <w:rFonts w:eastAsia="等线"/>
                <w:b/>
                <w:bCs/>
                <w:color w:val="000000"/>
                <w:sz w:val="20"/>
                <w:szCs w:val="20"/>
                <w:lang w:bidi="ar"/>
              </w:rPr>
              <w:t xml:space="preserve">　</w:t>
            </w:r>
          </w:p>
        </w:tc>
        <w:tc>
          <w:tcPr>
            <w:tcW w:w="0" w:type="auto"/>
            <w:tcBorders>
              <w:top w:val="nil"/>
              <w:left w:val="nil"/>
              <w:bottom w:val="single" w:sz="8" w:space="0" w:color="000000"/>
              <w:right w:val="single" w:sz="8" w:space="0" w:color="000000"/>
            </w:tcBorders>
            <w:shd w:val="clear" w:color="auto" w:fill="auto"/>
          </w:tcPr>
          <w:p w14:paraId="6A1674F9"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7A92538A"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5A9BC23A"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247716E5"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07B61148"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6EC1B292"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17EC8CD1"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68E2F87A"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66635641"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r w:rsidRPr="007E4CC8">
              <w:rPr>
                <w:rFonts w:eastAsia="等线"/>
                <w:b/>
                <w:bCs/>
                <w:color w:val="000000"/>
                <w:sz w:val="20"/>
                <w:szCs w:val="20"/>
                <w:lang w:bidi="ar"/>
              </w:rPr>
              <w:t xml:space="preserve">　</w:t>
            </w:r>
          </w:p>
        </w:tc>
        <w:tc>
          <w:tcPr>
            <w:tcW w:w="0" w:type="auto"/>
            <w:tcBorders>
              <w:top w:val="nil"/>
              <w:left w:val="nil"/>
              <w:bottom w:val="single" w:sz="8" w:space="0" w:color="000000"/>
              <w:right w:val="single" w:sz="8" w:space="0" w:color="000000"/>
            </w:tcBorders>
            <w:shd w:val="clear" w:color="auto" w:fill="auto"/>
            <w:vAlign w:val="center"/>
          </w:tcPr>
          <w:p w14:paraId="0BF0F813"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36699911"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r w:rsidRPr="007E4CC8">
              <w:rPr>
                <w:rFonts w:eastAsia="等线"/>
                <w:b/>
                <w:bCs/>
                <w:color w:val="000000"/>
                <w:sz w:val="20"/>
                <w:szCs w:val="20"/>
                <w:lang w:bidi="ar"/>
              </w:rPr>
              <w:t xml:space="preserve">　</w:t>
            </w:r>
          </w:p>
        </w:tc>
        <w:tc>
          <w:tcPr>
            <w:tcW w:w="0" w:type="auto"/>
            <w:tcBorders>
              <w:top w:val="nil"/>
              <w:left w:val="nil"/>
              <w:bottom w:val="single" w:sz="8" w:space="0" w:color="000000"/>
              <w:right w:val="single" w:sz="8" w:space="0" w:color="000000"/>
            </w:tcBorders>
            <w:shd w:val="clear" w:color="auto" w:fill="auto"/>
            <w:vAlign w:val="center"/>
          </w:tcPr>
          <w:p w14:paraId="0C21E271"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0AF8C48C" w14:textId="77777777" w:rsidR="006528AA" w:rsidRPr="007E4CC8" w:rsidRDefault="006528AA" w:rsidP="00320E74">
            <w:pPr>
              <w:spacing w:after="0" w:line="240" w:lineRule="auto"/>
              <w:contextualSpacing/>
              <w:jc w:val="center"/>
              <w:rPr>
                <w:rFonts w:eastAsia="等线"/>
                <w:b/>
                <w:bCs/>
                <w:color w:val="000000"/>
                <w:sz w:val="20"/>
                <w:szCs w:val="20"/>
              </w:rPr>
            </w:pPr>
          </w:p>
        </w:tc>
      </w:tr>
      <w:tr w:rsidR="00A22386" w:rsidRPr="007E4CC8" w14:paraId="687E816F" w14:textId="77777777" w:rsidTr="00320E74">
        <w:trPr>
          <w:trHeight w:val="413"/>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tcPr>
          <w:p w14:paraId="7977802B" w14:textId="77777777" w:rsidR="006528AA" w:rsidRPr="007E4CC8" w:rsidRDefault="006528AA" w:rsidP="00320E74">
            <w:pPr>
              <w:spacing w:after="0" w:line="240" w:lineRule="auto"/>
              <w:contextualSpacing/>
              <w:rPr>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787CE7EE" w14:textId="77777777" w:rsidR="006528AA" w:rsidRPr="007E4CC8" w:rsidRDefault="006528AA" w:rsidP="00320E74">
            <w:pPr>
              <w:spacing w:after="0" w:line="240" w:lineRule="auto"/>
              <w:contextualSpacing/>
              <w:textAlignment w:val="center"/>
              <w:rPr>
                <w:color w:val="000000"/>
                <w:sz w:val="20"/>
                <w:szCs w:val="20"/>
              </w:rPr>
            </w:pPr>
            <w:r w:rsidRPr="007E4CC8">
              <w:rPr>
                <w:color w:val="000000"/>
                <w:sz w:val="20"/>
                <w:szCs w:val="20"/>
                <w:lang w:bidi="ar"/>
              </w:rPr>
              <w:t>Inflammatory Factors</w:t>
            </w:r>
            <w:r w:rsidRPr="007E4CC8">
              <w:rPr>
                <w:rStyle w:val="font41"/>
                <w:sz w:val="20"/>
                <w:szCs w:val="20"/>
                <w:lang w:bidi="ar"/>
              </w:rPr>
              <w:t xml:space="preserve"> 16</w:t>
            </w:r>
          </w:p>
        </w:tc>
        <w:tc>
          <w:tcPr>
            <w:tcW w:w="0" w:type="auto"/>
            <w:tcBorders>
              <w:top w:val="nil"/>
              <w:left w:val="nil"/>
              <w:bottom w:val="single" w:sz="8" w:space="0" w:color="000000"/>
              <w:right w:val="single" w:sz="8" w:space="0" w:color="000000"/>
            </w:tcBorders>
            <w:shd w:val="clear" w:color="auto" w:fill="auto"/>
            <w:vAlign w:val="center"/>
          </w:tcPr>
          <w:p w14:paraId="6ADA8E78"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5D9878EB"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3D63BBCB"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tcPr>
          <w:p w14:paraId="36282E38"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3E81DB28"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16C16BF2"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1556D14C"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3EA814CB"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513294D3"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1C843DC5"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18425D40"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450019F2"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2FF02D82"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2C0EB0D7"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4AA2EF10"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67BA132D"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r>
      <w:tr w:rsidR="00A22386" w:rsidRPr="007E4CC8" w14:paraId="07E6B3A5" w14:textId="77777777" w:rsidTr="00320E74">
        <w:trPr>
          <w:trHeight w:val="413"/>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extDirection w:val="tbRl"/>
            <w:vAlign w:val="center"/>
          </w:tcPr>
          <w:p w14:paraId="5838623A" w14:textId="77777777" w:rsidR="006528AA" w:rsidRPr="007E4CC8" w:rsidRDefault="006528AA" w:rsidP="00320E74">
            <w:pPr>
              <w:spacing w:after="0" w:line="240" w:lineRule="auto"/>
              <w:ind w:left="113" w:right="113"/>
              <w:contextualSpacing/>
              <w:textAlignment w:val="center"/>
              <w:rPr>
                <w:color w:val="000000"/>
                <w:sz w:val="20"/>
                <w:szCs w:val="20"/>
              </w:rPr>
            </w:pPr>
            <w:r>
              <w:lastRenderedPageBreak/>
              <w:t xml:space="preserve">  </w:t>
            </w:r>
            <w:r w:rsidRPr="001569E0">
              <w:rPr>
                <w:rStyle w:val="font21"/>
                <w:sz w:val="18"/>
                <w:szCs w:val="18"/>
                <w:lang w:bidi="ar"/>
              </w:rPr>
              <w:t>E</w:t>
            </w:r>
            <w:r w:rsidRPr="004322E6">
              <w:rPr>
                <w:rStyle w:val="font21"/>
                <w:sz w:val="18"/>
                <w:szCs w:val="18"/>
              </w:rPr>
              <w:t>fficacy</w:t>
            </w:r>
            <w:r w:rsidRPr="001569E0">
              <w:rPr>
                <w:rStyle w:val="font21"/>
                <w:sz w:val="18"/>
                <w:szCs w:val="18"/>
              </w:rPr>
              <w:t xml:space="preserve"> </w:t>
            </w:r>
            <w:r w:rsidRPr="004322E6">
              <w:rPr>
                <w:rStyle w:val="font21"/>
                <w:sz w:val="18"/>
                <w:szCs w:val="18"/>
              </w:rPr>
              <w:t>Test</w:t>
            </w:r>
            <w:r>
              <w:rPr>
                <w:rStyle w:val="font21"/>
                <w:sz w:val="18"/>
                <w:szCs w:val="18"/>
              </w:rPr>
              <w:t>s</w:t>
            </w:r>
            <w: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061D4249" w14:textId="77777777" w:rsidR="006528AA" w:rsidRPr="007E4CC8" w:rsidRDefault="006528AA" w:rsidP="00320E74">
            <w:pPr>
              <w:spacing w:after="0" w:line="240" w:lineRule="auto"/>
              <w:contextualSpacing/>
              <w:textAlignment w:val="center"/>
              <w:rPr>
                <w:color w:val="000000"/>
                <w:sz w:val="20"/>
                <w:szCs w:val="20"/>
              </w:rPr>
            </w:pPr>
            <w:r w:rsidRPr="007E4CC8">
              <w:rPr>
                <w:color w:val="000000"/>
                <w:sz w:val="20"/>
                <w:szCs w:val="20"/>
                <w:lang w:bidi="ar"/>
              </w:rPr>
              <w:t>Serum Calcium and Albumin-corrected Calcium</w:t>
            </w:r>
          </w:p>
        </w:tc>
        <w:tc>
          <w:tcPr>
            <w:tcW w:w="0" w:type="auto"/>
            <w:tcBorders>
              <w:top w:val="nil"/>
              <w:left w:val="nil"/>
              <w:bottom w:val="single" w:sz="8" w:space="0" w:color="000000"/>
              <w:right w:val="single" w:sz="8" w:space="0" w:color="000000"/>
            </w:tcBorders>
            <w:shd w:val="clear" w:color="auto" w:fill="auto"/>
            <w:vAlign w:val="center"/>
          </w:tcPr>
          <w:p w14:paraId="2B849D9F"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199FB1F5"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1E7ACBA3"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tcPr>
          <w:p w14:paraId="67E2F891"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0966B00A"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437C2F8C"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0E38E561"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37C473B6"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0697CCCF"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0898E3D0"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6C686865"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7C79CF9E"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681ED403"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01B85B6C"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1897FA08"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195FB670"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r>
      <w:tr w:rsidR="00A22386" w:rsidRPr="007E4CC8" w14:paraId="385EAAA3" w14:textId="77777777" w:rsidTr="00320E74">
        <w:trPr>
          <w:trHeight w:val="413"/>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tcPr>
          <w:p w14:paraId="388662F6" w14:textId="77777777" w:rsidR="006528AA" w:rsidRPr="007E4CC8" w:rsidRDefault="006528AA" w:rsidP="00320E74">
            <w:pPr>
              <w:spacing w:after="0" w:line="240" w:lineRule="auto"/>
              <w:contextualSpacing/>
              <w:rPr>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168F3CAE" w14:textId="77777777" w:rsidR="006528AA" w:rsidRPr="007E4CC8" w:rsidRDefault="006528AA" w:rsidP="00320E74">
            <w:pPr>
              <w:spacing w:after="0" w:line="240" w:lineRule="auto"/>
              <w:contextualSpacing/>
              <w:textAlignment w:val="center"/>
              <w:rPr>
                <w:color w:val="000000"/>
                <w:sz w:val="20"/>
                <w:szCs w:val="20"/>
              </w:rPr>
            </w:pPr>
            <w:r w:rsidRPr="007E4CC8">
              <w:rPr>
                <w:color w:val="000000"/>
                <w:sz w:val="20"/>
                <w:szCs w:val="20"/>
                <w:lang w:bidi="ar"/>
              </w:rPr>
              <w:t>β2-microglobulin</w:t>
            </w:r>
          </w:p>
        </w:tc>
        <w:tc>
          <w:tcPr>
            <w:tcW w:w="0" w:type="auto"/>
            <w:tcBorders>
              <w:top w:val="nil"/>
              <w:left w:val="nil"/>
              <w:bottom w:val="single" w:sz="8" w:space="0" w:color="000000"/>
              <w:right w:val="single" w:sz="8" w:space="0" w:color="000000"/>
            </w:tcBorders>
            <w:shd w:val="clear" w:color="auto" w:fill="auto"/>
            <w:vAlign w:val="center"/>
          </w:tcPr>
          <w:p w14:paraId="1017935D"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737D1A71"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216C6214"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tcPr>
          <w:p w14:paraId="55FB6B03"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29453273"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5EAD2FE1"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3512BD3B"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2AF248E4"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2BE31F1B"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432D2533"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35F8FFED"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2C7EFE3E"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1EEC4D84"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6A66953F"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7C7878FC"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34C6595A"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r>
      <w:tr w:rsidR="00A22386" w:rsidRPr="007E4CC8" w14:paraId="19318E6F" w14:textId="77777777" w:rsidTr="00320E74">
        <w:trPr>
          <w:trHeight w:val="413"/>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tcPr>
          <w:p w14:paraId="22C4F9FF" w14:textId="77777777" w:rsidR="006528AA" w:rsidRPr="007E4CC8" w:rsidRDefault="006528AA" w:rsidP="00320E74">
            <w:pPr>
              <w:spacing w:after="0" w:line="240" w:lineRule="auto"/>
              <w:contextualSpacing/>
              <w:rPr>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79B769C0" w14:textId="77777777" w:rsidR="006528AA" w:rsidRPr="007E4CC8" w:rsidRDefault="006528AA" w:rsidP="00320E74">
            <w:pPr>
              <w:spacing w:after="0" w:line="240" w:lineRule="auto"/>
              <w:contextualSpacing/>
              <w:textAlignment w:val="center"/>
              <w:rPr>
                <w:color w:val="000000"/>
                <w:sz w:val="20"/>
                <w:szCs w:val="20"/>
              </w:rPr>
            </w:pPr>
            <w:r w:rsidRPr="007E4CC8">
              <w:rPr>
                <w:color w:val="000000"/>
                <w:sz w:val="20"/>
                <w:szCs w:val="20"/>
                <w:lang w:bidi="ar"/>
              </w:rPr>
              <w:t>Serum Immunoglobulin Quantification</w:t>
            </w:r>
          </w:p>
        </w:tc>
        <w:tc>
          <w:tcPr>
            <w:tcW w:w="0" w:type="auto"/>
            <w:tcBorders>
              <w:top w:val="nil"/>
              <w:left w:val="nil"/>
              <w:bottom w:val="single" w:sz="8" w:space="0" w:color="000000"/>
              <w:right w:val="single" w:sz="8" w:space="0" w:color="000000"/>
            </w:tcBorders>
            <w:shd w:val="clear" w:color="auto" w:fill="auto"/>
            <w:vAlign w:val="center"/>
          </w:tcPr>
          <w:p w14:paraId="0C60DAD9"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7AB8601D"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0E4C3BF6"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tcPr>
          <w:p w14:paraId="1DA516EC"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616D2B4E"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34234BCB"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491F7945"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577C33B1"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52D7EF28"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40FEB3EA"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0648DE72"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348A6500"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3C518392"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1E315853"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66162B49"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7B878621"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r>
      <w:tr w:rsidR="00A22386" w:rsidRPr="007E4CC8" w14:paraId="16717FFE" w14:textId="77777777" w:rsidTr="00320E74">
        <w:trPr>
          <w:trHeight w:val="413"/>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tcPr>
          <w:p w14:paraId="1D320846" w14:textId="77777777" w:rsidR="006528AA" w:rsidRPr="007E4CC8" w:rsidRDefault="006528AA" w:rsidP="00320E74">
            <w:pPr>
              <w:spacing w:after="0" w:line="240" w:lineRule="auto"/>
              <w:contextualSpacing/>
              <w:rPr>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23743801" w14:textId="77777777" w:rsidR="006528AA" w:rsidRPr="007E4CC8" w:rsidRDefault="006528AA" w:rsidP="00320E74">
            <w:pPr>
              <w:spacing w:after="0" w:line="240" w:lineRule="auto"/>
              <w:contextualSpacing/>
              <w:textAlignment w:val="center"/>
              <w:rPr>
                <w:color w:val="000000"/>
                <w:sz w:val="20"/>
                <w:szCs w:val="20"/>
              </w:rPr>
            </w:pPr>
            <w:r w:rsidRPr="007E4CC8">
              <w:rPr>
                <w:color w:val="000000"/>
                <w:sz w:val="20"/>
                <w:szCs w:val="20"/>
                <w:lang w:bidi="ar"/>
              </w:rPr>
              <w:t>Serum Free Light Chain Quantification</w:t>
            </w:r>
          </w:p>
        </w:tc>
        <w:tc>
          <w:tcPr>
            <w:tcW w:w="0" w:type="auto"/>
            <w:tcBorders>
              <w:top w:val="nil"/>
              <w:left w:val="nil"/>
              <w:bottom w:val="single" w:sz="8" w:space="0" w:color="000000"/>
              <w:right w:val="single" w:sz="8" w:space="0" w:color="000000"/>
            </w:tcBorders>
            <w:shd w:val="clear" w:color="auto" w:fill="auto"/>
            <w:vAlign w:val="center"/>
          </w:tcPr>
          <w:p w14:paraId="3C953849"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439D0BA8"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7AD4FC47"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tcPr>
          <w:p w14:paraId="57DF1E3C"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2597DA1C"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4D9736BE"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3D1BF74F"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74EB54D5"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032265FF"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59AF896E"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3E3817BB"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08F33874"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75C9739C"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4C650DB9"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5BCC5B54"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49D89FA6"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r>
      <w:tr w:rsidR="00A22386" w:rsidRPr="007E4CC8" w14:paraId="7832441D" w14:textId="77777777" w:rsidTr="00320E74">
        <w:trPr>
          <w:trHeight w:val="413"/>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tcPr>
          <w:p w14:paraId="1B480134" w14:textId="77777777" w:rsidR="006528AA" w:rsidRPr="007E4CC8" w:rsidRDefault="006528AA" w:rsidP="00320E74">
            <w:pPr>
              <w:spacing w:after="0" w:line="240" w:lineRule="auto"/>
              <w:contextualSpacing/>
              <w:rPr>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3462D7C5" w14:textId="77777777" w:rsidR="006528AA" w:rsidRPr="007E4CC8" w:rsidRDefault="006528AA" w:rsidP="00320E74">
            <w:pPr>
              <w:spacing w:after="0" w:line="240" w:lineRule="auto"/>
              <w:contextualSpacing/>
              <w:textAlignment w:val="center"/>
              <w:rPr>
                <w:color w:val="000000"/>
                <w:sz w:val="20"/>
                <w:szCs w:val="20"/>
              </w:rPr>
            </w:pPr>
            <w:r w:rsidRPr="007E4CC8">
              <w:rPr>
                <w:color w:val="000000"/>
                <w:sz w:val="20"/>
                <w:szCs w:val="20"/>
                <w:lang w:bidi="ar"/>
              </w:rPr>
              <w:t xml:space="preserve">Serum Protein Electrophoresis  </w:t>
            </w:r>
          </w:p>
        </w:tc>
        <w:tc>
          <w:tcPr>
            <w:tcW w:w="0" w:type="auto"/>
            <w:tcBorders>
              <w:top w:val="nil"/>
              <w:left w:val="nil"/>
              <w:bottom w:val="single" w:sz="8" w:space="0" w:color="000000"/>
              <w:right w:val="single" w:sz="8" w:space="0" w:color="000000"/>
            </w:tcBorders>
            <w:shd w:val="clear" w:color="auto" w:fill="auto"/>
            <w:vAlign w:val="center"/>
          </w:tcPr>
          <w:p w14:paraId="4EFC7D07"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475554ED"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2FA7EAB4"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tcPr>
          <w:p w14:paraId="57E3D6BA"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5AB18785"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67A8CD02"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51CDC1CF"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5D90F43F"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1CF6EAC2"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4798CE19"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4C2762B5"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1E029A7D"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64ED73FE"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0487B52A"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653DB039"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0A9E5BBE"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r>
      <w:tr w:rsidR="00A22386" w:rsidRPr="007E4CC8" w14:paraId="44F80D97" w14:textId="77777777" w:rsidTr="00320E74">
        <w:trPr>
          <w:trHeight w:val="413"/>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tcPr>
          <w:p w14:paraId="3B6C004D" w14:textId="77777777" w:rsidR="006528AA" w:rsidRPr="007E4CC8" w:rsidRDefault="006528AA" w:rsidP="00320E74">
            <w:pPr>
              <w:spacing w:after="0" w:line="240" w:lineRule="auto"/>
              <w:contextualSpacing/>
              <w:rPr>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395455E0" w14:textId="77777777" w:rsidR="006528AA" w:rsidRPr="007E4CC8" w:rsidRDefault="006528AA" w:rsidP="00320E74">
            <w:pPr>
              <w:spacing w:after="0" w:line="240" w:lineRule="auto"/>
              <w:contextualSpacing/>
              <w:textAlignment w:val="center"/>
              <w:rPr>
                <w:color w:val="000000"/>
                <w:sz w:val="20"/>
                <w:szCs w:val="20"/>
              </w:rPr>
            </w:pPr>
            <w:r w:rsidRPr="007E4CC8">
              <w:rPr>
                <w:color w:val="000000"/>
                <w:sz w:val="20"/>
                <w:szCs w:val="20"/>
                <w:lang w:bidi="ar"/>
              </w:rPr>
              <w:t>Serum Immunofixation Electrophoresis</w:t>
            </w:r>
          </w:p>
        </w:tc>
        <w:tc>
          <w:tcPr>
            <w:tcW w:w="0" w:type="auto"/>
            <w:tcBorders>
              <w:top w:val="nil"/>
              <w:left w:val="nil"/>
              <w:bottom w:val="single" w:sz="8" w:space="0" w:color="000000"/>
              <w:right w:val="single" w:sz="8" w:space="0" w:color="000000"/>
            </w:tcBorders>
            <w:shd w:val="clear" w:color="auto" w:fill="auto"/>
            <w:vAlign w:val="center"/>
          </w:tcPr>
          <w:p w14:paraId="736F4C49"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0FCE8B87"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01CB6907"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tcPr>
          <w:p w14:paraId="7388E0BF"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6522E9DC"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0772920A"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51593970"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66FD532E"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1F6CEF38"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3121F336"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7E7C3D79"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7F4F4982"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1FC3F87D"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3C209B6B"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49F720B3"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28AE6226"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r>
      <w:tr w:rsidR="00A22386" w:rsidRPr="007E4CC8" w14:paraId="2609C153" w14:textId="77777777" w:rsidTr="00320E74">
        <w:trPr>
          <w:trHeight w:val="413"/>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tcPr>
          <w:p w14:paraId="7B2E4620" w14:textId="77777777" w:rsidR="006528AA" w:rsidRPr="007E4CC8" w:rsidRDefault="006528AA" w:rsidP="00320E74">
            <w:pPr>
              <w:spacing w:after="0" w:line="240" w:lineRule="auto"/>
              <w:contextualSpacing/>
              <w:rPr>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39452586" w14:textId="77777777" w:rsidR="006528AA" w:rsidRPr="007E4CC8" w:rsidRDefault="006528AA" w:rsidP="00320E74">
            <w:pPr>
              <w:spacing w:after="0" w:line="240" w:lineRule="auto"/>
              <w:contextualSpacing/>
              <w:textAlignment w:val="center"/>
              <w:rPr>
                <w:color w:val="000000"/>
                <w:sz w:val="20"/>
                <w:szCs w:val="20"/>
              </w:rPr>
            </w:pPr>
            <w:r w:rsidRPr="007E4CC8">
              <w:rPr>
                <w:color w:val="000000"/>
                <w:sz w:val="20"/>
                <w:szCs w:val="20"/>
                <w:lang w:bidi="ar"/>
              </w:rPr>
              <w:t>24 h Urine M Protein Quantification</w:t>
            </w:r>
          </w:p>
        </w:tc>
        <w:tc>
          <w:tcPr>
            <w:tcW w:w="0" w:type="auto"/>
            <w:tcBorders>
              <w:top w:val="nil"/>
              <w:left w:val="nil"/>
              <w:bottom w:val="single" w:sz="8" w:space="0" w:color="000000"/>
              <w:right w:val="single" w:sz="8" w:space="0" w:color="000000"/>
            </w:tcBorders>
            <w:shd w:val="clear" w:color="auto" w:fill="auto"/>
            <w:vAlign w:val="center"/>
          </w:tcPr>
          <w:p w14:paraId="2CBD4EBC"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75825FF4"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25A815CB"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tcPr>
          <w:p w14:paraId="3C58D3DB"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36C43A7F"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2104EDFC"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552A99D6"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5E5C96E9"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21163F44"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6D85C647"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401482EF"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6DEFEF73"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28C20CCF"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377228C2"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31925FDD"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57745C67"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r>
      <w:tr w:rsidR="00A22386" w:rsidRPr="007E4CC8" w14:paraId="6D5C540D" w14:textId="77777777" w:rsidTr="00320E74">
        <w:trPr>
          <w:trHeight w:val="413"/>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tcPr>
          <w:p w14:paraId="5F4A41D3" w14:textId="77777777" w:rsidR="006528AA" w:rsidRPr="007E4CC8" w:rsidRDefault="006528AA" w:rsidP="00320E74">
            <w:pPr>
              <w:spacing w:after="0" w:line="240" w:lineRule="auto"/>
              <w:contextualSpacing/>
              <w:rPr>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3ECC3017" w14:textId="77777777" w:rsidR="006528AA" w:rsidRPr="007E4CC8" w:rsidRDefault="006528AA" w:rsidP="00320E74">
            <w:pPr>
              <w:spacing w:after="0" w:line="240" w:lineRule="auto"/>
              <w:contextualSpacing/>
              <w:textAlignment w:val="center"/>
              <w:rPr>
                <w:color w:val="000000"/>
                <w:sz w:val="20"/>
                <w:szCs w:val="20"/>
              </w:rPr>
            </w:pPr>
            <w:r w:rsidRPr="007E4CC8">
              <w:rPr>
                <w:color w:val="000000"/>
                <w:sz w:val="20"/>
                <w:szCs w:val="20"/>
                <w:lang w:bidi="ar"/>
              </w:rPr>
              <w:t>24 h Urine Light Chain Quantification</w:t>
            </w:r>
          </w:p>
        </w:tc>
        <w:tc>
          <w:tcPr>
            <w:tcW w:w="0" w:type="auto"/>
            <w:tcBorders>
              <w:top w:val="nil"/>
              <w:left w:val="nil"/>
              <w:bottom w:val="single" w:sz="8" w:space="0" w:color="000000"/>
              <w:right w:val="single" w:sz="8" w:space="0" w:color="000000"/>
            </w:tcBorders>
            <w:shd w:val="clear" w:color="auto" w:fill="auto"/>
            <w:vAlign w:val="center"/>
          </w:tcPr>
          <w:p w14:paraId="3A5DC689"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3A9649FD"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32A14F0B"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tcPr>
          <w:p w14:paraId="7162348E"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5F872A70"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5F73F875"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7F0F7E50"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106DACCA"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5A8A803F"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0E66D9F1"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1AC398FE"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5CD102B7"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59621A65"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239B6E75"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1CE94936"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3CAA53C4"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r>
      <w:tr w:rsidR="00A22386" w:rsidRPr="007E4CC8" w14:paraId="5366B888" w14:textId="77777777" w:rsidTr="00320E74">
        <w:trPr>
          <w:trHeight w:val="413"/>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tcPr>
          <w:p w14:paraId="0A116C5D" w14:textId="77777777" w:rsidR="006528AA" w:rsidRPr="007E4CC8" w:rsidRDefault="006528AA" w:rsidP="00320E74">
            <w:pPr>
              <w:spacing w:after="0" w:line="240" w:lineRule="auto"/>
              <w:contextualSpacing/>
              <w:rPr>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5976E627" w14:textId="77777777" w:rsidR="006528AA" w:rsidRPr="007E4CC8" w:rsidRDefault="006528AA" w:rsidP="00320E74">
            <w:pPr>
              <w:spacing w:after="0" w:line="240" w:lineRule="auto"/>
              <w:contextualSpacing/>
              <w:textAlignment w:val="center"/>
              <w:rPr>
                <w:color w:val="000000"/>
                <w:sz w:val="20"/>
                <w:szCs w:val="20"/>
              </w:rPr>
            </w:pPr>
            <w:r w:rsidRPr="007E4CC8">
              <w:rPr>
                <w:color w:val="000000"/>
                <w:sz w:val="20"/>
                <w:szCs w:val="20"/>
                <w:lang w:bidi="ar"/>
              </w:rPr>
              <w:t>Urine Protein Electrophoresis</w:t>
            </w:r>
          </w:p>
        </w:tc>
        <w:tc>
          <w:tcPr>
            <w:tcW w:w="0" w:type="auto"/>
            <w:tcBorders>
              <w:top w:val="nil"/>
              <w:left w:val="nil"/>
              <w:bottom w:val="single" w:sz="8" w:space="0" w:color="000000"/>
              <w:right w:val="single" w:sz="8" w:space="0" w:color="000000"/>
            </w:tcBorders>
            <w:shd w:val="clear" w:color="auto" w:fill="auto"/>
            <w:vAlign w:val="center"/>
          </w:tcPr>
          <w:p w14:paraId="4168531D"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5A495D6B"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4B91C290"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tcPr>
          <w:p w14:paraId="31E1EF59"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43A7E56D"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1B195400"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35B84FD4"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7ADB4AF5"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49D79C21"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6F8D7308"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2082D9F7"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56F0AD79"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6A3BE581"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16E06AF2"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3A737AAA"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7B35A0CC"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r>
      <w:tr w:rsidR="00A22386" w:rsidRPr="007E4CC8" w14:paraId="7578ED0A" w14:textId="77777777" w:rsidTr="00320E74">
        <w:trPr>
          <w:trHeight w:val="413"/>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tcPr>
          <w:p w14:paraId="26C20E27" w14:textId="77777777" w:rsidR="006528AA" w:rsidRPr="007E4CC8" w:rsidRDefault="006528AA" w:rsidP="00320E74">
            <w:pPr>
              <w:spacing w:after="0" w:line="240" w:lineRule="auto"/>
              <w:contextualSpacing/>
              <w:rPr>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7DA5B259" w14:textId="77777777" w:rsidR="006528AA" w:rsidRPr="007E4CC8" w:rsidRDefault="006528AA" w:rsidP="00320E74">
            <w:pPr>
              <w:spacing w:after="0" w:line="240" w:lineRule="auto"/>
              <w:contextualSpacing/>
              <w:textAlignment w:val="center"/>
              <w:rPr>
                <w:color w:val="000000"/>
                <w:sz w:val="20"/>
                <w:szCs w:val="20"/>
              </w:rPr>
            </w:pPr>
            <w:r w:rsidRPr="007E4CC8">
              <w:rPr>
                <w:color w:val="000000"/>
                <w:sz w:val="20"/>
                <w:szCs w:val="20"/>
                <w:lang w:bidi="ar"/>
              </w:rPr>
              <w:t>Urine Protein Immunofixation Electrophoresis</w:t>
            </w:r>
          </w:p>
        </w:tc>
        <w:tc>
          <w:tcPr>
            <w:tcW w:w="0" w:type="auto"/>
            <w:tcBorders>
              <w:top w:val="nil"/>
              <w:left w:val="nil"/>
              <w:bottom w:val="single" w:sz="8" w:space="0" w:color="000000"/>
              <w:right w:val="single" w:sz="8" w:space="0" w:color="000000"/>
            </w:tcBorders>
            <w:shd w:val="clear" w:color="auto" w:fill="auto"/>
            <w:vAlign w:val="center"/>
          </w:tcPr>
          <w:p w14:paraId="58B80BC6"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27A8861F"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072E08EA"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tcPr>
          <w:p w14:paraId="0C18AE96"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29EE5F19"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38C31B2C"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2FF63FB3"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14F69244"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5256052E"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4911A4AE"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44E7816D"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005D00C1"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0AF28A8A"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15B979DF"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07852889"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1A70D3C5"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r>
      <w:tr w:rsidR="00A22386" w:rsidRPr="007E4CC8" w14:paraId="665E74A2" w14:textId="77777777" w:rsidTr="00320E74">
        <w:trPr>
          <w:trHeight w:val="413"/>
          <w:jc w:val="center"/>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B2A913B" w14:textId="77777777" w:rsidR="006528AA" w:rsidRPr="007E4CC8" w:rsidRDefault="006528AA" w:rsidP="00320E74">
            <w:pPr>
              <w:spacing w:after="0" w:line="240" w:lineRule="auto"/>
              <w:contextualSpacing/>
              <w:textAlignment w:val="center"/>
              <w:rPr>
                <w:color w:val="000000"/>
                <w:sz w:val="20"/>
                <w:szCs w:val="20"/>
              </w:rPr>
            </w:pPr>
            <w:r w:rsidRPr="007E4CC8">
              <w:rPr>
                <w:color w:val="000000"/>
                <w:sz w:val="20"/>
                <w:szCs w:val="20"/>
                <w:lang w:bidi="ar"/>
              </w:rPr>
              <w:t>Peripheral Blood Smear</w:t>
            </w:r>
          </w:p>
        </w:tc>
        <w:tc>
          <w:tcPr>
            <w:tcW w:w="0" w:type="auto"/>
            <w:tcBorders>
              <w:top w:val="nil"/>
              <w:left w:val="nil"/>
              <w:bottom w:val="single" w:sz="8" w:space="0" w:color="000000"/>
              <w:right w:val="single" w:sz="8" w:space="0" w:color="000000"/>
            </w:tcBorders>
            <w:shd w:val="clear" w:color="auto" w:fill="auto"/>
            <w:vAlign w:val="center"/>
          </w:tcPr>
          <w:p w14:paraId="6B125893"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39DCFEEE"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6E2CD04B"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tcPr>
          <w:p w14:paraId="483FB34C"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4ECE53BC"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5C6F2711"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2F3A93DD"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75475335"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4C5014DC"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373D1876"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3DE026DB"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5B3F7E0B"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2DD347B6"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1D72D12F"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58CFB72A"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33B29DDA"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r>
      <w:tr w:rsidR="00A22386" w:rsidRPr="007E4CC8" w14:paraId="6DFC6BDC" w14:textId="77777777" w:rsidTr="00320E74">
        <w:trPr>
          <w:trHeight w:val="413"/>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extDirection w:val="tbRl"/>
            <w:vAlign w:val="center"/>
          </w:tcPr>
          <w:p w14:paraId="50AD4CC8" w14:textId="77777777" w:rsidR="006528AA" w:rsidRPr="007E4CC8" w:rsidRDefault="006528AA" w:rsidP="00320E74">
            <w:pPr>
              <w:spacing w:after="0" w:line="240" w:lineRule="auto"/>
              <w:ind w:left="113" w:right="113"/>
              <w:contextualSpacing/>
              <w:textAlignment w:val="center"/>
              <w:rPr>
                <w:color w:val="000000"/>
                <w:sz w:val="20"/>
                <w:szCs w:val="20"/>
              </w:rPr>
            </w:pPr>
            <w:r w:rsidRPr="007E4CC8">
              <w:rPr>
                <w:color w:val="000000"/>
                <w:sz w:val="20"/>
                <w:szCs w:val="20"/>
                <w:lang w:bidi="ar"/>
              </w:rPr>
              <w:t>Bone marrow biopsy</w:t>
            </w:r>
            <w:r w:rsidRPr="007E4CC8">
              <w:rPr>
                <w:rStyle w:val="font41"/>
                <w:sz w:val="20"/>
                <w:szCs w:val="20"/>
                <w:lang w:bidi="ar"/>
              </w:rPr>
              <w:t>18</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23677E02" w14:textId="77777777" w:rsidR="006528AA" w:rsidRPr="007E4CC8" w:rsidRDefault="006528AA" w:rsidP="00320E74">
            <w:pPr>
              <w:spacing w:after="0" w:line="240" w:lineRule="auto"/>
              <w:contextualSpacing/>
              <w:textAlignment w:val="center"/>
              <w:rPr>
                <w:color w:val="000000"/>
                <w:sz w:val="20"/>
                <w:szCs w:val="20"/>
              </w:rPr>
            </w:pPr>
            <w:r w:rsidRPr="007E4CC8">
              <w:rPr>
                <w:color w:val="000000"/>
                <w:sz w:val="20"/>
                <w:szCs w:val="20"/>
                <w:lang w:bidi="ar"/>
              </w:rPr>
              <w:t>Cell Smear Morphology</w:t>
            </w:r>
          </w:p>
        </w:tc>
        <w:tc>
          <w:tcPr>
            <w:tcW w:w="0" w:type="auto"/>
            <w:tcBorders>
              <w:top w:val="nil"/>
              <w:left w:val="nil"/>
              <w:bottom w:val="single" w:sz="8" w:space="0" w:color="000000"/>
              <w:right w:val="single" w:sz="8" w:space="0" w:color="000000"/>
            </w:tcBorders>
            <w:shd w:val="clear" w:color="auto" w:fill="auto"/>
            <w:vAlign w:val="center"/>
          </w:tcPr>
          <w:p w14:paraId="5459D50A"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154EB0F5"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06E7760F"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r w:rsidRPr="007E4CC8">
              <w:rPr>
                <w:rFonts w:eastAsia="等线"/>
                <w:b/>
                <w:bCs/>
                <w:color w:val="000000"/>
                <w:sz w:val="20"/>
                <w:szCs w:val="20"/>
                <w:lang w:bidi="ar"/>
              </w:rPr>
              <w:t xml:space="preserve">　</w:t>
            </w:r>
          </w:p>
        </w:tc>
        <w:tc>
          <w:tcPr>
            <w:tcW w:w="0" w:type="auto"/>
            <w:tcBorders>
              <w:top w:val="nil"/>
              <w:left w:val="nil"/>
              <w:bottom w:val="single" w:sz="8" w:space="0" w:color="000000"/>
              <w:right w:val="single" w:sz="8" w:space="0" w:color="000000"/>
            </w:tcBorders>
            <w:shd w:val="clear" w:color="auto" w:fill="auto"/>
          </w:tcPr>
          <w:p w14:paraId="78A8C2C3"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7D449E35"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4C7662B2"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74B521D9"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63E08435"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373CC131"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30CC49C5"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2836E3A8"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5CC87CBF"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126687A0"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026DCF9C"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49C235EA"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3A9B2C39"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r>
      <w:tr w:rsidR="00A22386" w:rsidRPr="007E4CC8" w14:paraId="52DA7886" w14:textId="77777777" w:rsidTr="00320E74">
        <w:trPr>
          <w:trHeight w:val="413"/>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tcPr>
          <w:p w14:paraId="07C2B902" w14:textId="77777777" w:rsidR="006528AA" w:rsidRPr="007E4CC8" w:rsidRDefault="006528AA" w:rsidP="00320E74">
            <w:pPr>
              <w:spacing w:after="0" w:line="240" w:lineRule="auto"/>
              <w:contextualSpacing/>
              <w:rPr>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54402C5C" w14:textId="77777777" w:rsidR="006528AA" w:rsidRPr="007E4CC8" w:rsidRDefault="006528AA" w:rsidP="00320E74">
            <w:pPr>
              <w:spacing w:after="0" w:line="240" w:lineRule="auto"/>
              <w:contextualSpacing/>
              <w:textAlignment w:val="center"/>
              <w:rPr>
                <w:color w:val="000000"/>
                <w:sz w:val="20"/>
                <w:szCs w:val="20"/>
              </w:rPr>
            </w:pPr>
            <w:r w:rsidRPr="007E4CC8">
              <w:rPr>
                <w:color w:val="000000"/>
                <w:sz w:val="20"/>
                <w:szCs w:val="20"/>
                <w:lang w:bidi="ar"/>
              </w:rPr>
              <w:t>Bone Marrow Biopsy Pathology + Immunohistochemistry</w:t>
            </w:r>
          </w:p>
        </w:tc>
        <w:tc>
          <w:tcPr>
            <w:tcW w:w="0" w:type="auto"/>
            <w:tcBorders>
              <w:top w:val="nil"/>
              <w:left w:val="nil"/>
              <w:bottom w:val="single" w:sz="8" w:space="0" w:color="000000"/>
              <w:right w:val="single" w:sz="8" w:space="0" w:color="000000"/>
            </w:tcBorders>
            <w:shd w:val="clear" w:color="auto" w:fill="auto"/>
            <w:vAlign w:val="center"/>
          </w:tcPr>
          <w:p w14:paraId="3CF2ACD3"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44DCE79B"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69ADEDB0"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tcPr>
          <w:p w14:paraId="5084649C"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02148F30"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69C5E818"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6865E1BF"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279244FD"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316D6744"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4D1F6EE0"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49ED52AD"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3089A5BE"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2BA83D45"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70435256"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61BA9803"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4E66A526" w14:textId="77777777" w:rsidR="006528AA" w:rsidRPr="007E4CC8" w:rsidRDefault="006528AA" w:rsidP="00320E74">
            <w:pPr>
              <w:spacing w:after="0" w:line="240" w:lineRule="auto"/>
              <w:contextualSpacing/>
              <w:jc w:val="center"/>
              <w:rPr>
                <w:rFonts w:eastAsia="等线"/>
                <w:b/>
                <w:bCs/>
                <w:color w:val="000000"/>
                <w:sz w:val="20"/>
                <w:szCs w:val="20"/>
              </w:rPr>
            </w:pPr>
          </w:p>
        </w:tc>
      </w:tr>
      <w:tr w:rsidR="00A22386" w:rsidRPr="007E4CC8" w14:paraId="120BC6CE" w14:textId="77777777" w:rsidTr="00320E74">
        <w:trPr>
          <w:trHeight w:val="413"/>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tcPr>
          <w:p w14:paraId="224E7EBA" w14:textId="77777777" w:rsidR="006528AA" w:rsidRPr="007E4CC8" w:rsidRDefault="006528AA" w:rsidP="00320E74">
            <w:pPr>
              <w:spacing w:after="0" w:line="240" w:lineRule="auto"/>
              <w:contextualSpacing/>
              <w:rPr>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38607B70" w14:textId="77777777" w:rsidR="006528AA" w:rsidRPr="007E4CC8" w:rsidRDefault="006528AA" w:rsidP="00320E74">
            <w:pPr>
              <w:spacing w:after="0" w:line="240" w:lineRule="auto"/>
              <w:contextualSpacing/>
              <w:textAlignment w:val="center"/>
              <w:rPr>
                <w:color w:val="000000"/>
                <w:sz w:val="20"/>
                <w:szCs w:val="20"/>
              </w:rPr>
            </w:pPr>
            <w:r w:rsidRPr="007E4CC8">
              <w:rPr>
                <w:color w:val="000000"/>
                <w:sz w:val="20"/>
                <w:szCs w:val="20"/>
                <w:lang w:bidi="ar"/>
              </w:rPr>
              <w:t>Cytogenetics (FISH)</w:t>
            </w:r>
          </w:p>
        </w:tc>
        <w:tc>
          <w:tcPr>
            <w:tcW w:w="0" w:type="auto"/>
            <w:tcBorders>
              <w:top w:val="nil"/>
              <w:left w:val="nil"/>
              <w:bottom w:val="single" w:sz="8" w:space="0" w:color="000000"/>
              <w:right w:val="single" w:sz="8" w:space="0" w:color="000000"/>
            </w:tcBorders>
            <w:shd w:val="clear" w:color="auto" w:fill="auto"/>
            <w:vAlign w:val="center"/>
          </w:tcPr>
          <w:p w14:paraId="686C57AB"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1F6C2F1D"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145825E8"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r w:rsidRPr="007E4CC8">
              <w:rPr>
                <w:rFonts w:eastAsia="等线"/>
                <w:b/>
                <w:bCs/>
                <w:color w:val="000000"/>
                <w:sz w:val="20"/>
                <w:szCs w:val="20"/>
                <w:lang w:bidi="ar"/>
              </w:rPr>
              <w:t xml:space="preserve">　</w:t>
            </w:r>
          </w:p>
        </w:tc>
        <w:tc>
          <w:tcPr>
            <w:tcW w:w="0" w:type="auto"/>
            <w:tcBorders>
              <w:top w:val="nil"/>
              <w:left w:val="nil"/>
              <w:bottom w:val="single" w:sz="8" w:space="0" w:color="000000"/>
              <w:right w:val="single" w:sz="8" w:space="0" w:color="000000"/>
            </w:tcBorders>
            <w:shd w:val="clear" w:color="auto" w:fill="auto"/>
          </w:tcPr>
          <w:p w14:paraId="14B2FBDE"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31752B2C"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7706014F"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3C6D3B18"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4580EA40"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7DA76D9E"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1B253478"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7D5AB2FC"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1B91741F"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3620856E"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18ABA155"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0B590197"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709EAACF"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r>
      <w:tr w:rsidR="00A22386" w:rsidRPr="007E4CC8" w14:paraId="4245FC8F" w14:textId="77777777" w:rsidTr="00320E74">
        <w:trPr>
          <w:trHeight w:val="413"/>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tcPr>
          <w:p w14:paraId="68D68D32" w14:textId="77777777" w:rsidR="006528AA" w:rsidRPr="007E4CC8" w:rsidRDefault="006528AA" w:rsidP="00320E74">
            <w:pPr>
              <w:spacing w:after="0" w:line="240" w:lineRule="auto"/>
              <w:contextualSpacing/>
              <w:rPr>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09F3B87E" w14:textId="77777777" w:rsidR="006528AA" w:rsidRPr="007E4CC8" w:rsidRDefault="006528AA" w:rsidP="00320E74">
            <w:pPr>
              <w:spacing w:after="0" w:line="240" w:lineRule="auto"/>
              <w:contextualSpacing/>
              <w:textAlignment w:val="center"/>
              <w:rPr>
                <w:color w:val="000000"/>
                <w:sz w:val="20"/>
                <w:szCs w:val="20"/>
              </w:rPr>
            </w:pPr>
            <w:r w:rsidRPr="007E4CC8">
              <w:rPr>
                <w:color w:val="000000"/>
                <w:sz w:val="20"/>
                <w:szCs w:val="20"/>
                <w:lang w:bidi="ar"/>
              </w:rPr>
              <w:t>Bone Marrow Flow Immunophenotyping Test (Including MRD Test)</w:t>
            </w:r>
          </w:p>
        </w:tc>
        <w:tc>
          <w:tcPr>
            <w:tcW w:w="0" w:type="auto"/>
            <w:tcBorders>
              <w:top w:val="nil"/>
              <w:left w:val="nil"/>
              <w:bottom w:val="single" w:sz="8" w:space="0" w:color="000000"/>
              <w:right w:val="single" w:sz="8" w:space="0" w:color="000000"/>
            </w:tcBorders>
            <w:shd w:val="clear" w:color="auto" w:fill="auto"/>
            <w:vAlign w:val="center"/>
          </w:tcPr>
          <w:p w14:paraId="65F980E1"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2FD2200A"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2B23F37B"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r w:rsidRPr="007E4CC8">
              <w:rPr>
                <w:rFonts w:eastAsia="等线"/>
                <w:b/>
                <w:bCs/>
                <w:color w:val="000000"/>
                <w:sz w:val="20"/>
                <w:szCs w:val="20"/>
                <w:lang w:bidi="ar"/>
              </w:rPr>
              <w:t xml:space="preserve">　</w:t>
            </w:r>
          </w:p>
        </w:tc>
        <w:tc>
          <w:tcPr>
            <w:tcW w:w="0" w:type="auto"/>
            <w:tcBorders>
              <w:top w:val="nil"/>
              <w:left w:val="nil"/>
              <w:bottom w:val="single" w:sz="8" w:space="0" w:color="000000"/>
              <w:right w:val="single" w:sz="8" w:space="0" w:color="000000"/>
            </w:tcBorders>
            <w:shd w:val="clear" w:color="auto" w:fill="auto"/>
          </w:tcPr>
          <w:p w14:paraId="1D4072FA"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4C87AAA0"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0BA992BF"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036F5BF8"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6227DD82"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2E69A8B5"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2679F17C"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FFFFFF"/>
            <w:vAlign w:val="center"/>
          </w:tcPr>
          <w:p w14:paraId="2F31F1B2"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FFFFFF"/>
            <w:vAlign w:val="center"/>
          </w:tcPr>
          <w:p w14:paraId="2A1216BA"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12FEA7FA"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4E7EE375"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74E8DDD6"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24934EE2"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r>
      <w:tr w:rsidR="00A22386" w:rsidRPr="007E4CC8" w14:paraId="7E3202A3" w14:textId="77777777" w:rsidTr="00320E74">
        <w:trPr>
          <w:trHeight w:val="413"/>
          <w:jc w:val="center"/>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1F6C63B" w14:textId="77777777" w:rsidR="006528AA" w:rsidRPr="007E4CC8" w:rsidRDefault="006528AA" w:rsidP="00320E74">
            <w:pPr>
              <w:spacing w:after="0" w:line="240" w:lineRule="auto"/>
              <w:contextualSpacing/>
              <w:textAlignment w:val="center"/>
              <w:rPr>
                <w:color w:val="000000"/>
                <w:sz w:val="20"/>
                <w:szCs w:val="20"/>
              </w:rPr>
            </w:pPr>
            <w:r w:rsidRPr="007E4CC8">
              <w:rPr>
                <w:color w:val="000000"/>
                <w:sz w:val="20"/>
                <w:szCs w:val="20"/>
                <w:lang w:bidi="ar"/>
              </w:rPr>
              <w:t xml:space="preserve">Peripheral Blood Collection for CT103A Exploring Study </w:t>
            </w:r>
            <w:r w:rsidRPr="007E4CC8">
              <w:rPr>
                <w:rStyle w:val="font41"/>
                <w:sz w:val="20"/>
                <w:szCs w:val="20"/>
                <w:lang w:bidi="ar"/>
              </w:rPr>
              <w:t>19</w:t>
            </w:r>
          </w:p>
        </w:tc>
        <w:tc>
          <w:tcPr>
            <w:tcW w:w="0" w:type="auto"/>
            <w:tcBorders>
              <w:top w:val="nil"/>
              <w:left w:val="nil"/>
              <w:bottom w:val="single" w:sz="8" w:space="0" w:color="000000"/>
              <w:right w:val="single" w:sz="8" w:space="0" w:color="000000"/>
            </w:tcBorders>
            <w:shd w:val="clear" w:color="auto" w:fill="auto"/>
            <w:vAlign w:val="center"/>
          </w:tcPr>
          <w:p w14:paraId="431F7576"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28EA1A44"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37FE79D8"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tcPr>
          <w:p w14:paraId="389536D3"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4F6510F2"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7347FB03"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2B759FE5"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5A83ED21"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122CFC22"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62D16277"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FFFFFF"/>
            <w:vAlign w:val="center"/>
          </w:tcPr>
          <w:p w14:paraId="15BB5F53"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FFFFFF"/>
            <w:vAlign w:val="center"/>
          </w:tcPr>
          <w:p w14:paraId="5044C2CD"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78F20F88"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794AC52C"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447B110F"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404A51D4"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r>
      <w:tr w:rsidR="00A22386" w:rsidRPr="007E4CC8" w14:paraId="3761AD60" w14:textId="77777777" w:rsidTr="00320E74">
        <w:trPr>
          <w:trHeight w:val="487"/>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extDirection w:val="tbRl"/>
            <w:vAlign w:val="center"/>
          </w:tcPr>
          <w:p w14:paraId="5F9C1223" w14:textId="77777777" w:rsidR="006528AA" w:rsidRPr="007E4CC8" w:rsidRDefault="006528AA" w:rsidP="00320E74">
            <w:pPr>
              <w:spacing w:after="0" w:line="240" w:lineRule="auto"/>
              <w:ind w:left="113" w:right="113"/>
              <w:contextualSpacing/>
              <w:textAlignment w:val="center"/>
              <w:rPr>
                <w:color w:val="000000"/>
                <w:sz w:val="20"/>
                <w:szCs w:val="20"/>
              </w:rPr>
            </w:pPr>
            <w:r w:rsidRPr="007E4CC8">
              <w:rPr>
                <w:color w:val="000000"/>
                <w:sz w:val="20"/>
                <w:szCs w:val="20"/>
                <w:lang w:bidi="ar"/>
              </w:rPr>
              <w:t>PK blood collection</w:t>
            </w:r>
            <w:r w:rsidRPr="007E4CC8">
              <w:rPr>
                <w:rStyle w:val="font71"/>
                <w:sz w:val="20"/>
                <w:szCs w:val="20"/>
                <w:lang w:bidi="ar"/>
              </w:rPr>
              <w:t>20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0170AA5A" w14:textId="77777777" w:rsidR="006528AA" w:rsidRPr="007E4CC8" w:rsidRDefault="006528AA" w:rsidP="00320E74">
            <w:pPr>
              <w:spacing w:after="0" w:line="240" w:lineRule="auto"/>
              <w:contextualSpacing/>
              <w:textAlignment w:val="center"/>
              <w:rPr>
                <w:color w:val="000000"/>
                <w:sz w:val="20"/>
                <w:szCs w:val="20"/>
              </w:rPr>
            </w:pPr>
            <w:r w:rsidRPr="007E4CC8">
              <w:rPr>
                <w:color w:val="000000"/>
                <w:sz w:val="20"/>
                <w:szCs w:val="20"/>
                <w:lang w:bidi="ar"/>
              </w:rPr>
              <w:t>CT103A VCN test</w:t>
            </w:r>
          </w:p>
        </w:tc>
        <w:tc>
          <w:tcPr>
            <w:tcW w:w="0" w:type="auto"/>
            <w:tcBorders>
              <w:top w:val="nil"/>
              <w:left w:val="nil"/>
              <w:bottom w:val="single" w:sz="8" w:space="0" w:color="000000"/>
              <w:right w:val="single" w:sz="8" w:space="0" w:color="000000"/>
            </w:tcBorders>
            <w:shd w:val="clear" w:color="auto" w:fill="auto"/>
            <w:vAlign w:val="center"/>
          </w:tcPr>
          <w:p w14:paraId="5A43E5CE"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79D408FE"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5669F8ED"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3A7F714B"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462A11E1"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56FCB117"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37229CB8"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45E2FEC2"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30542FFE"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28C2031C"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FFFFFF"/>
            <w:vAlign w:val="center"/>
          </w:tcPr>
          <w:p w14:paraId="35FE08DD"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FFFFFF"/>
            <w:vAlign w:val="center"/>
          </w:tcPr>
          <w:p w14:paraId="6DA6C8E5"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3275E564"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6FEDEBE4"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157F7D5F"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56F95C95"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r>
      <w:tr w:rsidR="00A22386" w:rsidRPr="007E4CC8" w14:paraId="5DB175BE" w14:textId="77777777" w:rsidTr="00320E74">
        <w:trPr>
          <w:trHeight w:val="413"/>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tcPr>
          <w:p w14:paraId="39450F45" w14:textId="77777777" w:rsidR="006528AA" w:rsidRPr="007E4CC8" w:rsidRDefault="006528AA" w:rsidP="00320E74">
            <w:pPr>
              <w:spacing w:after="0" w:line="240" w:lineRule="auto"/>
              <w:contextualSpacing/>
              <w:rPr>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2967AA47" w14:textId="77777777" w:rsidR="006528AA" w:rsidRPr="007E4CC8" w:rsidRDefault="006528AA" w:rsidP="00320E74">
            <w:pPr>
              <w:spacing w:after="0" w:line="240" w:lineRule="auto"/>
              <w:contextualSpacing/>
              <w:textAlignment w:val="center"/>
              <w:rPr>
                <w:color w:val="000000"/>
                <w:sz w:val="20"/>
                <w:szCs w:val="20"/>
              </w:rPr>
            </w:pPr>
            <w:r w:rsidRPr="007E4CC8">
              <w:rPr>
                <w:color w:val="000000"/>
                <w:sz w:val="20"/>
                <w:szCs w:val="20"/>
                <w:lang w:bidi="ar"/>
              </w:rPr>
              <w:t>Peripheral Blood CT103A Cell Test</w:t>
            </w:r>
          </w:p>
        </w:tc>
        <w:tc>
          <w:tcPr>
            <w:tcW w:w="0" w:type="auto"/>
            <w:tcBorders>
              <w:top w:val="nil"/>
              <w:left w:val="nil"/>
              <w:bottom w:val="single" w:sz="8" w:space="0" w:color="000000"/>
              <w:right w:val="single" w:sz="8" w:space="0" w:color="000000"/>
            </w:tcBorders>
            <w:shd w:val="clear" w:color="auto" w:fill="auto"/>
            <w:vAlign w:val="center"/>
          </w:tcPr>
          <w:p w14:paraId="08FC21F7"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4BAFAEBC"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2DCF505E"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054AF979"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285149D6"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518A5708"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4339A1E7"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1504E626"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77FE015D"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66874A83"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FFFFFF"/>
            <w:vAlign w:val="center"/>
          </w:tcPr>
          <w:p w14:paraId="6F427BFF"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FFFFFF"/>
            <w:vAlign w:val="center"/>
          </w:tcPr>
          <w:p w14:paraId="649BE1DE"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tcPr>
          <w:p w14:paraId="4B34E1C8" w14:textId="77777777" w:rsidR="006528AA" w:rsidRPr="007E4CC8" w:rsidRDefault="006528AA" w:rsidP="00320E74">
            <w:pPr>
              <w:spacing w:after="0" w:line="240" w:lineRule="auto"/>
              <w:contextualSpacing/>
              <w:jc w:val="center"/>
              <w:textAlignment w:val="top"/>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tcPr>
          <w:p w14:paraId="46C69138" w14:textId="77777777" w:rsidR="006528AA" w:rsidRPr="007E4CC8" w:rsidRDefault="006528AA" w:rsidP="00320E74">
            <w:pPr>
              <w:spacing w:after="0" w:line="240" w:lineRule="auto"/>
              <w:contextualSpacing/>
              <w:jc w:val="center"/>
              <w:textAlignment w:val="top"/>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tcPr>
          <w:p w14:paraId="4ABDE9D5" w14:textId="77777777" w:rsidR="006528AA" w:rsidRPr="007E4CC8" w:rsidRDefault="006528AA" w:rsidP="00320E74">
            <w:pPr>
              <w:spacing w:after="0" w:line="240" w:lineRule="auto"/>
              <w:contextualSpacing/>
              <w:jc w:val="center"/>
              <w:textAlignment w:val="top"/>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tcPr>
          <w:p w14:paraId="72C07E12" w14:textId="77777777" w:rsidR="006528AA" w:rsidRPr="007E4CC8" w:rsidRDefault="006528AA" w:rsidP="00320E74">
            <w:pPr>
              <w:spacing w:after="0" w:line="240" w:lineRule="auto"/>
              <w:contextualSpacing/>
              <w:jc w:val="center"/>
              <w:textAlignment w:val="top"/>
              <w:rPr>
                <w:rFonts w:eastAsia="等线"/>
                <w:b/>
                <w:bCs/>
                <w:color w:val="000000"/>
                <w:sz w:val="20"/>
                <w:szCs w:val="20"/>
              </w:rPr>
            </w:pPr>
            <w:r w:rsidRPr="007E4CC8">
              <w:rPr>
                <w:rFonts w:eastAsia="等线"/>
                <w:b/>
                <w:bCs/>
                <w:color w:val="000000"/>
                <w:sz w:val="20"/>
                <w:szCs w:val="20"/>
                <w:lang w:bidi="ar"/>
              </w:rPr>
              <w:t>×</w:t>
            </w:r>
          </w:p>
        </w:tc>
      </w:tr>
      <w:tr w:rsidR="00A22386" w:rsidRPr="007E4CC8" w14:paraId="71DDE25B" w14:textId="77777777" w:rsidTr="00320E74">
        <w:trPr>
          <w:trHeight w:val="802"/>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tcPr>
          <w:p w14:paraId="7BFEE7F1" w14:textId="77777777" w:rsidR="006528AA" w:rsidRPr="007E4CC8" w:rsidRDefault="006528AA" w:rsidP="00320E74">
            <w:pPr>
              <w:spacing w:after="0" w:line="240" w:lineRule="auto"/>
              <w:contextualSpacing/>
              <w:rPr>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7D14F44B" w14:textId="6CA7715B" w:rsidR="006528AA" w:rsidRPr="007E4CC8" w:rsidRDefault="006528AA" w:rsidP="00320E74">
            <w:pPr>
              <w:spacing w:after="0" w:line="240" w:lineRule="auto"/>
              <w:contextualSpacing/>
              <w:textAlignment w:val="center"/>
              <w:rPr>
                <w:color w:val="000000"/>
                <w:sz w:val="20"/>
                <w:szCs w:val="20"/>
              </w:rPr>
            </w:pPr>
            <w:r w:rsidRPr="007E4CC8">
              <w:rPr>
                <w:color w:val="000000"/>
                <w:sz w:val="20"/>
                <w:szCs w:val="20"/>
                <w:lang w:bidi="ar"/>
              </w:rPr>
              <w:t xml:space="preserve">Peripheral Blood </w:t>
            </w:r>
            <w:r w:rsidR="00F31A05">
              <w:rPr>
                <w:color w:val="000000"/>
                <w:sz w:val="20"/>
                <w:szCs w:val="20"/>
                <w:lang w:bidi="ar"/>
              </w:rPr>
              <w:t>Selinexor</w:t>
            </w:r>
            <w:r w:rsidRPr="007E4CC8">
              <w:rPr>
                <w:color w:val="000000"/>
                <w:sz w:val="20"/>
                <w:szCs w:val="20"/>
                <w:lang w:bidi="ar"/>
              </w:rPr>
              <w:t xml:space="preserve"> Concentration</w:t>
            </w:r>
          </w:p>
        </w:tc>
        <w:tc>
          <w:tcPr>
            <w:tcW w:w="0" w:type="auto"/>
            <w:tcBorders>
              <w:top w:val="nil"/>
              <w:left w:val="nil"/>
              <w:bottom w:val="single" w:sz="8" w:space="0" w:color="000000"/>
              <w:right w:val="single" w:sz="8" w:space="0" w:color="000000"/>
            </w:tcBorders>
            <w:shd w:val="clear" w:color="auto" w:fill="auto"/>
            <w:vAlign w:val="center"/>
          </w:tcPr>
          <w:p w14:paraId="27ECE93E"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46BCBD13"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51AE5BAA"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tcPr>
          <w:p w14:paraId="28FF79D4"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6BF17129"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288F261C"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16B5CF86"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57E708DE"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554C0789"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60C9F945"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3F6CB87D"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48EE66E1"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7CEDACE9"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450F6B6B"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7B98BC9D"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2D88BD96" w14:textId="77777777" w:rsidR="006528AA" w:rsidRPr="007E4CC8" w:rsidRDefault="006528AA" w:rsidP="00320E74">
            <w:pPr>
              <w:spacing w:after="0" w:line="240" w:lineRule="auto"/>
              <w:contextualSpacing/>
              <w:jc w:val="center"/>
              <w:rPr>
                <w:rFonts w:eastAsia="等线"/>
                <w:b/>
                <w:bCs/>
                <w:color w:val="000000"/>
                <w:sz w:val="20"/>
                <w:szCs w:val="20"/>
              </w:rPr>
            </w:pPr>
          </w:p>
        </w:tc>
      </w:tr>
      <w:tr w:rsidR="00A22386" w:rsidRPr="007E4CC8" w14:paraId="1C417060" w14:textId="77777777" w:rsidTr="00320E74">
        <w:trPr>
          <w:trHeight w:val="292"/>
          <w:jc w:val="center"/>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841A61B" w14:textId="77777777" w:rsidR="006528AA" w:rsidRPr="007E4CC8" w:rsidRDefault="006528AA" w:rsidP="00320E74">
            <w:pPr>
              <w:spacing w:after="0" w:line="240" w:lineRule="auto"/>
              <w:contextualSpacing/>
              <w:textAlignment w:val="center"/>
              <w:rPr>
                <w:color w:val="000000"/>
                <w:sz w:val="20"/>
                <w:szCs w:val="20"/>
              </w:rPr>
            </w:pPr>
            <w:r w:rsidRPr="007E4CC8">
              <w:rPr>
                <w:color w:val="000000"/>
                <w:sz w:val="20"/>
                <w:szCs w:val="20"/>
                <w:lang w:bidi="ar"/>
              </w:rPr>
              <w:t>PBMC Collection</w:t>
            </w:r>
          </w:p>
        </w:tc>
        <w:tc>
          <w:tcPr>
            <w:tcW w:w="0" w:type="auto"/>
            <w:tcBorders>
              <w:top w:val="nil"/>
              <w:left w:val="nil"/>
              <w:bottom w:val="single" w:sz="8" w:space="0" w:color="000000"/>
              <w:right w:val="single" w:sz="8" w:space="0" w:color="000000"/>
            </w:tcBorders>
            <w:shd w:val="clear" w:color="auto" w:fill="FFFFFF"/>
            <w:vAlign w:val="center"/>
          </w:tcPr>
          <w:p w14:paraId="398E4D20"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FFFFFF"/>
            <w:vAlign w:val="center"/>
          </w:tcPr>
          <w:p w14:paraId="23318D02"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FFFFFF"/>
            <w:vAlign w:val="center"/>
          </w:tcPr>
          <w:p w14:paraId="3EFB4B09"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FFFFFF"/>
            <w:vAlign w:val="center"/>
          </w:tcPr>
          <w:p w14:paraId="497A72C8"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FFFFFF"/>
            <w:vAlign w:val="center"/>
          </w:tcPr>
          <w:p w14:paraId="79924CAD"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FFFFFF"/>
            <w:vAlign w:val="center"/>
          </w:tcPr>
          <w:p w14:paraId="7C9489DF"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FFFFFF"/>
            <w:vAlign w:val="center"/>
          </w:tcPr>
          <w:p w14:paraId="697A281F"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FFFFFF"/>
            <w:vAlign w:val="center"/>
          </w:tcPr>
          <w:p w14:paraId="0E620DB3"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FFFFFF"/>
            <w:vAlign w:val="center"/>
          </w:tcPr>
          <w:p w14:paraId="62B436BC"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FFFFFF"/>
            <w:vAlign w:val="center"/>
          </w:tcPr>
          <w:p w14:paraId="36A4B8AB"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FFFFFF"/>
            <w:vAlign w:val="center"/>
          </w:tcPr>
          <w:p w14:paraId="684D40F3"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FFFFFF"/>
            <w:vAlign w:val="center"/>
          </w:tcPr>
          <w:p w14:paraId="76C19965"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FFFFFF"/>
            <w:vAlign w:val="center"/>
          </w:tcPr>
          <w:p w14:paraId="7C269FD7"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FFFFFF"/>
            <w:vAlign w:val="center"/>
          </w:tcPr>
          <w:p w14:paraId="70CEE786"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FFFFFF"/>
            <w:vAlign w:val="center"/>
          </w:tcPr>
          <w:p w14:paraId="4C94F996"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FFFFFF"/>
            <w:vAlign w:val="center"/>
          </w:tcPr>
          <w:p w14:paraId="0A37DDB7" w14:textId="77777777" w:rsidR="006528AA" w:rsidRPr="007E4CC8" w:rsidRDefault="006528AA" w:rsidP="00320E74">
            <w:pPr>
              <w:spacing w:after="0" w:line="240" w:lineRule="auto"/>
              <w:contextualSpacing/>
              <w:jc w:val="center"/>
              <w:rPr>
                <w:rFonts w:eastAsia="等线"/>
                <w:b/>
                <w:bCs/>
                <w:color w:val="000000"/>
                <w:sz w:val="20"/>
                <w:szCs w:val="20"/>
              </w:rPr>
            </w:pPr>
          </w:p>
        </w:tc>
      </w:tr>
      <w:tr w:rsidR="00A22386" w:rsidRPr="007E4CC8" w14:paraId="794BD990" w14:textId="77777777" w:rsidTr="00320E74">
        <w:trPr>
          <w:trHeight w:val="292"/>
          <w:jc w:val="center"/>
        </w:trPr>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580E3E0" w14:textId="77777777" w:rsidR="006528AA" w:rsidRPr="007E4CC8" w:rsidRDefault="006528AA" w:rsidP="00320E74">
            <w:pPr>
              <w:spacing w:after="0" w:line="240" w:lineRule="auto"/>
              <w:contextualSpacing/>
              <w:textAlignment w:val="center"/>
              <w:rPr>
                <w:color w:val="000000"/>
                <w:sz w:val="20"/>
                <w:szCs w:val="20"/>
              </w:rPr>
            </w:pPr>
            <w:r w:rsidRPr="007E4CC8">
              <w:rPr>
                <w:color w:val="000000"/>
                <w:sz w:val="20"/>
                <w:szCs w:val="20"/>
                <w:lang w:bidi="ar"/>
              </w:rPr>
              <w:t>Administration for Lymphodepletion conditioning</w:t>
            </w:r>
          </w:p>
        </w:tc>
        <w:tc>
          <w:tcPr>
            <w:tcW w:w="0" w:type="auto"/>
            <w:tcBorders>
              <w:top w:val="nil"/>
              <w:left w:val="nil"/>
              <w:bottom w:val="single" w:sz="8" w:space="0" w:color="000000"/>
              <w:right w:val="single" w:sz="8" w:space="0" w:color="000000"/>
            </w:tcBorders>
            <w:shd w:val="clear" w:color="auto" w:fill="auto"/>
            <w:vAlign w:val="center"/>
          </w:tcPr>
          <w:p w14:paraId="0CB2C96B"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41E5B476"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2448DB40"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tcPr>
          <w:p w14:paraId="1A0FEB90"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6FCCA776"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194143E5"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77D65C90"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75A9FF3D"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15B1BBFA"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5E852030"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3430BE62"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4D04937C"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439AECBD"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2978EFB2"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1F903BC2"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7B514EE0" w14:textId="77777777" w:rsidR="006528AA" w:rsidRPr="007E4CC8" w:rsidRDefault="006528AA" w:rsidP="00320E74">
            <w:pPr>
              <w:spacing w:after="0" w:line="240" w:lineRule="auto"/>
              <w:contextualSpacing/>
              <w:jc w:val="center"/>
              <w:rPr>
                <w:rFonts w:eastAsia="等线"/>
                <w:b/>
                <w:bCs/>
                <w:color w:val="000000"/>
                <w:sz w:val="20"/>
                <w:szCs w:val="20"/>
              </w:rPr>
            </w:pPr>
          </w:p>
        </w:tc>
      </w:tr>
      <w:tr w:rsidR="00A22386" w:rsidRPr="007E4CC8" w14:paraId="32873798" w14:textId="77777777" w:rsidTr="00320E74">
        <w:trPr>
          <w:trHeight w:val="292"/>
          <w:jc w:val="center"/>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DE6629E" w14:textId="77777777" w:rsidR="006528AA" w:rsidRPr="007E4CC8" w:rsidRDefault="006528AA" w:rsidP="00320E74">
            <w:pPr>
              <w:spacing w:after="0" w:line="240" w:lineRule="auto"/>
              <w:contextualSpacing/>
              <w:textAlignment w:val="center"/>
              <w:rPr>
                <w:color w:val="000000"/>
                <w:sz w:val="20"/>
                <w:szCs w:val="20"/>
              </w:rPr>
            </w:pPr>
            <w:r w:rsidRPr="007E4CC8">
              <w:rPr>
                <w:color w:val="000000"/>
                <w:sz w:val="20"/>
                <w:szCs w:val="20"/>
                <w:lang w:bidi="ar"/>
              </w:rPr>
              <w:t>Drugs</w:t>
            </w:r>
            <w:r w:rsidRPr="007E4CC8">
              <w:rPr>
                <w:rStyle w:val="font41"/>
                <w:sz w:val="20"/>
                <w:szCs w:val="20"/>
                <w:lang w:bidi="ar"/>
              </w:rPr>
              <w:t xml:space="preserve"> </w:t>
            </w:r>
            <w:r w:rsidRPr="007E4CC8">
              <w:rPr>
                <w:rStyle w:val="font31"/>
                <w:sz w:val="20"/>
                <w:szCs w:val="20"/>
                <w:lang w:bidi="ar"/>
              </w:rPr>
              <w:t>to</w:t>
            </w:r>
            <w:r w:rsidRPr="007E4CC8">
              <w:rPr>
                <w:rStyle w:val="font41"/>
                <w:sz w:val="20"/>
                <w:szCs w:val="20"/>
                <w:lang w:bidi="ar"/>
              </w:rPr>
              <w:t xml:space="preserve"> </w:t>
            </w:r>
            <w:r w:rsidRPr="004322E6">
              <w:rPr>
                <w:rStyle w:val="font31"/>
                <w:sz w:val="20"/>
                <w:szCs w:val="20"/>
              </w:rPr>
              <w:t>P</w:t>
            </w:r>
            <w:r w:rsidRPr="007E4CC8">
              <w:rPr>
                <w:rStyle w:val="font31"/>
                <w:sz w:val="20"/>
                <w:szCs w:val="20"/>
                <w:lang w:bidi="ar"/>
              </w:rPr>
              <w:t xml:space="preserve">revent Infusion Reactions </w:t>
            </w:r>
            <w:r w:rsidRPr="007E4CC8">
              <w:rPr>
                <w:rStyle w:val="font41"/>
                <w:sz w:val="20"/>
                <w:szCs w:val="20"/>
                <w:lang w:bidi="ar"/>
              </w:rPr>
              <w:t>21</w:t>
            </w:r>
          </w:p>
        </w:tc>
        <w:tc>
          <w:tcPr>
            <w:tcW w:w="0" w:type="auto"/>
            <w:tcBorders>
              <w:top w:val="nil"/>
              <w:left w:val="nil"/>
              <w:bottom w:val="single" w:sz="8" w:space="0" w:color="000000"/>
              <w:right w:val="single" w:sz="8" w:space="0" w:color="000000"/>
            </w:tcBorders>
            <w:shd w:val="clear" w:color="auto" w:fill="auto"/>
            <w:vAlign w:val="center"/>
          </w:tcPr>
          <w:p w14:paraId="3A624A99"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67D4AB84"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64C4E248"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tcPr>
          <w:p w14:paraId="7029E39B"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120DB064"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3234A234"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283F6F5F"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24A0581F"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3661511D"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4E7193AF"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763B8BB8"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656C084E"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7C8778EA"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7436AE61"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70CCA55D"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75F0D0CD" w14:textId="77777777" w:rsidR="006528AA" w:rsidRPr="007E4CC8" w:rsidRDefault="006528AA" w:rsidP="00320E74">
            <w:pPr>
              <w:spacing w:after="0" w:line="240" w:lineRule="auto"/>
              <w:contextualSpacing/>
              <w:jc w:val="center"/>
              <w:rPr>
                <w:rFonts w:eastAsia="等线"/>
                <w:b/>
                <w:bCs/>
                <w:color w:val="000000"/>
                <w:sz w:val="20"/>
                <w:szCs w:val="20"/>
              </w:rPr>
            </w:pPr>
          </w:p>
        </w:tc>
      </w:tr>
      <w:tr w:rsidR="00A22386" w:rsidRPr="007E4CC8" w14:paraId="6504DC96" w14:textId="77777777" w:rsidTr="00320E74">
        <w:trPr>
          <w:trHeight w:val="292"/>
          <w:jc w:val="center"/>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86C8416" w14:textId="77777777" w:rsidR="006528AA" w:rsidRPr="007E4CC8" w:rsidRDefault="006528AA" w:rsidP="00320E74">
            <w:pPr>
              <w:spacing w:after="0" w:line="240" w:lineRule="auto"/>
              <w:contextualSpacing/>
              <w:textAlignment w:val="center"/>
              <w:rPr>
                <w:color w:val="000000"/>
                <w:sz w:val="20"/>
                <w:szCs w:val="20"/>
              </w:rPr>
            </w:pPr>
            <w:r w:rsidRPr="007E4CC8">
              <w:rPr>
                <w:color w:val="000000"/>
                <w:sz w:val="20"/>
                <w:szCs w:val="20"/>
                <w:lang w:bidi="ar"/>
              </w:rPr>
              <w:t>CT103A Cells Infusion</w:t>
            </w:r>
          </w:p>
        </w:tc>
        <w:tc>
          <w:tcPr>
            <w:tcW w:w="0" w:type="auto"/>
            <w:tcBorders>
              <w:top w:val="nil"/>
              <w:left w:val="nil"/>
              <w:bottom w:val="single" w:sz="8" w:space="0" w:color="000000"/>
              <w:right w:val="single" w:sz="8" w:space="0" w:color="000000"/>
            </w:tcBorders>
            <w:shd w:val="clear" w:color="auto" w:fill="auto"/>
            <w:vAlign w:val="center"/>
          </w:tcPr>
          <w:p w14:paraId="4613E681"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047ECAA5"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0F30BF03"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tcPr>
          <w:p w14:paraId="5C1C89DD"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4DE1D0D4"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6B154448"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29E9743F"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7C1D528D"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0BF4D7DF"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4B0A482C"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647FA8BB"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10790B97"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tcPr>
          <w:p w14:paraId="0EBE6AC9" w14:textId="77777777" w:rsidR="006528AA" w:rsidRPr="007E4CC8" w:rsidRDefault="006528AA" w:rsidP="00320E74">
            <w:pPr>
              <w:spacing w:after="0" w:line="240" w:lineRule="auto"/>
              <w:contextualSpacing/>
              <w:jc w:val="center"/>
              <w:textAlignment w:val="top"/>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tcPr>
          <w:p w14:paraId="3A136D13" w14:textId="77777777" w:rsidR="006528AA" w:rsidRPr="007E4CC8" w:rsidRDefault="006528AA" w:rsidP="00320E74">
            <w:pPr>
              <w:spacing w:after="0" w:line="240" w:lineRule="auto"/>
              <w:contextualSpacing/>
              <w:jc w:val="center"/>
              <w:textAlignment w:val="top"/>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tcPr>
          <w:p w14:paraId="164C3364" w14:textId="77777777" w:rsidR="006528AA" w:rsidRPr="007E4CC8" w:rsidRDefault="006528AA" w:rsidP="00320E74">
            <w:pPr>
              <w:spacing w:after="0" w:line="240" w:lineRule="auto"/>
              <w:contextualSpacing/>
              <w:jc w:val="center"/>
              <w:textAlignment w:val="top"/>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tcPr>
          <w:p w14:paraId="045C53BB" w14:textId="77777777" w:rsidR="006528AA" w:rsidRPr="007E4CC8" w:rsidRDefault="006528AA" w:rsidP="00320E74">
            <w:pPr>
              <w:spacing w:after="0" w:line="240" w:lineRule="auto"/>
              <w:contextualSpacing/>
              <w:jc w:val="center"/>
              <w:textAlignment w:val="top"/>
              <w:rPr>
                <w:rFonts w:eastAsia="等线"/>
                <w:b/>
                <w:bCs/>
                <w:color w:val="000000"/>
                <w:sz w:val="20"/>
                <w:szCs w:val="20"/>
              </w:rPr>
            </w:pPr>
            <w:r w:rsidRPr="007E4CC8">
              <w:rPr>
                <w:rFonts w:eastAsia="等线"/>
                <w:b/>
                <w:bCs/>
                <w:color w:val="000000"/>
                <w:sz w:val="20"/>
                <w:szCs w:val="20"/>
                <w:lang w:bidi="ar"/>
              </w:rPr>
              <w:t>×</w:t>
            </w:r>
          </w:p>
        </w:tc>
      </w:tr>
      <w:tr w:rsidR="00A22386" w:rsidRPr="007E4CC8" w14:paraId="6FA04E30" w14:textId="77777777" w:rsidTr="00320E74">
        <w:trPr>
          <w:trHeight w:val="292"/>
          <w:jc w:val="center"/>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68F546A" w14:textId="6EB4B248" w:rsidR="006528AA" w:rsidRPr="007E4CC8" w:rsidRDefault="006528AA" w:rsidP="00320E74">
            <w:pPr>
              <w:spacing w:after="0" w:line="240" w:lineRule="auto"/>
              <w:contextualSpacing/>
              <w:textAlignment w:val="center"/>
              <w:rPr>
                <w:color w:val="000000"/>
                <w:sz w:val="20"/>
                <w:szCs w:val="20"/>
              </w:rPr>
            </w:pPr>
            <w:r w:rsidRPr="007E4CC8">
              <w:rPr>
                <w:color w:val="000000"/>
                <w:sz w:val="20"/>
                <w:szCs w:val="20"/>
                <w:lang w:bidi="ar"/>
              </w:rPr>
              <w:t xml:space="preserve">Administration of </w:t>
            </w:r>
            <w:r w:rsidR="00F31A05">
              <w:rPr>
                <w:color w:val="000000"/>
                <w:sz w:val="20"/>
                <w:szCs w:val="20"/>
                <w:lang w:bidi="ar"/>
              </w:rPr>
              <w:t>Selinexor</w:t>
            </w:r>
            <w:r w:rsidRPr="007E4CC8">
              <w:rPr>
                <w:rStyle w:val="font41"/>
                <w:sz w:val="20"/>
                <w:szCs w:val="20"/>
                <w:lang w:bidi="ar"/>
              </w:rPr>
              <w:t xml:space="preserve"> 22</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14:paraId="43A62BE4"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single" w:sz="8" w:space="0" w:color="000000"/>
              <w:bottom w:val="single" w:sz="8" w:space="0" w:color="000000"/>
              <w:right w:val="single" w:sz="8" w:space="0" w:color="000000"/>
            </w:tcBorders>
            <w:shd w:val="clear" w:color="auto" w:fill="auto"/>
            <w:noWrap/>
            <w:vAlign w:val="center"/>
          </w:tcPr>
          <w:p w14:paraId="58EEAB4F"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noWrap/>
            <w:vAlign w:val="center"/>
          </w:tcPr>
          <w:p w14:paraId="572EDB9A"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3BAB7DFC"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noWrap/>
            <w:vAlign w:val="center"/>
          </w:tcPr>
          <w:p w14:paraId="3D0CFA9F"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noWrap/>
            <w:vAlign w:val="center"/>
          </w:tcPr>
          <w:p w14:paraId="35F789F1"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noWrap/>
            <w:vAlign w:val="center"/>
          </w:tcPr>
          <w:p w14:paraId="7473B6C4"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noWrap/>
            <w:vAlign w:val="center"/>
          </w:tcPr>
          <w:p w14:paraId="163783B4"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noWrap/>
            <w:vAlign w:val="center"/>
          </w:tcPr>
          <w:p w14:paraId="6AC445AA"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noWrap/>
            <w:vAlign w:val="center"/>
          </w:tcPr>
          <w:p w14:paraId="06B16A38"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noWrap/>
            <w:vAlign w:val="center"/>
          </w:tcPr>
          <w:p w14:paraId="5F44A98E"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noWrap/>
            <w:vAlign w:val="center"/>
          </w:tcPr>
          <w:p w14:paraId="682983CD"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noWrap/>
            <w:vAlign w:val="center"/>
          </w:tcPr>
          <w:p w14:paraId="1BB239CC"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noWrap/>
            <w:vAlign w:val="center"/>
          </w:tcPr>
          <w:p w14:paraId="1F601749"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noWrap/>
            <w:vAlign w:val="center"/>
          </w:tcPr>
          <w:p w14:paraId="446A0CA2"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noWrap/>
            <w:vAlign w:val="center"/>
          </w:tcPr>
          <w:p w14:paraId="337376C6"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r>
      <w:tr w:rsidR="00A22386" w:rsidRPr="007E4CC8" w14:paraId="6C810156" w14:textId="77777777" w:rsidTr="00320E74">
        <w:trPr>
          <w:trHeight w:val="330"/>
          <w:jc w:val="center"/>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E4737B" w14:textId="77777777" w:rsidR="006528AA" w:rsidRPr="007E4CC8" w:rsidRDefault="006528AA" w:rsidP="00320E74">
            <w:pPr>
              <w:spacing w:after="0" w:line="240" w:lineRule="auto"/>
              <w:contextualSpacing/>
              <w:textAlignment w:val="center"/>
              <w:rPr>
                <w:color w:val="000000"/>
                <w:sz w:val="20"/>
                <w:szCs w:val="20"/>
              </w:rPr>
            </w:pPr>
            <w:r w:rsidRPr="007E4CC8">
              <w:rPr>
                <w:color w:val="000000"/>
                <w:sz w:val="20"/>
                <w:szCs w:val="20"/>
                <w:lang w:bidi="ar"/>
              </w:rPr>
              <w:t xml:space="preserve">Assessment for Life Quality </w:t>
            </w:r>
            <w:r w:rsidRPr="007E4CC8">
              <w:rPr>
                <w:rStyle w:val="font41"/>
                <w:sz w:val="20"/>
                <w:szCs w:val="20"/>
                <w:lang w:bidi="ar"/>
              </w:rPr>
              <w:t>23</w:t>
            </w:r>
          </w:p>
        </w:tc>
        <w:tc>
          <w:tcPr>
            <w:tcW w:w="0" w:type="auto"/>
            <w:tcBorders>
              <w:top w:val="nil"/>
              <w:left w:val="nil"/>
              <w:bottom w:val="single" w:sz="8" w:space="0" w:color="000000"/>
              <w:right w:val="single" w:sz="8" w:space="0" w:color="000000"/>
            </w:tcBorders>
            <w:shd w:val="clear" w:color="auto" w:fill="auto"/>
            <w:vAlign w:val="center"/>
          </w:tcPr>
          <w:p w14:paraId="1E2F3331"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13CB9BDF"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05276EEA"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tcPr>
          <w:p w14:paraId="54D6C3A0" w14:textId="77777777" w:rsidR="006528AA" w:rsidRPr="007E4CC8" w:rsidRDefault="006528AA" w:rsidP="00320E74">
            <w:pPr>
              <w:spacing w:after="0" w:line="240" w:lineRule="auto"/>
              <w:contextualSpacing/>
              <w:jc w:val="center"/>
              <w:textAlignment w:val="top"/>
              <w:rPr>
                <w:rFonts w:eastAsia="等线"/>
                <w:b/>
                <w:bCs/>
                <w:color w:val="000000"/>
                <w:sz w:val="20"/>
                <w:szCs w:val="20"/>
              </w:rPr>
            </w:pPr>
            <w:r w:rsidRPr="007E4CC8">
              <w:rPr>
                <w:rFonts w:eastAsia="等线"/>
                <w:b/>
                <w:bCs/>
                <w:color w:val="000000"/>
                <w:sz w:val="20"/>
                <w:szCs w:val="20"/>
                <w:lang w:bidi="ar"/>
              </w:rPr>
              <w:t xml:space="preserve">  </w:t>
            </w:r>
          </w:p>
        </w:tc>
        <w:tc>
          <w:tcPr>
            <w:tcW w:w="0" w:type="auto"/>
            <w:tcBorders>
              <w:top w:val="nil"/>
              <w:left w:val="nil"/>
              <w:bottom w:val="single" w:sz="8" w:space="0" w:color="000000"/>
              <w:right w:val="single" w:sz="8" w:space="0" w:color="000000"/>
            </w:tcBorders>
            <w:shd w:val="clear" w:color="auto" w:fill="auto"/>
            <w:vAlign w:val="center"/>
          </w:tcPr>
          <w:p w14:paraId="4E1BA8F1"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162CFAE6"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56A1F8C2"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1ED114F4"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561D8C63"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469F9133"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72922632"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6BD02FBE"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2CC4754D"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07D4C665"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r w:rsidRPr="007E4CC8">
              <w:rPr>
                <w:rFonts w:eastAsia="等线"/>
                <w:b/>
                <w:bCs/>
                <w:color w:val="000000"/>
                <w:sz w:val="20"/>
                <w:szCs w:val="20"/>
                <w:lang w:bidi="ar"/>
              </w:rPr>
              <w:t xml:space="preserve">　</w:t>
            </w:r>
          </w:p>
        </w:tc>
        <w:tc>
          <w:tcPr>
            <w:tcW w:w="0" w:type="auto"/>
            <w:tcBorders>
              <w:top w:val="nil"/>
              <w:left w:val="nil"/>
              <w:bottom w:val="single" w:sz="8" w:space="0" w:color="000000"/>
              <w:right w:val="single" w:sz="8" w:space="0" w:color="000000"/>
            </w:tcBorders>
            <w:shd w:val="clear" w:color="auto" w:fill="auto"/>
            <w:vAlign w:val="center"/>
          </w:tcPr>
          <w:p w14:paraId="08CBC5BF"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0C6DD495"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r>
      <w:tr w:rsidR="00A22386" w:rsidRPr="007E4CC8" w14:paraId="38E3B5AB" w14:textId="77777777" w:rsidTr="00320E74">
        <w:trPr>
          <w:trHeight w:val="292"/>
          <w:jc w:val="center"/>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C1D3CB3" w14:textId="77777777" w:rsidR="006528AA" w:rsidRPr="007E4CC8" w:rsidRDefault="006528AA" w:rsidP="00320E74">
            <w:pPr>
              <w:spacing w:after="0" w:line="240" w:lineRule="auto"/>
              <w:contextualSpacing/>
              <w:textAlignment w:val="center"/>
              <w:rPr>
                <w:color w:val="000000"/>
                <w:sz w:val="20"/>
                <w:szCs w:val="20"/>
              </w:rPr>
            </w:pPr>
            <w:r w:rsidRPr="007E4CC8">
              <w:rPr>
                <w:color w:val="000000"/>
                <w:sz w:val="20"/>
                <w:szCs w:val="20"/>
                <w:lang w:bidi="ar"/>
              </w:rPr>
              <w:t>Assessment for IMWG Treatment Efficacy</w:t>
            </w:r>
          </w:p>
        </w:tc>
        <w:tc>
          <w:tcPr>
            <w:tcW w:w="0" w:type="auto"/>
            <w:tcBorders>
              <w:top w:val="nil"/>
              <w:left w:val="nil"/>
              <w:bottom w:val="single" w:sz="8" w:space="0" w:color="000000"/>
              <w:right w:val="single" w:sz="8" w:space="0" w:color="000000"/>
            </w:tcBorders>
            <w:shd w:val="clear" w:color="auto" w:fill="auto"/>
            <w:vAlign w:val="center"/>
          </w:tcPr>
          <w:p w14:paraId="78AE6DA0"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r w:rsidRPr="007E4CC8">
              <w:rPr>
                <w:rFonts w:eastAsia="等线"/>
                <w:b/>
                <w:bCs/>
                <w:color w:val="000000"/>
                <w:sz w:val="20"/>
                <w:szCs w:val="20"/>
                <w:lang w:bidi="ar"/>
              </w:rPr>
              <w:t xml:space="preserve">　</w:t>
            </w:r>
          </w:p>
        </w:tc>
        <w:tc>
          <w:tcPr>
            <w:tcW w:w="0" w:type="auto"/>
            <w:tcBorders>
              <w:top w:val="nil"/>
              <w:left w:val="nil"/>
              <w:bottom w:val="single" w:sz="8" w:space="0" w:color="000000"/>
              <w:right w:val="single" w:sz="8" w:space="0" w:color="000000"/>
            </w:tcBorders>
            <w:shd w:val="clear" w:color="auto" w:fill="auto"/>
            <w:vAlign w:val="center"/>
          </w:tcPr>
          <w:p w14:paraId="56B081B8"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4C6D4D94"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tcPr>
          <w:p w14:paraId="18460986" w14:textId="77777777" w:rsidR="006528AA" w:rsidRPr="007E4CC8" w:rsidRDefault="006528AA" w:rsidP="00320E74">
            <w:pPr>
              <w:spacing w:after="0" w:line="240" w:lineRule="auto"/>
              <w:contextualSpacing/>
              <w:jc w:val="center"/>
              <w:textAlignment w:val="top"/>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51E81C97"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509DAE90"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4C3E9EC2"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195D4727"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2A7F725E"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765359C2"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76A770F8"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10A5BFED"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r w:rsidRPr="007E4CC8">
              <w:rPr>
                <w:rFonts w:eastAsia="等线"/>
                <w:b/>
                <w:bCs/>
                <w:color w:val="000000"/>
                <w:sz w:val="20"/>
                <w:szCs w:val="20"/>
                <w:lang w:bidi="ar"/>
              </w:rPr>
              <w:t xml:space="preserve">　</w:t>
            </w:r>
          </w:p>
        </w:tc>
        <w:tc>
          <w:tcPr>
            <w:tcW w:w="0" w:type="auto"/>
            <w:tcBorders>
              <w:top w:val="nil"/>
              <w:left w:val="nil"/>
              <w:bottom w:val="single" w:sz="8" w:space="0" w:color="000000"/>
              <w:right w:val="single" w:sz="8" w:space="0" w:color="000000"/>
            </w:tcBorders>
            <w:shd w:val="clear" w:color="auto" w:fill="auto"/>
            <w:vAlign w:val="center"/>
          </w:tcPr>
          <w:p w14:paraId="41C094E1"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141C54E8"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1DF2019B"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6834490F"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r>
      <w:tr w:rsidR="00A22386" w:rsidRPr="007E4CC8" w14:paraId="5D4EA589" w14:textId="77777777" w:rsidTr="00320E74">
        <w:trPr>
          <w:trHeight w:val="292"/>
          <w:jc w:val="center"/>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2BD2635" w14:textId="77777777" w:rsidR="006528AA" w:rsidRPr="007E4CC8" w:rsidRDefault="006528AA" w:rsidP="00320E74">
            <w:pPr>
              <w:spacing w:after="0" w:line="240" w:lineRule="auto"/>
              <w:contextualSpacing/>
              <w:textAlignment w:val="center"/>
              <w:rPr>
                <w:color w:val="000000"/>
                <w:sz w:val="20"/>
                <w:szCs w:val="20"/>
              </w:rPr>
            </w:pPr>
            <w:r>
              <w:t>AE</w:t>
            </w:r>
            <w:r w:rsidRPr="007E4CC8">
              <w:rPr>
                <w:rStyle w:val="font31"/>
                <w:sz w:val="20"/>
                <w:szCs w:val="20"/>
                <w:lang w:bidi="ar"/>
              </w:rPr>
              <w:t xml:space="preserve"> </w:t>
            </w:r>
            <w:r w:rsidRPr="007E4CC8">
              <w:rPr>
                <w:rStyle w:val="font41"/>
                <w:sz w:val="20"/>
                <w:szCs w:val="20"/>
                <w:lang w:bidi="ar"/>
              </w:rPr>
              <w:t>2</w:t>
            </w:r>
            <w:r>
              <w:rPr>
                <w:rStyle w:val="font41"/>
                <w:sz w:val="20"/>
                <w:szCs w:val="20"/>
                <w:lang w:bidi="ar"/>
              </w:rPr>
              <w:t>4</w:t>
            </w:r>
          </w:p>
        </w:tc>
        <w:tc>
          <w:tcPr>
            <w:tcW w:w="0" w:type="auto"/>
            <w:tcBorders>
              <w:top w:val="nil"/>
              <w:left w:val="nil"/>
              <w:bottom w:val="single" w:sz="8" w:space="0" w:color="000000"/>
              <w:right w:val="single" w:sz="8" w:space="0" w:color="000000"/>
            </w:tcBorders>
            <w:shd w:val="clear" w:color="auto" w:fill="auto"/>
            <w:vAlign w:val="center"/>
          </w:tcPr>
          <w:p w14:paraId="7D6F84DC"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3A48E24F"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191ECA3E"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tcPr>
          <w:p w14:paraId="4D416252" w14:textId="77777777" w:rsidR="006528AA" w:rsidRPr="007E4CC8" w:rsidRDefault="006528AA" w:rsidP="00320E74">
            <w:pPr>
              <w:spacing w:after="0" w:line="240" w:lineRule="auto"/>
              <w:contextualSpacing/>
              <w:jc w:val="center"/>
              <w:textAlignment w:val="top"/>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6065CDA9"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3C8FBF7C"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71B1D1E2"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4DCDC323"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69C3EF40"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1CBE6CC7"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505FD1CD"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07009891"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r w:rsidRPr="007E4CC8">
              <w:rPr>
                <w:rFonts w:eastAsia="等线"/>
                <w:b/>
                <w:bCs/>
                <w:color w:val="000000"/>
                <w:sz w:val="20"/>
                <w:szCs w:val="20"/>
                <w:lang w:bidi="ar"/>
              </w:rPr>
              <w:t xml:space="preserve">　</w:t>
            </w:r>
          </w:p>
        </w:tc>
        <w:tc>
          <w:tcPr>
            <w:tcW w:w="0" w:type="auto"/>
            <w:tcBorders>
              <w:top w:val="nil"/>
              <w:left w:val="nil"/>
              <w:bottom w:val="single" w:sz="8" w:space="0" w:color="000000"/>
              <w:right w:val="single" w:sz="8" w:space="0" w:color="000000"/>
            </w:tcBorders>
            <w:shd w:val="clear" w:color="auto" w:fill="auto"/>
            <w:vAlign w:val="center"/>
          </w:tcPr>
          <w:p w14:paraId="3CE9A627"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6A97F7D6"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630BCC7E"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56B0F25C"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r>
      <w:tr w:rsidR="00A22386" w:rsidRPr="007E4CC8" w14:paraId="25390258" w14:textId="77777777" w:rsidTr="00320E74">
        <w:trPr>
          <w:trHeight w:val="292"/>
          <w:jc w:val="center"/>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D316B1D" w14:textId="77777777" w:rsidR="006528AA" w:rsidRPr="007E4CC8" w:rsidRDefault="006528AA" w:rsidP="00320E74">
            <w:pPr>
              <w:spacing w:after="0" w:line="240" w:lineRule="auto"/>
              <w:contextualSpacing/>
              <w:textAlignment w:val="center"/>
              <w:rPr>
                <w:color w:val="000000"/>
                <w:sz w:val="20"/>
                <w:szCs w:val="20"/>
              </w:rPr>
            </w:pPr>
            <w:r w:rsidRPr="009E06AA">
              <w:rPr>
                <w:rStyle w:val="font41"/>
                <w:sz w:val="24"/>
                <w:szCs w:val="24"/>
                <w:vertAlign w:val="baseline"/>
              </w:rPr>
              <w:t>SAE</w:t>
            </w:r>
            <w:r w:rsidRPr="007E4CC8">
              <w:rPr>
                <w:rStyle w:val="font41"/>
                <w:sz w:val="20"/>
                <w:szCs w:val="20"/>
                <w:lang w:bidi="ar"/>
              </w:rPr>
              <w:t xml:space="preserve"> 25</w:t>
            </w:r>
          </w:p>
        </w:tc>
        <w:tc>
          <w:tcPr>
            <w:tcW w:w="0" w:type="auto"/>
            <w:tcBorders>
              <w:top w:val="nil"/>
              <w:left w:val="nil"/>
              <w:bottom w:val="single" w:sz="8" w:space="0" w:color="000000"/>
              <w:right w:val="single" w:sz="8" w:space="0" w:color="000000"/>
            </w:tcBorders>
            <w:shd w:val="clear" w:color="auto" w:fill="auto"/>
            <w:vAlign w:val="center"/>
          </w:tcPr>
          <w:p w14:paraId="5BE6F20E"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r w:rsidRPr="007E4CC8">
              <w:rPr>
                <w:rFonts w:eastAsia="等线"/>
                <w:b/>
                <w:bCs/>
                <w:color w:val="000000"/>
                <w:sz w:val="20"/>
                <w:szCs w:val="20"/>
                <w:lang w:bidi="ar"/>
              </w:rPr>
              <w:t xml:space="preserve">　</w:t>
            </w:r>
          </w:p>
        </w:tc>
        <w:tc>
          <w:tcPr>
            <w:tcW w:w="0" w:type="auto"/>
            <w:tcBorders>
              <w:top w:val="nil"/>
              <w:left w:val="nil"/>
              <w:bottom w:val="single" w:sz="8" w:space="0" w:color="000000"/>
              <w:right w:val="single" w:sz="8" w:space="0" w:color="000000"/>
            </w:tcBorders>
            <w:shd w:val="clear" w:color="auto" w:fill="auto"/>
            <w:vAlign w:val="center"/>
          </w:tcPr>
          <w:p w14:paraId="45E0D79B"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5DBC2AF3"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tcPr>
          <w:p w14:paraId="16C89DB9" w14:textId="77777777" w:rsidR="006528AA" w:rsidRPr="007E4CC8" w:rsidRDefault="006528AA" w:rsidP="00320E74">
            <w:pPr>
              <w:spacing w:after="0" w:line="240" w:lineRule="auto"/>
              <w:contextualSpacing/>
              <w:jc w:val="center"/>
              <w:textAlignment w:val="top"/>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295775D6"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1B504BFD"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727FFA0E"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32A8E06D"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13B67A76"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5A84B192"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2F9D0A6D"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36A5D004"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r w:rsidRPr="007E4CC8">
              <w:rPr>
                <w:rFonts w:eastAsia="等线"/>
                <w:b/>
                <w:bCs/>
                <w:color w:val="000000"/>
                <w:sz w:val="20"/>
                <w:szCs w:val="20"/>
                <w:lang w:bidi="ar"/>
              </w:rPr>
              <w:t xml:space="preserve">　</w:t>
            </w:r>
          </w:p>
        </w:tc>
        <w:tc>
          <w:tcPr>
            <w:tcW w:w="0" w:type="auto"/>
            <w:tcBorders>
              <w:top w:val="nil"/>
              <w:left w:val="nil"/>
              <w:bottom w:val="single" w:sz="8" w:space="0" w:color="000000"/>
              <w:right w:val="single" w:sz="8" w:space="0" w:color="000000"/>
            </w:tcBorders>
            <w:shd w:val="clear" w:color="auto" w:fill="auto"/>
            <w:vAlign w:val="center"/>
          </w:tcPr>
          <w:p w14:paraId="1229E9D2"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6CFBD1E3"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13AFDEF0"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vAlign w:val="center"/>
          </w:tcPr>
          <w:p w14:paraId="5D085F33"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r>
      <w:tr w:rsidR="00A22386" w:rsidRPr="007E4CC8" w14:paraId="0E9DC1B3" w14:textId="77777777" w:rsidTr="00320E74">
        <w:trPr>
          <w:trHeight w:val="292"/>
          <w:jc w:val="center"/>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71BA324" w14:textId="77777777" w:rsidR="006528AA" w:rsidRPr="007E4CC8" w:rsidRDefault="006528AA" w:rsidP="00320E74">
            <w:pPr>
              <w:spacing w:after="0" w:line="240" w:lineRule="auto"/>
              <w:contextualSpacing/>
              <w:textAlignment w:val="center"/>
              <w:rPr>
                <w:color w:val="000000"/>
                <w:sz w:val="20"/>
                <w:szCs w:val="20"/>
              </w:rPr>
            </w:pPr>
            <w:r w:rsidRPr="004322E6">
              <w:rPr>
                <w:sz w:val="20"/>
                <w:szCs w:val="20"/>
              </w:rPr>
              <w:t xml:space="preserve">Concomitant </w:t>
            </w:r>
            <w:r>
              <w:rPr>
                <w:sz w:val="20"/>
                <w:szCs w:val="20"/>
              </w:rPr>
              <w:t>T</w:t>
            </w:r>
            <w:r w:rsidRPr="007E4CC8">
              <w:rPr>
                <w:rStyle w:val="font31"/>
                <w:sz w:val="20"/>
                <w:szCs w:val="20"/>
                <w:lang w:bidi="ar"/>
              </w:rPr>
              <w:t xml:space="preserve">reatment </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14:paraId="1A4E6642" w14:textId="77777777" w:rsidR="006528AA" w:rsidRPr="007E4CC8" w:rsidRDefault="006528AA" w:rsidP="00320E74">
            <w:pPr>
              <w:spacing w:after="0" w:line="240" w:lineRule="auto"/>
              <w:contextualSpacing/>
              <w:rPr>
                <w:color w:val="000000"/>
                <w:sz w:val="20"/>
                <w:szCs w:val="20"/>
              </w:rPr>
            </w:pPr>
          </w:p>
        </w:tc>
        <w:tc>
          <w:tcPr>
            <w:tcW w:w="0" w:type="auto"/>
            <w:tcBorders>
              <w:top w:val="nil"/>
              <w:left w:val="single" w:sz="8" w:space="0" w:color="000000"/>
              <w:bottom w:val="single" w:sz="8" w:space="0" w:color="000000"/>
              <w:right w:val="single" w:sz="8" w:space="0" w:color="000000"/>
            </w:tcBorders>
            <w:shd w:val="clear" w:color="auto" w:fill="auto"/>
            <w:noWrap/>
            <w:vAlign w:val="center"/>
          </w:tcPr>
          <w:p w14:paraId="4CB5C512" w14:textId="77777777" w:rsidR="006528AA" w:rsidRPr="007E4CC8" w:rsidRDefault="006528AA" w:rsidP="00320E74">
            <w:pPr>
              <w:spacing w:after="0" w:line="240" w:lineRule="auto"/>
              <w:contextualSpacing/>
              <w:jc w:val="center"/>
              <w:textAlignment w:val="center"/>
              <w:rPr>
                <w:rFonts w:eastAsia="等线"/>
                <w:b/>
                <w:bCs/>
                <w:color w:val="000000"/>
                <w:sz w:val="20"/>
                <w:szCs w:val="20"/>
              </w:rPr>
            </w:pPr>
            <w:r w:rsidRPr="007E4CC8">
              <w:rPr>
                <w:rFonts w:eastAsia="等线"/>
                <w:b/>
                <w:bCs/>
                <w:color w:val="000000"/>
                <w:sz w:val="20"/>
                <w:szCs w:val="20"/>
                <w:lang w:bidi="ar"/>
              </w:rPr>
              <w:t>×</w:t>
            </w:r>
          </w:p>
        </w:tc>
        <w:tc>
          <w:tcPr>
            <w:tcW w:w="0" w:type="auto"/>
            <w:tcBorders>
              <w:top w:val="nil"/>
              <w:left w:val="nil"/>
              <w:bottom w:val="single" w:sz="8" w:space="0" w:color="000000"/>
              <w:right w:val="single" w:sz="8" w:space="0" w:color="000000"/>
            </w:tcBorders>
            <w:shd w:val="clear" w:color="auto" w:fill="auto"/>
            <w:noWrap/>
            <w:vAlign w:val="center"/>
          </w:tcPr>
          <w:p w14:paraId="74562E3C"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tcPr>
          <w:p w14:paraId="2938A6D0"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noWrap/>
            <w:vAlign w:val="center"/>
          </w:tcPr>
          <w:p w14:paraId="7D644C81"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noWrap/>
            <w:vAlign w:val="center"/>
          </w:tcPr>
          <w:p w14:paraId="0BD7F3FE"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noWrap/>
            <w:vAlign w:val="center"/>
          </w:tcPr>
          <w:p w14:paraId="76B805F3"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noWrap/>
            <w:vAlign w:val="center"/>
          </w:tcPr>
          <w:p w14:paraId="0CC941B4"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noWrap/>
            <w:vAlign w:val="center"/>
          </w:tcPr>
          <w:p w14:paraId="1FEA44C6"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noWrap/>
            <w:vAlign w:val="center"/>
          </w:tcPr>
          <w:p w14:paraId="795D241C"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noWrap/>
            <w:vAlign w:val="center"/>
          </w:tcPr>
          <w:p w14:paraId="053F519E"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noWrap/>
            <w:vAlign w:val="center"/>
          </w:tcPr>
          <w:p w14:paraId="692ACF38"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noWrap/>
            <w:vAlign w:val="center"/>
          </w:tcPr>
          <w:p w14:paraId="2A5C99B8"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noWrap/>
            <w:vAlign w:val="center"/>
          </w:tcPr>
          <w:p w14:paraId="3D8203C8"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noWrap/>
            <w:vAlign w:val="center"/>
          </w:tcPr>
          <w:p w14:paraId="3FD7E4A0" w14:textId="77777777" w:rsidR="006528AA" w:rsidRPr="007E4CC8" w:rsidRDefault="006528AA" w:rsidP="00320E74">
            <w:pPr>
              <w:spacing w:after="0" w:line="240" w:lineRule="auto"/>
              <w:contextualSpacing/>
              <w:jc w:val="center"/>
              <w:rPr>
                <w:rFonts w:eastAsia="等线"/>
                <w:b/>
                <w:bCs/>
                <w:color w:val="000000"/>
                <w:sz w:val="20"/>
                <w:szCs w:val="20"/>
              </w:rPr>
            </w:pPr>
          </w:p>
        </w:tc>
        <w:tc>
          <w:tcPr>
            <w:tcW w:w="0" w:type="auto"/>
            <w:tcBorders>
              <w:top w:val="nil"/>
              <w:left w:val="nil"/>
              <w:bottom w:val="single" w:sz="8" w:space="0" w:color="000000"/>
              <w:right w:val="single" w:sz="8" w:space="0" w:color="000000"/>
            </w:tcBorders>
            <w:shd w:val="clear" w:color="auto" w:fill="auto"/>
            <w:noWrap/>
            <w:vAlign w:val="center"/>
          </w:tcPr>
          <w:p w14:paraId="586AA737" w14:textId="77777777" w:rsidR="006528AA" w:rsidRPr="007E4CC8" w:rsidRDefault="006528AA" w:rsidP="00320E74">
            <w:pPr>
              <w:spacing w:after="0" w:line="240" w:lineRule="auto"/>
              <w:contextualSpacing/>
              <w:rPr>
                <w:color w:val="000000"/>
                <w:sz w:val="20"/>
                <w:szCs w:val="20"/>
              </w:rPr>
            </w:pPr>
          </w:p>
        </w:tc>
      </w:tr>
      <w:tr w:rsidR="00A22386" w:rsidRPr="007E4CC8" w14:paraId="39D1AC6B" w14:textId="77777777" w:rsidTr="00320E74">
        <w:trPr>
          <w:trHeight w:val="277"/>
          <w:jc w:val="center"/>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1CA5E6" w14:textId="77777777" w:rsidR="006528AA" w:rsidRPr="007E4CC8" w:rsidRDefault="006528AA" w:rsidP="00320E74">
            <w:pPr>
              <w:spacing w:after="0" w:line="240" w:lineRule="auto"/>
              <w:contextualSpacing/>
              <w:textAlignment w:val="center"/>
              <w:rPr>
                <w:color w:val="000000"/>
                <w:sz w:val="20"/>
                <w:szCs w:val="20"/>
              </w:rPr>
            </w:pPr>
            <w:r w:rsidRPr="007E4CC8">
              <w:rPr>
                <w:color w:val="000000"/>
                <w:sz w:val="20"/>
                <w:szCs w:val="20"/>
                <w:lang w:bidi="ar"/>
              </w:rPr>
              <w:lastRenderedPageBreak/>
              <w:t>Bridging Therapy</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155966" w14:textId="77777777" w:rsidR="006528AA" w:rsidRPr="007E4CC8" w:rsidRDefault="006528AA" w:rsidP="00320E74">
            <w:pPr>
              <w:spacing w:after="0" w:line="240" w:lineRule="auto"/>
              <w:contextualSpacing/>
              <w:jc w:val="center"/>
              <w:rPr>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1366AA" w14:textId="77777777" w:rsidR="006528AA" w:rsidRPr="007E4CC8" w:rsidRDefault="006528AA" w:rsidP="00320E74">
            <w:pPr>
              <w:spacing w:after="0" w:line="240" w:lineRule="auto"/>
              <w:contextualSpacing/>
              <w:jc w:val="center"/>
              <w:rPr>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563B9C" w14:textId="77777777" w:rsidR="006528AA" w:rsidRPr="007E4CC8" w:rsidRDefault="006528AA" w:rsidP="00320E74">
            <w:pPr>
              <w:spacing w:after="0" w:line="240" w:lineRule="auto"/>
              <w:contextualSpacing/>
              <w:jc w:val="center"/>
              <w:rPr>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399DD3" w14:textId="77777777" w:rsidR="006528AA" w:rsidRPr="007E4CC8" w:rsidRDefault="006528AA" w:rsidP="00320E74">
            <w:pPr>
              <w:spacing w:after="0" w:line="240" w:lineRule="auto"/>
              <w:contextualSpacing/>
              <w:jc w:val="center"/>
              <w:rPr>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686C70" w14:textId="77777777" w:rsidR="006528AA" w:rsidRPr="007E4CC8" w:rsidRDefault="006528AA" w:rsidP="00320E74">
            <w:pPr>
              <w:spacing w:after="0" w:line="240" w:lineRule="auto"/>
              <w:contextualSpacing/>
              <w:jc w:val="center"/>
              <w:rPr>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14D4C9" w14:textId="77777777" w:rsidR="006528AA" w:rsidRPr="007E4CC8" w:rsidRDefault="006528AA" w:rsidP="00320E74">
            <w:pPr>
              <w:spacing w:after="0" w:line="240" w:lineRule="auto"/>
              <w:contextualSpacing/>
              <w:jc w:val="center"/>
              <w:rPr>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340386" w14:textId="77777777" w:rsidR="006528AA" w:rsidRPr="007E4CC8" w:rsidRDefault="006528AA" w:rsidP="00320E74">
            <w:pPr>
              <w:spacing w:after="0" w:line="240" w:lineRule="auto"/>
              <w:contextualSpacing/>
              <w:jc w:val="center"/>
              <w:rPr>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782A16" w14:textId="77777777" w:rsidR="006528AA" w:rsidRPr="007E4CC8" w:rsidRDefault="006528AA" w:rsidP="00320E74">
            <w:pPr>
              <w:spacing w:after="0" w:line="240" w:lineRule="auto"/>
              <w:contextualSpacing/>
              <w:jc w:val="center"/>
              <w:rPr>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F351F4" w14:textId="77777777" w:rsidR="006528AA" w:rsidRPr="007E4CC8" w:rsidRDefault="006528AA" w:rsidP="00320E74">
            <w:pPr>
              <w:spacing w:after="0" w:line="240" w:lineRule="auto"/>
              <w:contextualSpacing/>
              <w:jc w:val="center"/>
              <w:rPr>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9BCDD1" w14:textId="77777777" w:rsidR="006528AA" w:rsidRPr="007E4CC8" w:rsidRDefault="006528AA" w:rsidP="00320E74">
            <w:pPr>
              <w:spacing w:after="0" w:line="240" w:lineRule="auto"/>
              <w:contextualSpacing/>
              <w:jc w:val="center"/>
              <w:rPr>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338C0A" w14:textId="77777777" w:rsidR="006528AA" w:rsidRPr="007E4CC8" w:rsidRDefault="006528AA" w:rsidP="00320E74">
            <w:pPr>
              <w:spacing w:after="0" w:line="240" w:lineRule="auto"/>
              <w:contextualSpacing/>
              <w:jc w:val="center"/>
              <w:rPr>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902F8D" w14:textId="77777777" w:rsidR="006528AA" w:rsidRPr="007E4CC8" w:rsidRDefault="006528AA" w:rsidP="00320E74">
            <w:pPr>
              <w:spacing w:after="0" w:line="240" w:lineRule="auto"/>
              <w:contextualSpacing/>
              <w:jc w:val="center"/>
              <w:rPr>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7D1ED9" w14:textId="77777777" w:rsidR="006528AA" w:rsidRPr="007E4CC8" w:rsidRDefault="006528AA" w:rsidP="00320E74">
            <w:pPr>
              <w:spacing w:after="0" w:line="240" w:lineRule="auto"/>
              <w:contextualSpacing/>
              <w:jc w:val="center"/>
              <w:rPr>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153084" w14:textId="77777777" w:rsidR="006528AA" w:rsidRPr="007E4CC8" w:rsidRDefault="006528AA" w:rsidP="00320E74">
            <w:pPr>
              <w:spacing w:after="0" w:line="240" w:lineRule="auto"/>
              <w:contextualSpacing/>
              <w:jc w:val="center"/>
              <w:rPr>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F30EF2" w14:textId="77777777" w:rsidR="006528AA" w:rsidRPr="007E4CC8" w:rsidRDefault="006528AA" w:rsidP="00320E74">
            <w:pPr>
              <w:spacing w:after="0" w:line="240" w:lineRule="auto"/>
              <w:contextualSpacing/>
              <w:jc w:val="center"/>
              <w:rPr>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912F56" w14:textId="77777777" w:rsidR="006528AA" w:rsidRPr="007E4CC8" w:rsidRDefault="006528AA" w:rsidP="00320E74">
            <w:pPr>
              <w:spacing w:after="0" w:line="240" w:lineRule="auto"/>
              <w:contextualSpacing/>
              <w:jc w:val="center"/>
              <w:rPr>
                <w:color w:val="000000"/>
                <w:sz w:val="20"/>
                <w:szCs w:val="20"/>
              </w:rPr>
            </w:pPr>
          </w:p>
        </w:tc>
      </w:tr>
    </w:tbl>
    <w:p w14:paraId="3FF57305" w14:textId="470495F8" w:rsidR="00721A6A" w:rsidRPr="004330CB" w:rsidRDefault="008C20A2" w:rsidP="004330CB">
      <w:pPr>
        <w:pStyle w:val="BodyText-12pt"/>
        <w:spacing w:after="0" w:line="240" w:lineRule="auto"/>
        <w:rPr>
          <w:sz w:val="21"/>
          <w:szCs w:val="21"/>
        </w:rPr>
      </w:pPr>
      <w:r w:rsidRPr="00323589">
        <w:rPr>
          <w:sz w:val="21"/>
          <w:szCs w:val="21"/>
        </w:rPr>
        <w:t>Abbreviations:</w:t>
      </w:r>
      <w:r w:rsidR="008D19A2" w:rsidRPr="00323589">
        <w:rPr>
          <w:sz w:val="21"/>
          <w:szCs w:val="21"/>
        </w:rPr>
        <w:t xml:space="preserve"> </w:t>
      </w:r>
      <w:r w:rsidR="009E06AA" w:rsidRPr="00323589">
        <w:rPr>
          <w:sz w:val="21"/>
          <w:szCs w:val="21"/>
        </w:rPr>
        <w:t xml:space="preserve">AE, adverse event; BSA, body surface area; </w:t>
      </w:r>
      <w:r w:rsidR="008D19A2" w:rsidRPr="00323589">
        <w:rPr>
          <w:sz w:val="21"/>
          <w:szCs w:val="21"/>
        </w:rPr>
        <w:t xml:space="preserve">d, day; </w:t>
      </w:r>
      <w:r w:rsidR="00E165EE" w:rsidRPr="00323589">
        <w:rPr>
          <w:sz w:val="21"/>
          <w:szCs w:val="21"/>
        </w:rPr>
        <w:t>CR</w:t>
      </w:r>
      <w:r w:rsidR="006727E0">
        <w:rPr>
          <w:sz w:val="21"/>
          <w:szCs w:val="21"/>
        </w:rPr>
        <w:t xml:space="preserve">, </w:t>
      </w:r>
      <w:r w:rsidR="006727E0" w:rsidRPr="006727E0">
        <w:rPr>
          <w:sz w:val="21"/>
          <w:szCs w:val="21"/>
        </w:rPr>
        <w:t>complete response</w:t>
      </w:r>
      <w:r w:rsidR="00E165EE" w:rsidRPr="00323589">
        <w:rPr>
          <w:sz w:val="21"/>
          <w:szCs w:val="21"/>
        </w:rPr>
        <w:t xml:space="preserve">; </w:t>
      </w:r>
      <w:r w:rsidR="008D19A2" w:rsidRPr="00323589">
        <w:rPr>
          <w:sz w:val="21"/>
          <w:szCs w:val="21"/>
        </w:rPr>
        <w:t xml:space="preserve">ECOG, </w:t>
      </w:r>
      <w:r w:rsidR="006727E0" w:rsidRPr="006727E0">
        <w:rPr>
          <w:sz w:val="21"/>
          <w:szCs w:val="21"/>
        </w:rPr>
        <w:t>Eastern Cooperative Oncology Group</w:t>
      </w:r>
      <w:r w:rsidR="008D19A2" w:rsidRPr="00323589">
        <w:rPr>
          <w:sz w:val="21"/>
          <w:szCs w:val="21"/>
        </w:rPr>
        <w:t>;</w:t>
      </w:r>
      <w:r w:rsidR="00034A80" w:rsidRPr="00323589">
        <w:rPr>
          <w:sz w:val="21"/>
          <w:szCs w:val="21"/>
        </w:rPr>
        <w:t xml:space="preserve"> </w:t>
      </w:r>
      <w:r w:rsidR="00E165EE" w:rsidRPr="00323589">
        <w:rPr>
          <w:sz w:val="21"/>
          <w:szCs w:val="21"/>
        </w:rPr>
        <w:t>HBV</w:t>
      </w:r>
      <w:r w:rsidR="006727E0">
        <w:rPr>
          <w:sz w:val="21"/>
          <w:szCs w:val="21"/>
        </w:rPr>
        <w:t xml:space="preserve">, </w:t>
      </w:r>
      <w:r w:rsidR="006727E0" w:rsidRPr="006727E0">
        <w:rPr>
          <w:sz w:val="21"/>
          <w:szCs w:val="21"/>
        </w:rPr>
        <w:t>hepatitis B virus</w:t>
      </w:r>
      <w:r w:rsidR="00E165EE" w:rsidRPr="00323589">
        <w:rPr>
          <w:sz w:val="21"/>
          <w:szCs w:val="21"/>
        </w:rPr>
        <w:t xml:space="preserve">; </w:t>
      </w:r>
      <w:proofErr w:type="spellStart"/>
      <w:r w:rsidR="00E165EE" w:rsidRPr="00323589">
        <w:rPr>
          <w:sz w:val="21"/>
          <w:szCs w:val="21"/>
        </w:rPr>
        <w:t>HBcAb</w:t>
      </w:r>
      <w:proofErr w:type="spellEnd"/>
      <w:r w:rsidR="00D623ED">
        <w:rPr>
          <w:sz w:val="21"/>
          <w:szCs w:val="21"/>
        </w:rPr>
        <w:t>,</w:t>
      </w:r>
      <w:r w:rsidR="00E165EE" w:rsidRPr="00323589">
        <w:rPr>
          <w:sz w:val="21"/>
          <w:szCs w:val="21"/>
        </w:rPr>
        <w:t xml:space="preserve"> </w:t>
      </w:r>
      <w:r w:rsidR="00D623ED" w:rsidRPr="00D623ED">
        <w:rPr>
          <w:sz w:val="21"/>
          <w:szCs w:val="21"/>
        </w:rPr>
        <w:t>hepatitis B core antibody</w:t>
      </w:r>
      <w:r w:rsidR="00E165EE" w:rsidRPr="00323589">
        <w:rPr>
          <w:sz w:val="21"/>
          <w:szCs w:val="21"/>
        </w:rPr>
        <w:t xml:space="preserve">; </w:t>
      </w:r>
      <w:proofErr w:type="spellStart"/>
      <w:r w:rsidR="00E165EE" w:rsidRPr="00323589">
        <w:rPr>
          <w:sz w:val="21"/>
          <w:szCs w:val="21"/>
        </w:rPr>
        <w:t>HBeAb</w:t>
      </w:r>
      <w:proofErr w:type="spellEnd"/>
      <w:r w:rsidR="00D623ED">
        <w:rPr>
          <w:sz w:val="21"/>
          <w:szCs w:val="21"/>
        </w:rPr>
        <w:t xml:space="preserve">, </w:t>
      </w:r>
      <w:r w:rsidR="00D623ED" w:rsidRPr="00D623ED">
        <w:rPr>
          <w:sz w:val="21"/>
          <w:szCs w:val="21"/>
        </w:rPr>
        <w:t>hepatitis B e antibody</w:t>
      </w:r>
      <w:r w:rsidR="00E165EE" w:rsidRPr="00323589">
        <w:rPr>
          <w:sz w:val="21"/>
          <w:szCs w:val="21"/>
        </w:rPr>
        <w:t xml:space="preserve">; </w:t>
      </w:r>
      <w:proofErr w:type="spellStart"/>
      <w:r w:rsidR="00E165EE" w:rsidRPr="00323589">
        <w:rPr>
          <w:sz w:val="21"/>
          <w:szCs w:val="21"/>
        </w:rPr>
        <w:t>HBeAg</w:t>
      </w:r>
      <w:proofErr w:type="spellEnd"/>
      <w:r w:rsidR="00D623ED">
        <w:rPr>
          <w:sz w:val="21"/>
          <w:szCs w:val="21"/>
        </w:rPr>
        <w:t xml:space="preserve">, </w:t>
      </w:r>
      <w:r w:rsidR="00D623ED" w:rsidRPr="00D623ED">
        <w:rPr>
          <w:sz w:val="21"/>
          <w:szCs w:val="21"/>
        </w:rPr>
        <w:t>hepatitis Be antigen</w:t>
      </w:r>
      <w:r w:rsidR="00E165EE" w:rsidRPr="00323589">
        <w:rPr>
          <w:sz w:val="21"/>
          <w:szCs w:val="21"/>
        </w:rPr>
        <w:t xml:space="preserve">; </w:t>
      </w:r>
      <w:proofErr w:type="spellStart"/>
      <w:r w:rsidR="00E165EE" w:rsidRPr="00323589">
        <w:rPr>
          <w:sz w:val="21"/>
          <w:szCs w:val="21"/>
        </w:rPr>
        <w:t>HBsAb</w:t>
      </w:r>
      <w:proofErr w:type="spellEnd"/>
      <w:r w:rsidR="00D623ED">
        <w:rPr>
          <w:sz w:val="21"/>
          <w:szCs w:val="21"/>
        </w:rPr>
        <w:t xml:space="preserve">, </w:t>
      </w:r>
      <w:r w:rsidR="00D623ED" w:rsidRPr="00D623ED">
        <w:rPr>
          <w:sz w:val="21"/>
          <w:szCs w:val="21"/>
        </w:rPr>
        <w:t>hepatitis B surface antibody</w:t>
      </w:r>
      <w:r w:rsidR="00E165EE" w:rsidRPr="00323589">
        <w:rPr>
          <w:sz w:val="21"/>
          <w:szCs w:val="21"/>
        </w:rPr>
        <w:t>; HBsAg</w:t>
      </w:r>
      <w:r w:rsidR="00D623ED">
        <w:rPr>
          <w:sz w:val="21"/>
          <w:szCs w:val="21"/>
        </w:rPr>
        <w:t xml:space="preserve">, </w:t>
      </w:r>
      <w:r w:rsidR="00D623ED" w:rsidRPr="00D623ED">
        <w:rPr>
          <w:sz w:val="21"/>
          <w:szCs w:val="21"/>
        </w:rPr>
        <w:t>hepatitis B surface antigen</w:t>
      </w:r>
      <w:r w:rsidR="00E165EE" w:rsidRPr="00323589">
        <w:rPr>
          <w:sz w:val="21"/>
          <w:szCs w:val="21"/>
        </w:rPr>
        <w:t>; HCV</w:t>
      </w:r>
      <w:r w:rsidR="006727E0">
        <w:rPr>
          <w:sz w:val="21"/>
          <w:szCs w:val="21"/>
        </w:rPr>
        <w:t xml:space="preserve">, </w:t>
      </w:r>
      <w:r w:rsidR="006727E0" w:rsidRPr="006727E0">
        <w:rPr>
          <w:sz w:val="21"/>
          <w:szCs w:val="21"/>
        </w:rPr>
        <w:t>hepatitis C virus</w:t>
      </w:r>
      <w:r w:rsidR="00E165EE" w:rsidRPr="00323589">
        <w:rPr>
          <w:sz w:val="21"/>
          <w:szCs w:val="21"/>
        </w:rPr>
        <w:t xml:space="preserve">; </w:t>
      </w:r>
      <w:r w:rsidR="009E06AA" w:rsidRPr="00323589">
        <w:rPr>
          <w:sz w:val="21"/>
          <w:szCs w:val="21"/>
        </w:rPr>
        <w:t xml:space="preserve">ICF, informed consent form; </w:t>
      </w:r>
      <w:r w:rsidR="00034A80" w:rsidRPr="00323589">
        <w:rPr>
          <w:sz w:val="21"/>
          <w:szCs w:val="21"/>
        </w:rPr>
        <w:t xml:space="preserve">IMWG, </w:t>
      </w:r>
      <w:r w:rsidR="006727E0" w:rsidRPr="006727E0">
        <w:rPr>
          <w:sz w:val="21"/>
          <w:szCs w:val="21"/>
        </w:rPr>
        <w:t>International Myeloma Working Group</w:t>
      </w:r>
      <w:r w:rsidR="00034A80" w:rsidRPr="00323589">
        <w:rPr>
          <w:sz w:val="21"/>
          <w:szCs w:val="21"/>
        </w:rPr>
        <w:t xml:space="preserve">; MRD, </w:t>
      </w:r>
      <w:r w:rsidR="007F27B2" w:rsidRPr="00323589">
        <w:rPr>
          <w:sz w:val="21"/>
          <w:szCs w:val="21"/>
        </w:rPr>
        <w:t>minimal residual disease</w:t>
      </w:r>
      <w:r w:rsidR="00034A80" w:rsidRPr="00323589">
        <w:rPr>
          <w:sz w:val="21"/>
          <w:szCs w:val="21"/>
        </w:rPr>
        <w:t xml:space="preserve">; PBMC, peripheral blood mononuclear cell; </w:t>
      </w:r>
      <w:r w:rsidR="00E165EE" w:rsidRPr="00323589">
        <w:rPr>
          <w:sz w:val="21"/>
          <w:szCs w:val="21"/>
        </w:rPr>
        <w:t>PET-CT</w:t>
      </w:r>
      <w:r w:rsidR="006727E0">
        <w:rPr>
          <w:sz w:val="21"/>
          <w:szCs w:val="21"/>
        </w:rPr>
        <w:t xml:space="preserve">, </w:t>
      </w:r>
      <w:r w:rsidR="006727E0" w:rsidRPr="006727E0">
        <w:rPr>
          <w:sz w:val="21"/>
          <w:szCs w:val="21"/>
        </w:rPr>
        <w:t>positron emission tomography</w:t>
      </w:r>
      <w:r w:rsidR="006727E0">
        <w:rPr>
          <w:sz w:val="21"/>
          <w:szCs w:val="21"/>
        </w:rPr>
        <w:t>-</w:t>
      </w:r>
      <w:r w:rsidR="006727E0" w:rsidRPr="006727E0">
        <w:rPr>
          <w:sz w:val="21"/>
          <w:szCs w:val="21"/>
        </w:rPr>
        <w:t>computed tomography</w:t>
      </w:r>
      <w:r w:rsidR="00E165EE" w:rsidRPr="00323589">
        <w:rPr>
          <w:sz w:val="21"/>
          <w:szCs w:val="21"/>
        </w:rPr>
        <w:t>; PFS</w:t>
      </w:r>
      <w:r w:rsidR="006727E0">
        <w:rPr>
          <w:sz w:val="21"/>
          <w:szCs w:val="21"/>
        </w:rPr>
        <w:t xml:space="preserve">, </w:t>
      </w:r>
      <w:r w:rsidR="006727E0" w:rsidRPr="006727E0">
        <w:rPr>
          <w:sz w:val="21"/>
          <w:szCs w:val="21"/>
        </w:rPr>
        <w:t>progression-free survival</w:t>
      </w:r>
      <w:r w:rsidR="00E165EE" w:rsidRPr="00323589">
        <w:rPr>
          <w:sz w:val="21"/>
          <w:szCs w:val="21"/>
        </w:rPr>
        <w:t xml:space="preserve">; PK, </w:t>
      </w:r>
      <w:r w:rsidR="00D623ED" w:rsidRPr="00D623ED">
        <w:rPr>
          <w:sz w:val="21"/>
          <w:szCs w:val="21"/>
        </w:rPr>
        <w:t>pharmacokinetic</w:t>
      </w:r>
      <w:r w:rsidR="00E165EE" w:rsidRPr="00323589">
        <w:rPr>
          <w:sz w:val="21"/>
          <w:szCs w:val="21"/>
        </w:rPr>
        <w:t xml:space="preserve">; </w:t>
      </w:r>
      <w:r w:rsidR="009E06AA" w:rsidRPr="00323589">
        <w:rPr>
          <w:sz w:val="21"/>
          <w:szCs w:val="21"/>
        </w:rPr>
        <w:t xml:space="preserve">SAE, serious adverse event; </w:t>
      </w:r>
      <w:proofErr w:type="spellStart"/>
      <w:r w:rsidR="00E165EE" w:rsidRPr="00323589">
        <w:rPr>
          <w:sz w:val="21"/>
          <w:szCs w:val="21"/>
        </w:rPr>
        <w:t>sCR</w:t>
      </w:r>
      <w:proofErr w:type="spellEnd"/>
      <w:r w:rsidR="00D623ED">
        <w:rPr>
          <w:sz w:val="21"/>
          <w:szCs w:val="21"/>
        </w:rPr>
        <w:t xml:space="preserve">, </w:t>
      </w:r>
      <w:r w:rsidR="00D623ED" w:rsidRPr="00D623ED">
        <w:rPr>
          <w:sz w:val="21"/>
          <w:szCs w:val="21"/>
        </w:rPr>
        <w:t>stringent complete response</w:t>
      </w:r>
      <w:r w:rsidR="00E165EE" w:rsidRPr="00323589">
        <w:rPr>
          <w:sz w:val="21"/>
          <w:szCs w:val="21"/>
        </w:rPr>
        <w:t xml:space="preserve">; </w:t>
      </w:r>
      <w:r w:rsidR="00034A80" w:rsidRPr="00323589">
        <w:rPr>
          <w:sz w:val="21"/>
          <w:szCs w:val="21"/>
        </w:rPr>
        <w:t xml:space="preserve">SOP, </w:t>
      </w:r>
      <w:bookmarkStart w:id="106" w:name="_Hlk111912800"/>
      <w:r w:rsidR="00034A80" w:rsidRPr="00323589">
        <w:rPr>
          <w:sz w:val="21"/>
          <w:szCs w:val="21"/>
        </w:rPr>
        <w:t>standard operating procedure</w:t>
      </w:r>
      <w:bookmarkEnd w:id="106"/>
      <w:r w:rsidR="00034A80" w:rsidRPr="00323589">
        <w:rPr>
          <w:sz w:val="21"/>
          <w:szCs w:val="21"/>
        </w:rPr>
        <w:t xml:space="preserve">; VCN, </w:t>
      </w:r>
      <w:r w:rsidR="003F2B3E" w:rsidRPr="003F2B3E">
        <w:rPr>
          <w:sz w:val="21"/>
          <w:szCs w:val="21"/>
        </w:rPr>
        <w:t>vector copy number</w:t>
      </w:r>
      <w:r w:rsidR="003F2B3E">
        <w:rPr>
          <w:sz w:val="21"/>
          <w:szCs w:val="21"/>
        </w:rPr>
        <w:t>;</w:t>
      </w:r>
      <w:r w:rsidR="003F2B3E" w:rsidRPr="003F2B3E">
        <w:rPr>
          <w:sz w:val="21"/>
          <w:szCs w:val="21"/>
        </w:rPr>
        <w:t xml:space="preserve"> </w:t>
      </w:r>
      <w:r w:rsidR="008D19A2" w:rsidRPr="00323589">
        <w:rPr>
          <w:sz w:val="21"/>
          <w:szCs w:val="21"/>
        </w:rPr>
        <w:t>w, week</w:t>
      </w:r>
      <w:r w:rsidR="00323589">
        <w:rPr>
          <w:sz w:val="21"/>
          <w:szCs w:val="21"/>
        </w:rPr>
        <w:t>.</w:t>
      </w:r>
    </w:p>
    <w:p w14:paraId="11F4DC22" w14:textId="58733D25" w:rsidR="002640CF" w:rsidRPr="004330CB" w:rsidRDefault="002640CF" w:rsidP="004330CB">
      <w:pPr>
        <w:pStyle w:val="aff"/>
        <w:widowControl w:val="0"/>
        <w:numPr>
          <w:ilvl w:val="0"/>
          <w:numId w:val="72"/>
        </w:numPr>
        <w:spacing w:after="0" w:line="240" w:lineRule="auto"/>
        <w:contextualSpacing w:val="0"/>
        <w:jc w:val="both"/>
        <w:rPr>
          <w:rFonts w:ascii="Times New Roman" w:hAnsi="Times New Roman" w:cs="Times New Roman"/>
          <w:bCs/>
          <w:sz w:val="21"/>
          <w:szCs w:val="21"/>
        </w:rPr>
      </w:pPr>
      <w:bookmarkStart w:id="107" w:name="_Hlk111815888"/>
      <w:r w:rsidRPr="004330CB">
        <w:rPr>
          <w:rFonts w:ascii="Times New Roman" w:hAnsi="Times New Roman" w:cs="Times New Roman"/>
          <w:bCs/>
          <w:sz w:val="21"/>
          <w:szCs w:val="21"/>
        </w:rPr>
        <w:t>Patients should complete the visits according to the schedule of assessments during the screening period. Patients who meet the enrollment criteria will be allocated a patient number after the investigators' assessment.</w:t>
      </w:r>
      <w:bookmarkEnd w:id="107"/>
      <w:r w:rsidRPr="004330CB">
        <w:rPr>
          <w:rFonts w:ascii="Times New Roman" w:hAnsi="Times New Roman" w:cs="Times New Roman"/>
          <w:bCs/>
          <w:sz w:val="21"/>
          <w:szCs w:val="21"/>
        </w:rPr>
        <w:t xml:space="preserve"> It will not be regarded as a protocol violation if the time from the patient's signing of the informed consent to the infusion exceeds </w:t>
      </w:r>
      <w:r w:rsidR="00EA599D">
        <w:rPr>
          <w:rFonts w:ascii="Times New Roman" w:hAnsi="Times New Roman" w:cs="Times New Roman"/>
          <w:bCs/>
          <w:sz w:val="21"/>
          <w:szCs w:val="21"/>
        </w:rPr>
        <w:t>eight</w:t>
      </w:r>
      <w:r w:rsidRPr="004330CB">
        <w:rPr>
          <w:rFonts w:ascii="Times New Roman" w:hAnsi="Times New Roman" w:cs="Times New Roman"/>
          <w:bCs/>
          <w:sz w:val="21"/>
          <w:szCs w:val="21"/>
        </w:rPr>
        <w:t xml:space="preserve"> weeks as specified in the protocol because of delays in the </w:t>
      </w:r>
      <w:r w:rsidRPr="004330CB">
        <w:rPr>
          <w:rFonts w:ascii="Times New Roman" w:hAnsi="Times New Roman" w:cs="Times New Roman"/>
          <w:sz w:val="21"/>
          <w:szCs w:val="21"/>
          <w:lang w:val="en-GB"/>
        </w:rPr>
        <w:t>lymphodepletion</w:t>
      </w:r>
      <w:r w:rsidRPr="004330CB">
        <w:rPr>
          <w:rFonts w:ascii="Times New Roman" w:hAnsi="Times New Roman" w:cs="Times New Roman"/>
          <w:bCs/>
          <w:sz w:val="21"/>
          <w:szCs w:val="21"/>
        </w:rPr>
        <w:t xml:space="preserve"> conditioning and/or cell infusion during the screening period and the cell preparation period (-8</w:t>
      </w:r>
      <w:r w:rsidR="009E06AA">
        <w:rPr>
          <w:rFonts w:ascii="Times New Roman" w:hAnsi="Times New Roman" w:cs="Times New Roman"/>
          <w:bCs/>
          <w:sz w:val="21"/>
          <w:szCs w:val="21"/>
        </w:rPr>
        <w:t xml:space="preserve"> </w:t>
      </w:r>
      <w:r w:rsidRPr="004330CB">
        <w:rPr>
          <w:rFonts w:ascii="Times New Roman" w:hAnsi="Times New Roman" w:cs="Times New Roman"/>
          <w:bCs/>
          <w:sz w:val="21"/>
          <w:szCs w:val="21"/>
        </w:rPr>
        <w:t>w to -8</w:t>
      </w:r>
      <w:r w:rsidR="009E06AA">
        <w:rPr>
          <w:rFonts w:ascii="Times New Roman" w:hAnsi="Times New Roman" w:cs="Times New Roman"/>
          <w:bCs/>
          <w:sz w:val="21"/>
          <w:szCs w:val="21"/>
        </w:rPr>
        <w:t xml:space="preserve"> </w:t>
      </w:r>
      <w:r w:rsidRPr="004330CB">
        <w:rPr>
          <w:rFonts w:ascii="Times New Roman" w:hAnsi="Times New Roman" w:cs="Times New Roman"/>
          <w:bCs/>
          <w:sz w:val="21"/>
          <w:szCs w:val="21"/>
        </w:rPr>
        <w:t>d). It will not be regarded as a protocol violation if the time from PBMC collection to cell infusion exceeds 18 days because of reasons such as the making and preparation of CAR-T cells.</w:t>
      </w:r>
    </w:p>
    <w:p w14:paraId="7261E8F6" w14:textId="2FE8500F" w:rsidR="002640CF" w:rsidRPr="004322E6" w:rsidRDefault="002640CF" w:rsidP="004330CB">
      <w:pPr>
        <w:pStyle w:val="aff"/>
        <w:widowControl w:val="0"/>
        <w:numPr>
          <w:ilvl w:val="0"/>
          <w:numId w:val="72"/>
        </w:numPr>
        <w:spacing w:after="0" w:line="240" w:lineRule="auto"/>
        <w:contextualSpacing w:val="0"/>
        <w:jc w:val="both"/>
        <w:rPr>
          <w:rFonts w:ascii="Times New Roman" w:hAnsi="Times New Roman" w:cs="Times New Roman"/>
          <w:sz w:val="21"/>
          <w:szCs w:val="21"/>
          <w:lang w:val="en-GB"/>
        </w:rPr>
      </w:pPr>
      <w:r w:rsidRPr="004330CB">
        <w:rPr>
          <w:rFonts w:ascii="Times New Roman" w:hAnsi="Times New Roman" w:cs="Times New Roman"/>
          <w:sz w:val="21"/>
          <w:szCs w:val="21"/>
          <w:lang w:val="en-GB"/>
        </w:rPr>
        <w:t xml:space="preserve">The PBMC collection visit should be evaluated within </w:t>
      </w:r>
      <w:r w:rsidR="00EA599D">
        <w:rPr>
          <w:rFonts w:ascii="Times New Roman" w:hAnsi="Times New Roman" w:cs="Times New Roman"/>
          <w:sz w:val="21"/>
          <w:szCs w:val="21"/>
          <w:lang w:val="en-GB"/>
        </w:rPr>
        <w:t>one</w:t>
      </w:r>
      <w:r w:rsidRPr="004330CB">
        <w:rPr>
          <w:rFonts w:ascii="Times New Roman" w:hAnsi="Times New Roman" w:cs="Times New Roman"/>
          <w:sz w:val="21"/>
          <w:szCs w:val="21"/>
          <w:lang w:val="en-GB"/>
        </w:rPr>
        <w:t xml:space="preserve"> day of cell collection, with </w:t>
      </w:r>
      <w:r w:rsidR="00A324D3">
        <w:rPr>
          <w:rFonts w:ascii="Times New Roman" w:hAnsi="Times New Roman" w:cs="Times New Roman"/>
          <w:sz w:val="21"/>
          <w:szCs w:val="21"/>
          <w:lang w:val="en-GB"/>
        </w:rPr>
        <w:t>blood biochemical indexes</w:t>
      </w:r>
      <w:r w:rsidRPr="004330CB">
        <w:rPr>
          <w:rFonts w:ascii="Times New Roman" w:hAnsi="Times New Roman" w:cs="Times New Roman"/>
          <w:sz w:val="21"/>
          <w:szCs w:val="21"/>
          <w:lang w:val="en-GB"/>
        </w:rPr>
        <w:t xml:space="preserve">, coagulation, and urinalysis tests performed within </w:t>
      </w:r>
      <w:r w:rsidR="00EA599D">
        <w:rPr>
          <w:rFonts w:ascii="Times New Roman" w:hAnsi="Times New Roman" w:cs="Times New Roman"/>
          <w:sz w:val="21"/>
          <w:szCs w:val="21"/>
          <w:lang w:val="en-GB"/>
        </w:rPr>
        <w:t>seven</w:t>
      </w:r>
      <w:r w:rsidRPr="004330CB">
        <w:rPr>
          <w:rFonts w:ascii="Times New Roman" w:hAnsi="Times New Roman" w:cs="Times New Roman"/>
          <w:sz w:val="21"/>
          <w:szCs w:val="21"/>
          <w:lang w:val="en-GB"/>
        </w:rPr>
        <w:t xml:space="preserve"> days. </w:t>
      </w:r>
      <w:r w:rsidR="00553CA1">
        <w:rPr>
          <w:rFonts w:ascii="Times New Roman" w:hAnsi="Times New Roman" w:cs="Times New Roman"/>
          <w:sz w:val="21"/>
          <w:szCs w:val="21"/>
          <w:lang w:val="en-GB"/>
        </w:rPr>
        <w:t>Patient</w:t>
      </w:r>
      <w:r w:rsidRPr="004330CB">
        <w:rPr>
          <w:rFonts w:ascii="Times New Roman" w:hAnsi="Times New Roman" w:cs="Times New Roman"/>
          <w:sz w:val="21"/>
          <w:szCs w:val="21"/>
          <w:lang w:val="en-GB"/>
        </w:rPr>
        <w:t xml:space="preserve">s who meet the criteria of mononuclear cell collection will enter into the PMBC collection process according to the SOP for collecting </w:t>
      </w:r>
      <w:r w:rsidR="00034A80">
        <w:rPr>
          <w:rFonts w:ascii="Times New Roman" w:hAnsi="Times New Roman" w:cs="Times New Roman"/>
          <w:sz w:val="21"/>
          <w:szCs w:val="21"/>
          <w:lang w:val="en-GB"/>
        </w:rPr>
        <w:t>PBMCs</w:t>
      </w:r>
      <w:r w:rsidRPr="004330CB">
        <w:rPr>
          <w:rFonts w:ascii="Times New Roman" w:hAnsi="Times New Roman" w:cs="Times New Roman"/>
          <w:sz w:val="21"/>
          <w:szCs w:val="21"/>
          <w:lang w:val="en-GB"/>
        </w:rPr>
        <w:t>.</w:t>
      </w:r>
      <w:r w:rsidRPr="004330CB">
        <w:rPr>
          <w:sz w:val="21"/>
          <w:szCs w:val="21"/>
        </w:rPr>
        <w:t xml:space="preserve"> </w:t>
      </w:r>
    </w:p>
    <w:p w14:paraId="1040FA4B" w14:textId="5C666FEB" w:rsidR="002640CF" w:rsidRPr="004322E6" w:rsidRDefault="002640CF" w:rsidP="004322E6">
      <w:pPr>
        <w:pStyle w:val="aff"/>
        <w:widowControl w:val="0"/>
        <w:numPr>
          <w:ilvl w:val="0"/>
          <w:numId w:val="72"/>
        </w:numPr>
        <w:spacing w:after="0" w:line="240" w:lineRule="auto"/>
        <w:contextualSpacing w:val="0"/>
        <w:jc w:val="both"/>
        <w:rPr>
          <w:rFonts w:ascii="Times New Roman" w:hAnsi="Times New Roman" w:cs="Times New Roman"/>
          <w:sz w:val="21"/>
          <w:szCs w:val="21"/>
          <w:lang w:val="en-GB"/>
        </w:rPr>
      </w:pPr>
      <w:r w:rsidRPr="004330CB">
        <w:rPr>
          <w:rFonts w:ascii="Times New Roman" w:hAnsi="Times New Roman" w:cs="Times New Roman"/>
          <w:sz w:val="21"/>
          <w:szCs w:val="21"/>
          <w:lang w:val="en-GB"/>
        </w:rPr>
        <w:t xml:space="preserve">The baseline assessments will be completed within </w:t>
      </w:r>
      <w:r w:rsidR="00EA599D">
        <w:rPr>
          <w:rFonts w:ascii="Times New Roman" w:hAnsi="Times New Roman" w:cs="Times New Roman"/>
          <w:sz w:val="21"/>
          <w:szCs w:val="21"/>
          <w:lang w:val="en-GB"/>
        </w:rPr>
        <w:t>seven</w:t>
      </w:r>
      <w:r w:rsidRPr="004330CB">
        <w:rPr>
          <w:rFonts w:ascii="Times New Roman" w:hAnsi="Times New Roman" w:cs="Times New Roman"/>
          <w:sz w:val="21"/>
          <w:szCs w:val="21"/>
          <w:lang w:val="en-GB"/>
        </w:rPr>
        <w:t xml:space="preserve"> days before </w:t>
      </w:r>
      <w:bookmarkStart w:id="108" w:name="_Hlk111806678"/>
      <w:r w:rsidRPr="004330CB">
        <w:rPr>
          <w:rFonts w:ascii="Times New Roman" w:hAnsi="Times New Roman" w:cs="Times New Roman"/>
          <w:sz w:val="21"/>
          <w:szCs w:val="21"/>
          <w:lang w:val="en-GB"/>
        </w:rPr>
        <w:t>the lymphodepletion conditioning</w:t>
      </w:r>
      <w:bookmarkEnd w:id="108"/>
      <w:r w:rsidRPr="004330CB">
        <w:rPr>
          <w:rFonts w:ascii="Times New Roman" w:hAnsi="Times New Roman" w:cs="Times New Roman"/>
          <w:sz w:val="21"/>
          <w:szCs w:val="21"/>
          <w:lang w:val="en-GB"/>
        </w:rPr>
        <w:t xml:space="preserve"> (vital signs and physical examination will be conducted within </w:t>
      </w:r>
      <w:r w:rsidR="00EA599D">
        <w:rPr>
          <w:rFonts w:ascii="Times New Roman" w:hAnsi="Times New Roman" w:cs="Times New Roman"/>
          <w:sz w:val="21"/>
          <w:szCs w:val="21"/>
          <w:lang w:val="en-GB"/>
        </w:rPr>
        <w:t>one</w:t>
      </w:r>
      <w:r w:rsidRPr="004330CB">
        <w:rPr>
          <w:rFonts w:ascii="Times New Roman" w:hAnsi="Times New Roman" w:cs="Times New Roman"/>
          <w:sz w:val="21"/>
          <w:szCs w:val="21"/>
          <w:lang w:val="en-GB"/>
        </w:rPr>
        <w:t xml:space="preserve"> day before the lymphodepletion conditioning). Lymphodepletion conditioning can be conducted when the results of each test meet the criteria of lymphodepletion treatment. The results of the baseline assessments within 14 days before the lymphodepletion conditioning are acceptable if lymphodepletion conditioning delays. For bone marrow aspiration/biopsy-related tests at baseline, the results are acceptable within </w:t>
      </w:r>
      <w:r w:rsidR="00EA599D">
        <w:rPr>
          <w:rFonts w:ascii="Times New Roman" w:hAnsi="Times New Roman" w:cs="Times New Roman"/>
          <w:sz w:val="21"/>
          <w:szCs w:val="21"/>
          <w:lang w:val="en-GB"/>
        </w:rPr>
        <w:t>four</w:t>
      </w:r>
      <w:r w:rsidRPr="004330CB">
        <w:rPr>
          <w:rFonts w:ascii="Times New Roman" w:hAnsi="Times New Roman" w:cs="Times New Roman"/>
          <w:sz w:val="21"/>
          <w:szCs w:val="21"/>
          <w:lang w:val="en-GB"/>
        </w:rPr>
        <w:t xml:space="preserve"> weeks for non-secretory patients</w:t>
      </w:r>
      <w:r w:rsidR="00EA599D">
        <w:rPr>
          <w:rFonts w:ascii="Times New Roman" w:hAnsi="Times New Roman" w:cs="Times New Roman"/>
          <w:sz w:val="21"/>
          <w:szCs w:val="21"/>
          <w:lang w:val="en-GB"/>
        </w:rPr>
        <w:t>,</w:t>
      </w:r>
      <w:r w:rsidRPr="004330CB">
        <w:rPr>
          <w:rFonts w:ascii="Times New Roman" w:hAnsi="Times New Roman" w:cs="Times New Roman"/>
          <w:sz w:val="21"/>
          <w:szCs w:val="21"/>
          <w:lang w:val="en-GB"/>
        </w:rPr>
        <w:t xml:space="preserve"> and the investigator will assess whether a re-test is required for secretory patients. Before lymphodepletion conditioning, related-examination results should be confirmed again to ensure that </w:t>
      </w:r>
      <w:r w:rsidRPr="004322E6">
        <w:rPr>
          <w:rFonts w:ascii="Times New Roman" w:hAnsi="Times New Roman" w:cs="Times New Roman"/>
          <w:sz w:val="21"/>
          <w:szCs w:val="21"/>
          <w:lang w:val="en-GB"/>
        </w:rPr>
        <w:t>patients</w:t>
      </w:r>
      <w:r w:rsidRPr="004330CB">
        <w:rPr>
          <w:rFonts w:ascii="Times New Roman" w:hAnsi="Times New Roman" w:cs="Times New Roman"/>
          <w:sz w:val="21"/>
          <w:szCs w:val="21"/>
          <w:lang w:val="en-GB"/>
        </w:rPr>
        <w:t xml:space="preserve"> meet the criteria of lymphodepletion conditioning. </w:t>
      </w:r>
    </w:p>
    <w:p w14:paraId="27CEBD67" w14:textId="4CAC29A6" w:rsidR="002640CF" w:rsidRPr="004330CB" w:rsidRDefault="002640CF" w:rsidP="004330CB">
      <w:pPr>
        <w:pStyle w:val="aff"/>
        <w:widowControl w:val="0"/>
        <w:numPr>
          <w:ilvl w:val="0"/>
          <w:numId w:val="73"/>
        </w:numPr>
        <w:spacing w:after="0" w:line="240" w:lineRule="auto"/>
        <w:contextualSpacing w:val="0"/>
        <w:jc w:val="both"/>
        <w:rPr>
          <w:rFonts w:ascii="Times New Roman" w:hAnsi="Times New Roman" w:cs="Times New Roman"/>
          <w:sz w:val="21"/>
          <w:szCs w:val="21"/>
        </w:rPr>
      </w:pPr>
      <w:r w:rsidRPr="004322E6">
        <w:rPr>
          <w:rFonts w:ascii="Times New Roman" w:hAnsi="Times New Roman" w:cs="Times New Roman"/>
          <w:sz w:val="21"/>
          <w:szCs w:val="21"/>
        </w:rPr>
        <w:t xml:space="preserve">Patients must be re-assessed by the investigator before the cell infusion. If the patient does not meet the cell infusion criteria, a delay of no more than </w:t>
      </w:r>
      <w:r w:rsidR="00EA599D">
        <w:rPr>
          <w:rFonts w:ascii="Times New Roman" w:hAnsi="Times New Roman" w:cs="Times New Roman"/>
          <w:sz w:val="21"/>
          <w:szCs w:val="21"/>
        </w:rPr>
        <w:t>two</w:t>
      </w:r>
      <w:r w:rsidRPr="004322E6">
        <w:rPr>
          <w:rFonts w:ascii="Times New Roman" w:hAnsi="Times New Roman" w:cs="Times New Roman"/>
          <w:sz w:val="21"/>
          <w:szCs w:val="21"/>
        </w:rPr>
        <w:t xml:space="preserve"> weeks is acceptable. If the delay exceeds </w:t>
      </w:r>
      <w:r w:rsidR="00EA599D">
        <w:rPr>
          <w:rFonts w:ascii="Times New Roman" w:hAnsi="Times New Roman" w:cs="Times New Roman"/>
          <w:sz w:val="21"/>
          <w:szCs w:val="21"/>
        </w:rPr>
        <w:t>two</w:t>
      </w:r>
      <w:r w:rsidRPr="004322E6">
        <w:rPr>
          <w:rFonts w:ascii="Times New Roman" w:hAnsi="Times New Roman" w:cs="Times New Roman"/>
          <w:sz w:val="21"/>
          <w:szCs w:val="21"/>
        </w:rPr>
        <w:t xml:space="preserve"> weeks, the investigator will evaluate if a repeat of the baseline assessments and lymphodepletion conditioning is needed. The inpatient observation should be at least 14 days from the date of cell transfusion. The inpatient observation from 15 to 28 </w:t>
      </w:r>
      <w:r w:rsidRPr="004322E6">
        <w:rPr>
          <w:rFonts w:ascii="Times New Roman" w:hAnsi="Times New Roman" w:cs="Times New Roman"/>
          <w:sz w:val="21"/>
          <w:szCs w:val="21"/>
        </w:rPr>
        <w:lastRenderedPageBreak/>
        <w:t xml:space="preserve">days should be in compliance with the local practice. </w:t>
      </w:r>
      <w:r w:rsidRPr="004330CB">
        <w:rPr>
          <w:rFonts w:ascii="Times New Roman" w:hAnsi="Times New Roman" w:cs="Times New Roman"/>
          <w:sz w:val="21"/>
          <w:szCs w:val="21"/>
        </w:rPr>
        <w:t xml:space="preserve">Prolongation of </w:t>
      </w:r>
      <w:r w:rsidRPr="004322E6">
        <w:rPr>
          <w:rFonts w:ascii="Times New Roman" w:hAnsi="Times New Roman" w:cs="Times New Roman"/>
          <w:sz w:val="21"/>
          <w:szCs w:val="21"/>
        </w:rPr>
        <w:t xml:space="preserve">hospitalization due to </w:t>
      </w:r>
      <w:r w:rsidRPr="004330CB">
        <w:rPr>
          <w:rFonts w:ascii="Times New Roman" w:hAnsi="Times New Roman" w:cs="Times New Roman"/>
          <w:sz w:val="21"/>
          <w:szCs w:val="21"/>
        </w:rPr>
        <w:t xml:space="preserve">medical norms </w:t>
      </w:r>
      <w:r w:rsidRPr="004322E6">
        <w:rPr>
          <w:rFonts w:ascii="Times New Roman" w:hAnsi="Times New Roman" w:cs="Times New Roman"/>
          <w:sz w:val="21"/>
          <w:szCs w:val="21"/>
        </w:rPr>
        <w:t xml:space="preserve">will </w:t>
      </w:r>
      <w:r w:rsidR="00EA599D">
        <w:rPr>
          <w:rFonts w:ascii="Times New Roman" w:hAnsi="Times New Roman" w:cs="Times New Roman"/>
          <w:sz w:val="21"/>
          <w:szCs w:val="21"/>
        </w:rPr>
        <w:t>not be</w:t>
      </w:r>
      <w:r w:rsidRPr="004322E6">
        <w:rPr>
          <w:rFonts w:ascii="Times New Roman" w:hAnsi="Times New Roman" w:cs="Times New Roman"/>
          <w:sz w:val="21"/>
          <w:szCs w:val="21"/>
        </w:rPr>
        <w:t xml:space="preserve"> recorded as an SAE.</w:t>
      </w:r>
    </w:p>
    <w:p w14:paraId="652B4B12" w14:textId="53236179" w:rsidR="002640CF" w:rsidRPr="004330CB" w:rsidRDefault="002640CF" w:rsidP="004330CB">
      <w:pPr>
        <w:pStyle w:val="aff"/>
        <w:widowControl w:val="0"/>
        <w:numPr>
          <w:ilvl w:val="0"/>
          <w:numId w:val="73"/>
        </w:numPr>
        <w:spacing w:after="0" w:line="240" w:lineRule="auto"/>
        <w:contextualSpacing w:val="0"/>
        <w:jc w:val="both"/>
        <w:rPr>
          <w:rFonts w:ascii="Times New Roman" w:hAnsi="Times New Roman" w:cs="Times New Roman"/>
          <w:sz w:val="21"/>
          <w:szCs w:val="21"/>
        </w:rPr>
      </w:pPr>
      <w:r w:rsidRPr="004330CB">
        <w:rPr>
          <w:rFonts w:ascii="Times New Roman" w:hAnsi="Times New Roman" w:cs="Times New Roman"/>
          <w:sz w:val="21"/>
          <w:szCs w:val="21"/>
        </w:rPr>
        <w:t xml:space="preserve">The main follow-up period is </w:t>
      </w:r>
      <w:r w:rsidR="00EA599D">
        <w:rPr>
          <w:rFonts w:ascii="Times New Roman" w:hAnsi="Times New Roman" w:cs="Times New Roman"/>
          <w:sz w:val="21"/>
          <w:szCs w:val="21"/>
        </w:rPr>
        <w:t>one</w:t>
      </w:r>
      <w:r w:rsidRPr="004330CB">
        <w:rPr>
          <w:rFonts w:ascii="Times New Roman" w:hAnsi="Times New Roman" w:cs="Times New Roman"/>
          <w:sz w:val="21"/>
          <w:szCs w:val="21"/>
        </w:rPr>
        <w:t xml:space="preserve"> day after the cell infusion to 1 year after the cell infusion. After </w:t>
      </w:r>
      <w:r w:rsidR="00EA599D">
        <w:rPr>
          <w:rFonts w:ascii="Times New Roman" w:hAnsi="Times New Roman" w:cs="Times New Roman"/>
          <w:sz w:val="21"/>
          <w:szCs w:val="21"/>
        </w:rPr>
        <w:t>three</w:t>
      </w:r>
      <w:r w:rsidRPr="004330CB">
        <w:rPr>
          <w:rFonts w:ascii="Times New Roman" w:hAnsi="Times New Roman" w:cs="Times New Roman"/>
          <w:sz w:val="21"/>
          <w:szCs w:val="21"/>
        </w:rPr>
        <w:t xml:space="preserve"> months of cell infusion, follow-up visits will be conducted every </w:t>
      </w:r>
      <w:r w:rsidR="00EA599D">
        <w:rPr>
          <w:rFonts w:ascii="Times New Roman" w:hAnsi="Times New Roman" w:cs="Times New Roman"/>
          <w:sz w:val="21"/>
          <w:szCs w:val="21"/>
        </w:rPr>
        <w:t>three</w:t>
      </w:r>
      <w:r w:rsidRPr="004330CB">
        <w:rPr>
          <w:rFonts w:ascii="Times New Roman" w:hAnsi="Times New Roman" w:cs="Times New Roman"/>
          <w:sz w:val="21"/>
          <w:szCs w:val="21"/>
        </w:rPr>
        <w:t xml:space="preserve"> months until disease progression or until </w:t>
      </w:r>
      <w:r w:rsidR="00EA599D">
        <w:rPr>
          <w:rFonts w:ascii="Times New Roman" w:hAnsi="Times New Roman" w:cs="Times New Roman"/>
          <w:sz w:val="21"/>
          <w:szCs w:val="21"/>
        </w:rPr>
        <w:t xml:space="preserve">the </w:t>
      </w:r>
      <w:r w:rsidRPr="004330CB">
        <w:rPr>
          <w:rFonts w:ascii="Times New Roman" w:hAnsi="Times New Roman" w:cs="Times New Roman"/>
          <w:sz w:val="21"/>
          <w:szCs w:val="21"/>
        </w:rPr>
        <w:t>withdrawal of informed consent, death, loss of follow-up, or the termination of the study, whichever occurs first.</w:t>
      </w:r>
    </w:p>
    <w:p w14:paraId="48EBF0C4" w14:textId="5431E498" w:rsidR="002640CF" w:rsidRPr="004330CB" w:rsidRDefault="002640CF" w:rsidP="004330CB">
      <w:pPr>
        <w:pStyle w:val="aff"/>
        <w:widowControl w:val="0"/>
        <w:numPr>
          <w:ilvl w:val="0"/>
          <w:numId w:val="73"/>
        </w:numPr>
        <w:spacing w:after="0" w:line="240" w:lineRule="auto"/>
        <w:contextualSpacing w:val="0"/>
        <w:jc w:val="both"/>
        <w:rPr>
          <w:rFonts w:ascii="Times New Roman" w:hAnsi="Times New Roman" w:cs="Times New Roman"/>
          <w:sz w:val="21"/>
          <w:szCs w:val="21"/>
        </w:rPr>
      </w:pPr>
      <w:r w:rsidRPr="004330CB">
        <w:rPr>
          <w:rFonts w:ascii="Times New Roman" w:hAnsi="Times New Roman" w:cs="Times New Roman"/>
          <w:sz w:val="21"/>
          <w:szCs w:val="21"/>
        </w:rPr>
        <w:t>During the screening period, patients must meet all inclusion criteria and none of the exclusion criteria to be enrolled.</w:t>
      </w:r>
    </w:p>
    <w:p w14:paraId="1E807961" w14:textId="555D2166" w:rsidR="002640CF" w:rsidRPr="004330CB" w:rsidRDefault="002640CF" w:rsidP="004330CB">
      <w:pPr>
        <w:pStyle w:val="aff"/>
        <w:widowControl w:val="0"/>
        <w:numPr>
          <w:ilvl w:val="0"/>
          <w:numId w:val="73"/>
        </w:numPr>
        <w:spacing w:after="0" w:line="240" w:lineRule="auto"/>
        <w:contextualSpacing w:val="0"/>
        <w:jc w:val="both"/>
        <w:rPr>
          <w:rFonts w:ascii="Times New Roman" w:hAnsi="Times New Roman" w:cs="Times New Roman"/>
          <w:sz w:val="21"/>
          <w:szCs w:val="21"/>
        </w:rPr>
      </w:pPr>
      <w:r w:rsidRPr="004330CB">
        <w:rPr>
          <w:rFonts w:ascii="Times New Roman" w:hAnsi="Times New Roman" w:cs="Times New Roman"/>
          <w:sz w:val="21"/>
          <w:szCs w:val="21"/>
        </w:rPr>
        <w:t>Prior medical history is recorded if the patients’ pr</w:t>
      </w:r>
      <w:r w:rsidR="00EA599D">
        <w:rPr>
          <w:rFonts w:ascii="Times New Roman" w:hAnsi="Times New Roman" w:cs="Times New Roman"/>
          <w:sz w:val="21"/>
          <w:szCs w:val="21"/>
        </w:rPr>
        <w:t>evious</w:t>
      </w:r>
      <w:r w:rsidRPr="004330CB">
        <w:rPr>
          <w:rFonts w:ascii="Times New Roman" w:hAnsi="Times New Roman" w:cs="Times New Roman"/>
          <w:sz w:val="21"/>
          <w:szCs w:val="21"/>
        </w:rPr>
        <w:t xml:space="preserve"> surgery history or </w:t>
      </w:r>
      <w:bookmarkStart w:id="109" w:name="_Hlk110977425"/>
      <w:r w:rsidRPr="004330CB">
        <w:rPr>
          <w:rFonts w:ascii="Times New Roman" w:hAnsi="Times New Roman" w:cs="Times New Roman"/>
          <w:sz w:val="21"/>
          <w:szCs w:val="21"/>
        </w:rPr>
        <w:t>non-tumor chronic diseases</w:t>
      </w:r>
      <w:bookmarkEnd w:id="109"/>
      <w:r w:rsidRPr="004330CB">
        <w:rPr>
          <w:rFonts w:ascii="Times New Roman" w:hAnsi="Times New Roman" w:cs="Times New Roman"/>
          <w:sz w:val="21"/>
          <w:szCs w:val="21"/>
        </w:rPr>
        <w:t xml:space="preserve"> has recovered or returned to the state of no clinical significance during the screening period.</w:t>
      </w:r>
    </w:p>
    <w:p w14:paraId="145F51AE" w14:textId="1E5EAAC8" w:rsidR="002640CF" w:rsidRPr="004322E6" w:rsidRDefault="002640CF" w:rsidP="004322E6">
      <w:pPr>
        <w:pStyle w:val="aff"/>
        <w:widowControl w:val="0"/>
        <w:numPr>
          <w:ilvl w:val="0"/>
          <w:numId w:val="73"/>
        </w:numPr>
        <w:spacing w:after="0" w:line="240" w:lineRule="auto"/>
        <w:contextualSpacing w:val="0"/>
        <w:jc w:val="both"/>
        <w:rPr>
          <w:rFonts w:ascii="Times New Roman" w:hAnsi="Times New Roman" w:cs="Times New Roman"/>
          <w:sz w:val="21"/>
          <w:szCs w:val="21"/>
        </w:rPr>
      </w:pPr>
      <w:r w:rsidRPr="004330CB">
        <w:rPr>
          <w:rFonts w:ascii="Times New Roman" w:hAnsi="Times New Roman" w:cs="Times New Roman"/>
          <w:sz w:val="21"/>
          <w:szCs w:val="21"/>
        </w:rPr>
        <w:t xml:space="preserve">Any clinically significant abnormal symptoms, signs, </w:t>
      </w:r>
      <w:r w:rsidR="00EA599D">
        <w:rPr>
          <w:rFonts w:ascii="Times New Roman" w:hAnsi="Times New Roman" w:cs="Times New Roman"/>
          <w:sz w:val="21"/>
          <w:szCs w:val="21"/>
        </w:rPr>
        <w:t xml:space="preserve">or </w:t>
      </w:r>
      <w:r w:rsidRPr="004330CB">
        <w:rPr>
          <w:rFonts w:ascii="Times New Roman" w:hAnsi="Times New Roman" w:cs="Times New Roman"/>
          <w:sz w:val="21"/>
          <w:szCs w:val="21"/>
        </w:rPr>
        <w:t xml:space="preserve">laboratory findings of a non-neoplastic chronic disease that is still clinically significant during the Screening Period or that </w:t>
      </w:r>
      <w:r w:rsidR="00EA599D">
        <w:rPr>
          <w:rFonts w:ascii="Times New Roman" w:hAnsi="Times New Roman" w:cs="Times New Roman"/>
          <w:sz w:val="21"/>
          <w:szCs w:val="21"/>
        </w:rPr>
        <w:t>are</w:t>
      </w:r>
      <w:r w:rsidRPr="004330CB">
        <w:rPr>
          <w:rFonts w:ascii="Times New Roman" w:hAnsi="Times New Roman" w:cs="Times New Roman"/>
          <w:sz w:val="21"/>
          <w:szCs w:val="21"/>
        </w:rPr>
        <w:t xml:space="preserve"> not associated with the disease under study after the signing of the ICF and before the collection of PBMC should be recorded as </w:t>
      </w:r>
      <w:r w:rsidR="00EA599D">
        <w:rPr>
          <w:rFonts w:ascii="Times New Roman" w:hAnsi="Times New Roman" w:cs="Times New Roman"/>
          <w:sz w:val="21"/>
          <w:szCs w:val="21"/>
        </w:rPr>
        <w:t xml:space="preserve">a </w:t>
      </w:r>
      <w:r w:rsidRPr="004330CB">
        <w:rPr>
          <w:rFonts w:ascii="Times New Roman" w:hAnsi="Times New Roman" w:cs="Times New Roman"/>
          <w:sz w:val="21"/>
          <w:szCs w:val="21"/>
        </w:rPr>
        <w:t>concomitant disease</w:t>
      </w:r>
      <w:r w:rsidRPr="004330CB">
        <w:rPr>
          <w:rFonts w:ascii="Times New Roman" w:hAnsi="Times New Roman" w:cs="Times New Roman" w:hint="eastAsia"/>
          <w:sz w:val="21"/>
          <w:szCs w:val="21"/>
        </w:rPr>
        <w:t>.</w:t>
      </w:r>
      <w:r w:rsidRPr="004330CB">
        <w:rPr>
          <w:rFonts w:ascii="Times New Roman" w:hAnsi="Times New Roman" w:cs="Times New Roman"/>
          <w:sz w:val="21"/>
          <w:szCs w:val="21"/>
        </w:rPr>
        <w:t xml:space="preserve"> </w:t>
      </w:r>
      <w:r w:rsidRPr="004322E6">
        <w:rPr>
          <w:rFonts w:ascii="Times New Roman" w:hAnsi="Times New Roman" w:cs="Times New Roman"/>
          <w:sz w:val="21"/>
          <w:szCs w:val="21"/>
        </w:rPr>
        <w:t>Abnormal results caused by the study procedure during the screening period should be recorded as AE.</w:t>
      </w:r>
      <w:r w:rsidRPr="004330CB">
        <w:rPr>
          <w:sz w:val="21"/>
          <w:szCs w:val="21"/>
        </w:rPr>
        <w:t xml:space="preserve"> </w:t>
      </w:r>
    </w:p>
    <w:p w14:paraId="27CD2D05" w14:textId="42412145" w:rsidR="002640CF" w:rsidRPr="004330CB" w:rsidRDefault="002640CF" w:rsidP="004330CB">
      <w:pPr>
        <w:pStyle w:val="aff"/>
        <w:widowControl w:val="0"/>
        <w:numPr>
          <w:ilvl w:val="0"/>
          <w:numId w:val="73"/>
        </w:numPr>
        <w:spacing w:after="0" w:line="240" w:lineRule="auto"/>
        <w:contextualSpacing w:val="0"/>
        <w:jc w:val="both"/>
        <w:rPr>
          <w:rFonts w:ascii="Times New Roman" w:hAnsi="Times New Roman" w:cs="Times New Roman"/>
          <w:sz w:val="21"/>
          <w:szCs w:val="21"/>
        </w:rPr>
      </w:pPr>
      <w:bookmarkStart w:id="110" w:name="_Hlk111823354"/>
      <w:r w:rsidRPr="004330CB">
        <w:rPr>
          <w:rFonts w:ascii="Times New Roman" w:hAnsi="Times New Roman" w:cs="Times New Roman"/>
          <w:sz w:val="21"/>
          <w:szCs w:val="21"/>
        </w:rPr>
        <w:t>After signing the ICF, all medications and non-medication treatment</w:t>
      </w:r>
      <w:r w:rsidR="00EA599D">
        <w:rPr>
          <w:rFonts w:ascii="Times New Roman" w:hAnsi="Times New Roman" w:cs="Times New Roman"/>
          <w:sz w:val="21"/>
          <w:szCs w:val="21"/>
        </w:rPr>
        <w:t>s</w:t>
      </w:r>
      <w:r w:rsidRPr="004330CB">
        <w:rPr>
          <w:rFonts w:ascii="Times New Roman" w:hAnsi="Times New Roman" w:cs="Times New Roman"/>
          <w:sz w:val="21"/>
          <w:szCs w:val="21"/>
        </w:rPr>
        <w:t xml:space="preserve"> should be recorded, including nutritional supplements, such as vitamins, solvents with therapeutic effects</w:t>
      </w:r>
      <w:r w:rsidR="00EA599D">
        <w:rPr>
          <w:rFonts w:ascii="Times New Roman" w:hAnsi="Times New Roman" w:cs="Times New Roman"/>
          <w:sz w:val="21"/>
          <w:szCs w:val="21"/>
        </w:rPr>
        <w:t>,</w:t>
      </w:r>
      <w:r w:rsidRPr="004330CB">
        <w:rPr>
          <w:rFonts w:ascii="Times New Roman" w:hAnsi="Times New Roman" w:cs="Times New Roman"/>
          <w:sz w:val="21"/>
          <w:szCs w:val="21"/>
        </w:rPr>
        <w:t xml:space="preserve"> or solvents.</w:t>
      </w:r>
    </w:p>
    <w:bookmarkEnd w:id="110"/>
    <w:p w14:paraId="0544E420" w14:textId="1C50398F" w:rsidR="002640CF" w:rsidRPr="004330CB" w:rsidRDefault="002640CF" w:rsidP="004330CB">
      <w:pPr>
        <w:pStyle w:val="aff"/>
        <w:numPr>
          <w:ilvl w:val="0"/>
          <w:numId w:val="73"/>
        </w:numPr>
        <w:spacing w:after="0" w:line="240" w:lineRule="auto"/>
        <w:contextualSpacing w:val="0"/>
        <w:rPr>
          <w:rFonts w:ascii="Times New Roman" w:hAnsi="Times New Roman" w:cs="Times New Roman"/>
          <w:bCs/>
          <w:sz w:val="21"/>
          <w:szCs w:val="21"/>
          <w:lang w:val="en-GB"/>
        </w:rPr>
      </w:pPr>
      <w:r w:rsidRPr="004330CB">
        <w:rPr>
          <w:rFonts w:ascii="Times New Roman" w:hAnsi="Times New Roman" w:cs="Times New Roman"/>
          <w:bCs/>
          <w:sz w:val="21"/>
          <w:szCs w:val="21"/>
        </w:rPr>
        <w:t>Imaging assessments include the use of PET-CT during the screening period</w:t>
      </w:r>
      <w:r w:rsidR="00EA599D">
        <w:rPr>
          <w:rFonts w:ascii="Times New Roman" w:hAnsi="Times New Roman" w:cs="Times New Roman"/>
          <w:bCs/>
          <w:sz w:val="21"/>
          <w:szCs w:val="21"/>
        </w:rPr>
        <w:t>, and</w:t>
      </w:r>
      <w:r w:rsidRPr="004330CB">
        <w:rPr>
          <w:rFonts w:ascii="Times New Roman" w:hAnsi="Times New Roman" w:cs="Times New Roman"/>
          <w:bCs/>
          <w:sz w:val="21"/>
          <w:szCs w:val="21"/>
        </w:rPr>
        <w:t xml:space="preserve"> PET-CT should also be used when the investigator judges that CR/</w:t>
      </w:r>
      <w:proofErr w:type="spellStart"/>
      <w:r w:rsidRPr="004330CB">
        <w:rPr>
          <w:rFonts w:ascii="Times New Roman" w:hAnsi="Times New Roman" w:cs="Times New Roman"/>
          <w:bCs/>
          <w:sz w:val="21"/>
          <w:szCs w:val="21"/>
        </w:rPr>
        <w:t>sCR</w:t>
      </w:r>
      <w:proofErr w:type="spellEnd"/>
      <w:r w:rsidRPr="004330CB">
        <w:rPr>
          <w:rFonts w:ascii="Times New Roman" w:hAnsi="Times New Roman" w:cs="Times New Roman"/>
          <w:bCs/>
          <w:sz w:val="21"/>
          <w:szCs w:val="21"/>
        </w:rPr>
        <w:t xml:space="preserve"> may be achieved. In addition to the conditions mentioned above, the imaging evaluation method at other time points should be decided by the investigators based on the patients’ clinical indicators. The imaging methods for the same patient should keep consistent</w:t>
      </w:r>
      <w:r w:rsidR="00C81EDD" w:rsidRPr="00C81EDD">
        <w:rPr>
          <w:rFonts w:ascii="Times New Roman" w:hAnsi="Times New Roman" w:cs="Times New Roman"/>
          <w:bCs/>
          <w:sz w:val="21"/>
          <w:szCs w:val="21"/>
        </w:rPr>
        <w:t xml:space="preserve"> </w:t>
      </w:r>
      <w:r w:rsidR="00C81EDD">
        <w:rPr>
          <w:rFonts w:ascii="Times New Roman" w:hAnsi="Times New Roman" w:cs="Times New Roman"/>
          <w:bCs/>
          <w:sz w:val="21"/>
          <w:szCs w:val="21"/>
        </w:rPr>
        <w:t xml:space="preserve">during </w:t>
      </w:r>
      <w:r w:rsidR="00C81EDD" w:rsidRPr="004330CB">
        <w:rPr>
          <w:rFonts w:ascii="Times New Roman" w:hAnsi="Times New Roman" w:cs="Times New Roman"/>
          <w:bCs/>
          <w:sz w:val="21"/>
          <w:szCs w:val="21"/>
        </w:rPr>
        <w:t>follow-up</w:t>
      </w:r>
      <w:r w:rsidRPr="004330CB">
        <w:rPr>
          <w:rFonts w:ascii="Times New Roman" w:hAnsi="Times New Roman" w:cs="Times New Roman"/>
          <w:bCs/>
          <w:sz w:val="21"/>
          <w:szCs w:val="21"/>
        </w:rPr>
        <w:t xml:space="preserve">. Imaging assessment results within </w:t>
      </w:r>
      <w:r w:rsidR="00EA599D">
        <w:rPr>
          <w:rFonts w:ascii="Times New Roman" w:hAnsi="Times New Roman" w:cs="Times New Roman"/>
          <w:bCs/>
          <w:sz w:val="21"/>
          <w:szCs w:val="21"/>
        </w:rPr>
        <w:t>four</w:t>
      </w:r>
      <w:r w:rsidRPr="004330CB">
        <w:rPr>
          <w:rFonts w:ascii="Times New Roman" w:hAnsi="Times New Roman" w:cs="Times New Roman"/>
          <w:bCs/>
          <w:sz w:val="21"/>
          <w:szCs w:val="21"/>
        </w:rPr>
        <w:t xml:space="preserve"> weeks are acceptable during the screening period.</w:t>
      </w:r>
    </w:p>
    <w:p w14:paraId="3EF041CB" w14:textId="080FB082" w:rsidR="002640CF" w:rsidRPr="004330CB" w:rsidRDefault="002640CF" w:rsidP="004330CB">
      <w:pPr>
        <w:pStyle w:val="aff"/>
        <w:widowControl w:val="0"/>
        <w:numPr>
          <w:ilvl w:val="0"/>
          <w:numId w:val="73"/>
        </w:numPr>
        <w:spacing w:after="0" w:line="240" w:lineRule="auto"/>
        <w:contextualSpacing w:val="0"/>
        <w:jc w:val="both"/>
        <w:rPr>
          <w:rFonts w:ascii="Times New Roman" w:hAnsi="Times New Roman" w:cs="Times New Roman"/>
          <w:bCs/>
          <w:sz w:val="21"/>
          <w:szCs w:val="21"/>
          <w:lang w:val="en-GB"/>
        </w:rPr>
      </w:pPr>
      <w:r w:rsidRPr="004330CB">
        <w:rPr>
          <w:rFonts w:ascii="Times New Roman" w:eastAsia="等线" w:hAnsi="Times New Roman" w:cs="Times New Roman"/>
          <w:sz w:val="21"/>
          <w:szCs w:val="21"/>
        </w:rPr>
        <w:t>The height and weight will be measured during the screening period</w:t>
      </w:r>
      <w:r w:rsidR="00EA599D">
        <w:rPr>
          <w:rFonts w:ascii="Times New Roman" w:eastAsia="等线" w:hAnsi="Times New Roman" w:cs="Times New Roman"/>
          <w:sz w:val="21"/>
          <w:szCs w:val="21"/>
        </w:rPr>
        <w:t>, and t</w:t>
      </w:r>
      <w:r w:rsidRPr="004330CB">
        <w:rPr>
          <w:rFonts w:ascii="Times New Roman" w:eastAsia="等线" w:hAnsi="Times New Roman" w:cs="Times New Roman"/>
          <w:sz w:val="21"/>
          <w:szCs w:val="21"/>
        </w:rPr>
        <w:t xml:space="preserve">he body weight measurement is required for rest assessment within 1 day before the mononuclear cell collection. The height and weight should be re-measured before the </w:t>
      </w:r>
      <w:r w:rsidRPr="004330CB">
        <w:rPr>
          <w:rFonts w:ascii="Times New Roman" w:hAnsi="Times New Roman" w:cs="Times New Roman"/>
          <w:sz w:val="21"/>
          <w:szCs w:val="21"/>
        </w:rPr>
        <w:t xml:space="preserve">lymphodepletion </w:t>
      </w:r>
      <w:r w:rsidR="00F076D5" w:rsidRPr="004330CB">
        <w:rPr>
          <w:rFonts w:ascii="Times New Roman" w:hAnsi="Times New Roman" w:cs="Times New Roman"/>
          <w:sz w:val="21"/>
          <w:szCs w:val="21"/>
        </w:rPr>
        <w:t>conditioning</w:t>
      </w:r>
      <w:r w:rsidR="00F076D5" w:rsidRPr="004330CB" w:rsidDel="00916F5C">
        <w:rPr>
          <w:rFonts w:ascii="Times New Roman" w:eastAsia="等线" w:hAnsi="Times New Roman" w:cs="Times New Roman"/>
          <w:sz w:val="21"/>
          <w:szCs w:val="21"/>
        </w:rPr>
        <w:t xml:space="preserve"> </w:t>
      </w:r>
      <w:r w:rsidR="00F076D5" w:rsidRPr="004330CB">
        <w:rPr>
          <w:rFonts w:ascii="Times New Roman" w:eastAsia="等线" w:hAnsi="Times New Roman" w:cs="Times New Roman"/>
          <w:sz w:val="21"/>
          <w:szCs w:val="21"/>
        </w:rPr>
        <w:t>to</w:t>
      </w:r>
      <w:r w:rsidRPr="004330CB">
        <w:rPr>
          <w:rFonts w:ascii="Times New Roman" w:eastAsia="等线" w:hAnsi="Times New Roman" w:cs="Times New Roman"/>
          <w:sz w:val="21"/>
          <w:szCs w:val="21"/>
        </w:rPr>
        <w:t xml:space="preserve"> calculate the BSA. Calculation formula of the BSA: BSA (m²) = SQRT (height cm </w:t>
      </w:r>
      <w:r w:rsidRPr="004330CB">
        <w:rPr>
          <w:rFonts w:ascii="Times New Roman" w:eastAsia="宋体" w:hAnsi="Times New Roman" w:cs="Times New Roman"/>
          <w:color w:val="000000"/>
          <w:sz w:val="21"/>
          <w:szCs w:val="21"/>
        </w:rPr>
        <w:t xml:space="preserve">× </w:t>
      </w:r>
      <w:r w:rsidRPr="004330CB">
        <w:rPr>
          <w:rFonts w:ascii="Times New Roman" w:eastAsia="等线" w:hAnsi="Times New Roman" w:cs="Times New Roman"/>
          <w:bCs/>
          <w:sz w:val="21"/>
          <w:szCs w:val="21"/>
          <w:lang w:val="en-GB"/>
        </w:rPr>
        <w:t xml:space="preserve">weight kg/3600). </w:t>
      </w:r>
    </w:p>
    <w:p w14:paraId="2218DBFE" w14:textId="3D1E55B4" w:rsidR="002640CF" w:rsidRPr="004330CB" w:rsidRDefault="002640CF" w:rsidP="004330CB">
      <w:pPr>
        <w:pStyle w:val="aff"/>
        <w:widowControl w:val="0"/>
        <w:numPr>
          <w:ilvl w:val="0"/>
          <w:numId w:val="73"/>
        </w:numPr>
        <w:spacing w:after="0" w:line="240" w:lineRule="auto"/>
        <w:ind w:left="357" w:hanging="357"/>
        <w:contextualSpacing w:val="0"/>
        <w:jc w:val="both"/>
        <w:rPr>
          <w:rFonts w:ascii="Times New Roman" w:hAnsi="Times New Roman" w:cs="Times New Roman"/>
          <w:bCs/>
          <w:sz w:val="21"/>
          <w:szCs w:val="21"/>
        </w:rPr>
      </w:pPr>
      <w:r w:rsidRPr="004330CB">
        <w:rPr>
          <w:rFonts w:ascii="Times New Roman" w:hAnsi="Times New Roman" w:cs="Times New Roman"/>
          <w:bCs/>
          <w:sz w:val="21"/>
          <w:szCs w:val="21"/>
        </w:rPr>
        <w:t>Vital signs should be closely monitored on the day of CT103A cell infusion (D0). If vital signs are unstable, monitoring should be continued until all measurements are stable. Emergency facilities should be available during the infusion to allow for prompt management of severe allergic reactions, severe hypotension, or other reactions.</w:t>
      </w:r>
    </w:p>
    <w:p w14:paraId="2EBC718C" w14:textId="76D96674" w:rsidR="002640CF" w:rsidRPr="004330CB" w:rsidRDefault="00EA599D" w:rsidP="004330CB">
      <w:pPr>
        <w:pStyle w:val="aff"/>
        <w:widowControl w:val="0"/>
        <w:numPr>
          <w:ilvl w:val="0"/>
          <w:numId w:val="74"/>
        </w:numPr>
        <w:spacing w:after="0" w:line="240" w:lineRule="auto"/>
        <w:contextualSpacing w:val="0"/>
        <w:jc w:val="both"/>
        <w:rPr>
          <w:rFonts w:ascii="Times New Roman" w:hAnsi="Times New Roman" w:cs="Times New Roman"/>
          <w:bCs/>
          <w:sz w:val="21"/>
          <w:szCs w:val="21"/>
        </w:rPr>
      </w:pPr>
      <w:r>
        <w:rPr>
          <w:rFonts w:ascii="Times New Roman" w:hAnsi="Times New Roman" w:cs="Times New Roman"/>
          <w:bCs/>
          <w:sz w:val="21"/>
          <w:szCs w:val="21"/>
        </w:rPr>
        <w:t>An e</w:t>
      </w:r>
      <w:r w:rsidR="002640CF" w:rsidRPr="004330CB">
        <w:rPr>
          <w:rFonts w:ascii="Times New Roman" w:hAnsi="Times New Roman" w:cs="Times New Roman"/>
          <w:bCs/>
          <w:sz w:val="21"/>
          <w:szCs w:val="21"/>
        </w:rPr>
        <w:t xml:space="preserve">lectrocardiogram or echocardiography can be performed at the discretion of the investigator based on the patient’ symptoms, signs, or abnormal heart function during CT103A cell infusion and follow-up observation. </w:t>
      </w:r>
    </w:p>
    <w:p w14:paraId="0E5CCC46" w14:textId="63B725D1" w:rsidR="002640CF" w:rsidRPr="004330CB" w:rsidRDefault="002640CF" w:rsidP="004330CB">
      <w:pPr>
        <w:pStyle w:val="aff"/>
        <w:numPr>
          <w:ilvl w:val="0"/>
          <w:numId w:val="74"/>
        </w:numPr>
        <w:spacing w:after="0" w:line="240" w:lineRule="auto"/>
        <w:contextualSpacing w:val="0"/>
        <w:rPr>
          <w:rFonts w:ascii="Times New Roman" w:hAnsi="Times New Roman" w:cs="Times New Roman"/>
          <w:bCs/>
          <w:sz w:val="21"/>
          <w:szCs w:val="21"/>
        </w:rPr>
      </w:pPr>
      <w:r w:rsidRPr="004330CB">
        <w:rPr>
          <w:rFonts w:ascii="Times New Roman" w:eastAsia="宋体" w:hAnsi="Times New Roman" w:cs="Times New Roman"/>
          <w:color w:val="0E101A"/>
          <w:sz w:val="21"/>
          <w:szCs w:val="21"/>
        </w:rPr>
        <w:t xml:space="preserve">For women of childbearing potential </w:t>
      </w:r>
      <w:r w:rsidR="00F076D5" w:rsidRPr="004330CB">
        <w:rPr>
          <w:rFonts w:ascii="Times New Roman" w:eastAsia="宋体" w:hAnsi="Times New Roman" w:cs="Times New Roman"/>
          <w:color w:val="0E101A"/>
          <w:sz w:val="21"/>
          <w:szCs w:val="21"/>
        </w:rPr>
        <w:t>only,</w:t>
      </w:r>
      <w:r w:rsidRPr="004330CB">
        <w:rPr>
          <w:rFonts w:ascii="Times New Roman" w:eastAsia="宋体" w:hAnsi="Times New Roman" w:cs="Times New Roman"/>
          <w:color w:val="0E101A"/>
          <w:sz w:val="21"/>
          <w:szCs w:val="21"/>
        </w:rPr>
        <w:t xml:space="preserve"> a blood pregnancy test should be performed at the </w:t>
      </w:r>
      <w:bookmarkStart w:id="111" w:name="_Hlk111812989"/>
      <w:r w:rsidRPr="004330CB">
        <w:rPr>
          <w:rFonts w:ascii="Times New Roman" w:eastAsia="宋体" w:hAnsi="Times New Roman" w:cs="Times New Roman"/>
          <w:color w:val="0E101A"/>
          <w:sz w:val="21"/>
          <w:szCs w:val="21"/>
        </w:rPr>
        <w:t>out-of-study visit</w:t>
      </w:r>
      <w:bookmarkEnd w:id="111"/>
      <w:r w:rsidRPr="004330CB">
        <w:rPr>
          <w:rFonts w:ascii="Times New Roman" w:eastAsia="宋体" w:hAnsi="Times New Roman" w:cs="Times New Roman"/>
          <w:color w:val="0E101A"/>
          <w:sz w:val="21"/>
          <w:szCs w:val="21"/>
        </w:rPr>
        <w:t xml:space="preserve"> if the out-of-study visit is completed within </w:t>
      </w:r>
      <w:r w:rsidR="00EA599D">
        <w:rPr>
          <w:rFonts w:ascii="Times New Roman" w:eastAsia="宋体" w:hAnsi="Times New Roman" w:cs="Times New Roman"/>
          <w:color w:val="0E101A"/>
          <w:sz w:val="21"/>
          <w:szCs w:val="21"/>
        </w:rPr>
        <w:t>one</w:t>
      </w:r>
      <w:r w:rsidRPr="004330CB">
        <w:rPr>
          <w:rFonts w:ascii="Times New Roman" w:eastAsia="宋体" w:hAnsi="Times New Roman" w:cs="Times New Roman"/>
          <w:color w:val="0E101A"/>
          <w:sz w:val="21"/>
          <w:szCs w:val="21"/>
        </w:rPr>
        <w:t xml:space="preserve"> year after CAR-T infusion. </w:t>
      </w:r>
    </w:p>
    <w:p w14:paraId="60459CAF" w14:textId="265B69DE" w:rsidR="002640CF" w:rsidRPr="004330CB" w:rsidRDefault="004330CB" w:rsidP="004330CB">
      <w:pPr>
        <w:spacing w:after="0" w:line="240" w:lineRule="auto"/>
        <w:rPr>
          <w:sz w:val="21"/>
          <w:szCs w:val="21"/>
        </w:rPr>
      </w:pPr>
      <w:r>
        <w:rPr>
          <w:bCs/>
          <w:sz w:val="21"/>
          <w:szCs w:val="21"/>
        </w:rPr>
        <w:t xml:space="preserve">       </w:t>
      </w:r>
      <w:r w:rsidR="002640CF" w:rsidRPr="004330CB">
        <w:rPr>
          <w:bCs/>
          <w:sz w:val="21"/>
          <w:szCs w:val="21"/>
        </w:rPr>
        <w:t xml:space="preserve">Infertile women are defined as: 1, postmenopausal women (with at least </w:t>
      </w:r>
      <w:r w:rsidR="00EA599D">
        <w:rPr>
          <w:bCs/>
          <w:sz w:val="21"/>
          <w:szCs w:val="21"/>
        </w:rPr>
        <w:t>one</w:t>
      </w:r>
      <w:r w:rsidR="002640CF" w:rsidRPr="004330CB">
        <w:rPr>
          <w:bCs/>
          <w:sz w:val="21"/>
          <w:szCs w:val="21"/>
        </w:rPr>
        <w:t xml:space="preserve"> year of menopause), 2, women with bilateral ovaries or hysterectomy.</w:t>
      </w:r>
    </w:p>
    <w:p w14:paraId="6998E21A" w14:textId="02E1EE18" w:rsidR="002640CF" w:rsidRPr="004330CB" w:rsidRDefault="002640CF" w:rsidP="0027517F">
      <w:pPr>
        <w:pStyle w:val="aff"/>
        <w:widowControl w:val="0"/>
        <w:numPr>
          <w:ilvl w:val="0"/>
          <w:numId w:val="74"/>
        </w:numPr>
        <w:spacing w:after="0" w:line="240" w:lineRule="auto"/>
        <w:contextualSpacing w:val="0"/>
        <w:jc w:val="both"/>
        <w:rPr>
          <w:rFonts w:ascii="Times New Roman" w:hAnsi="Times New Roman" w:cs="Times New Roman"/>
          <w:bCs/>
          <w:sz w:val="21"/>
          <w:szCs w:val="21"/>
        </w:rPr>
      </w:pPr>
      <w:r w:rsidRPr="004330CB">
        <w:rPr>
          <w:rFonts w:ascii="Times New Roman" w:eastAsia="等线" w:hAnsi="Times New Roman" w:cs="Times New Roman"/>
          <w:bCs/>
          <w:sz w:val="21"/>
          <w:szCs w:val="21"/>
        </w:rPr>
        <w:t xml:space="preserve">Including HCV antibody, five items of HBV (HBsAg, </w:t>
      </w:r>
      <w:proofErr w:type="spellStart"/>
      <w:r w:rsidRPr="004330CB">
        <w:rPr>
          <w:rFonts w:ascii="Times New Roman" w:eastAsia="等线" w:hAnsi="Times New Roman" w:cs="Times New Roman"/>
          <w:bCs/>
          <w:sz w:val="21"/>
          <w:szCs w:val="21"/>
        </w:rPr>
        <w:t>HBsAb</w:t>
      </w:r>
      <w:proofErr w:type="spellEnd"/>
      <w:r w:rsidRPr="004330CB">
        <w:rPr>
          <w:rFonts w:ascii="Times New Roman" w:eastAsia="等线" w:hAnsi="Times New Roman" w:cs="Times New Roman"/>
          <w:bCs/>
          <w:sz w:val="21"/>
          <w:szCs w:val="21"/>
        </w:rPr>
        <w:t xml:space="preserve">, </w:t>
      </w:r>
      <w:proofErr w:type="spellStart"/>
      <w:r w:rsidRPr="004330CB">
        <w:rPr>
          <w:rFonts w:ascii="Times New Roman" w:eastAsia="等线" w:hAnsi="Times New Roman" w:cs="Times New Roman"/>
          <w:bCs/>
          <w:sz w:val="21"/>
          <w:szCs w:val="21"/>
        </w:rPr>
        <w:t>HBeAg</w:t>
      </w:r>
      <w:proofErr w:type="spellEnd"/>
      <w:r w:rsidRPr="004330CB">
        <w:rPr>
          <w:rFonts w:ascii="Times New Roman" w:eastAsia="等线" w:hAnsi="Times New Roman" w:cs="Times New Roman"/>
          <w:bCs/>
          <w:sz w:val="21"/>
          <w:szCs w:val="21"/>
        </w:rPr>
        <w:t xml:space="preserve">, </w:t>
      </w:r>
      <w:proofErr w:type="spellStart"/>
      <w:r w:rsidRPr="004330CB">
        <w:rPr>
          <w:rFonts w:ascii="Times New Roman" w:eastAsia="等线" w:hAnsi="Times New Roman" w:cs="Times New Roman"/>
          <w:bCs/>
          <w:sz w:val="21"/>
          <w:szCs w:val="21"/>
        </w:rPr>
        <w:t>HBeAb</w:t>
      </w:r>
      <w:proofErr w:type="spellEnd"/>
      <w:r w:rsidRPr="004330CB">
        <w:rPr>
          <w:rFonts w:ascii="Times New Roman" w:eastAsia="等线" w:hAnsi="Times New Roman" w:cs="Times New Roman"/>
          <w:bCs/>
          <w:sz w:val="21"/>
          <w:szCs w:val="21"/>
        </w:rPr>
        <w:t xml:space="preserve"> and </w:t>
      </w:r>
      <w:proofErr w:type="spellStart"/>
      <w:r w:rsidRPr="004330CB">
        <w:rPr>
          <w:rFonts w:ascii="Times New Roman" w:eastAsia="等线" w:hAnsi="Times New Roman" w:cs="Times New Roman"/>
          <w:bCs/>
          <w:sz w:val="21"/>
          <w:szCs w:val="21"/>
        </w:rPr>
        <w:t>HBcAb</w:t>
      </w:r>
      <w:proofErr w:type="spellEnd"/>
      <w:r w:rsidRPr="004330CB">
        <w:rPr>
          <w:rFonts w:ascii="Times New Roman" w:eastAsia="等线" w:hAnsi="Times New Roman" w:cs="Times New Roman"/>
          <w:bCs/>
          <w:sz w:val="21"/>
          <w:szCs w:val="21"/>
        </w:rPr>
        <w:t>), HIV antibody, EBV DNA (</w:t>
      </w:r>
      <w:bookmarkStart w:id="112" w:name="_Hlk111820973"/>
      <w:r w:rsidRPr="004330CB">
        <w:rPr>
          <w:rFonts w:ascii="Times New Roman" w:eastAsia="等线" w:hAnsi="Times New Roman" w:cs="Times New Roman"/>
          <w:bCs/>
          <w:sz w:val="21"/>
          <w:szCs w:val="21"/>
        </w:rPr>
        <w:t>the results are not used as a criterion to enroll the study</w:t>
      </w:r>
      <w:bookmarkEnd w:id="112"/>
      <w:r w:rsidRPr="004330CB">
        <w:rPr>
          <w:rFonts w:ascii="Times New Roman" w:eastAsia="等线" w:hAnsi="Times New Roman" w:cs="Times New Roman"/>
          <w:bCs/>
          <w:sz w:val="21"/>
          <w:szCs w:val="21"/>
        </w:rPr>
        <w:t xml:space="preserve">), </w:t>
      </w:r>
      <w:r w:rsidR="001822A0" w:rsidRPr="001822A0">
        <w:rPr>
          <w:rFonts w:ascii="Times New Roman" w:eastAsia="等线" w:hAnsi="Times New Roman" w:cs="Times New Roman"/>
          <w:bCs/>
          <w:sz w:val="21"/>
          <w:szCs w:val="21"/>
        </w:rPr>
        <w:t>cytomegalovirus</w:t>
      </w:r>
      <w:r w:rsidRPr="004330CB">
        <w:rPr>
          <w:rFonts w:ascii="Times New Roman" w:eastAsia="等线" w:hAnsi="Times New Roman" w:cs="Times New Roman"/>
          <w:bCs/>
          <w:sz w:val="21"/>
          <w:szCs w:val="21"/>
        </w:rPr>
        <w:t xml:space="preserve"> DNA, and syphilis. Patients with a positive HCV antibody should be tested for HCV RNA, and the patients can be enrolled if HCV RNA is negative. Both HBV surface antigen and HBV core antibody should be negative. A peripheral HBV DNA test is required if either of the tests mentioned above is positive. When HBV DNA is below the normal limit, the patient can be enrolled. </w:t>
      </w:r>
      <w:r w:rsidR="00EA599D">
        <w:rPr>
          <w:rFonts w:ascii="Times New Roman" w:eastAsia="等线" w:hAnsi="Times New Roman" w:cs="Times New Roman"/>
          <w:bCs/>
          <w:sz w:val="21"/>
          <w:szCs w:val="21"/>
        </w:rPr>
        <w:t>The results mentioned above within four weeks before the screening period are acceptable during the screening period</w:t>
      </w:r>
      <w:r w:rsidRPr="004330CB">
        <w:rPr>
          <w:rFonts w:ascii="Times New Roman" w:eastAsia="等线" w:hAnsi="Times New Roman" w:cs="Times New Roman"/>
          <w:bCs/>
          <w:sz w:val="21"/>
          <w:szCs w:val="21"/>
        </w:rPr>
        <w:t xml:space="preserve">. </w:t>
      </w:r>
    </w:p>
    <w:p w14:paraId="2926FB4E" w14:textId="1394D1F5" w:rsidR="002640CF" w:rsidRPr="004330CB" w:rsidRDefault="002640CF" w:rsidP="0027517F">
      <w:pPr>
        <w:pStyle w:val="aff"/>
        <w:numPr>
          <w:ilvl w:val="0"/>
          <w:numId w:val="74"/>
        </w:numPr>
        <w:spacing w:after="0" w:line="240" w:lineRule="auto"/>
        <w:contextualSpacing w:val="0"/>
        <w:jc w:val="both"/>
        <w:rPr>
          <w:rFonts w:ascii="Times New Roman" w:hAnsi="Times New Roman" w:cs="Times New Roman"/>
          <w:sz w:val="21"/>
          <w:szCs w:val="21"/>
        </w:rPr>
      </w:pPr>
      <w:r w:rsidRPr="004330CB">
        <w:rPr>
          <w:rFonts w:ascii="Times New Roman" w:eastAsia="等线" w:hAnsi="Times New Roman" w:cs="Times New Roman"/>
          <w:sz w:val="21"/>
          <w:szCs w:val="21"/>
        </w:rPr>
        <w:t>Inflammatory factors should include IL-6 and ferritin</w:t>
      </w:r>
      <w:r w:rsidR="00EA599D">
        <w:rPr>
          <w:rFonts w:ascii="Times New Roman" w:eastAsia="等线" w:hAnsi="Times New Roman" w:cs="Times New Roman"/>
          <w:sz w:val="21"/>
          <w:szCs w:val="21"/>
        </w:rPr>
        <w:t>,</w:t>
      </w:r>
      <w:r w:rsidRPr="004330CB">
        <w:rPr>
          <w:rFonts w:ascii="Times New Roman" w:eastAsia="等线" w:hAnsi="Times New Roman" w:cs="Times New Roman"/>
          <w:sz w:val="21"/>
          <w:szCs w:val="21"/>
        </w:rPr>
        <w:t xml:space="preserve"> at least.</w:t>
      </w:r>
    </w:p>
    <w:p w14:paraId="57839C7A" w14:textId="2A84A3E2" w:rsidR="002640CF" w:rsidRPr="004330CB" w:rsidRDefault="002640CF" w:rsidP="0027517F">
      <w:pPr>
        <w:pStyle w:val="aff"/>
        <w:numPr>
          <w:ilvl w:val="0"/>
          <w:numId w:val="74"/>
        </w:numPr>
        <w:spacing w:after="0" w:line="240" w:lineRule="auto"/>
        <w:contextualSpacing w:val="0"/>
        <w:jc w:val="both"/>
        <w:rPr>
          <w:rFonts w:ascii="Times New Roman" w:hAnsi="Times New Roman" w:cs="Times New Roman"/>
          <w:sz w:val="21"/>
          <w:szCs w:val="21"/>
        </w:rPr>
      </w:pPr>
      <w:r w:rsidRPr="004330CB">
        <w:rPr>
          <w:rFonts w:ascii="Times New Roman" w:hAnsi="Times New Roman" w:cs="Times New Roman"/>
          <w:sz w:val="21"/>
          <w:szCs w:val="21"/>
        </w:rPr>
        <w:t xml:space="preserve">If non-secretory multiple myeloma is confirmed during the screening and baseline period, the test may not be performed at subsequent follow-up visits (except for serum calcium and albumin-corrected calcium, β2-microglobulin) </w:t>
      </w:r>
    </w:p>
    <w:p w14:paraId="6F16D68C" w14:textId="7BB39093" w:rsidR="002640CF" w:rsidRPr="004322E6" w:rsidRDefault="002640CF" w:rsidP="0027517F">
      <w:pPr>
        <w:pStyle w:val="aff"/>
        <w:widowControl w:val="0"/>
        <w:numPr>
          <w:ilvl w:val="0"/>
          <w:numId w:val="74"/>
        </w:numPr>
        <w:spacing w:after="0" w:line="240" w:lineRule="auto"/>
        <w:contextualSpacing w:val="0"/>
        <w:jc w:val="both"/>
        <w:rPr>
          <w:rFonts w:ascii="Times New Roman" w:hAnsi="Times New Roman" w:cs="Times New Roman"/>
          <w:sz w:val="21"/>
          <w:szCs w:val="21"/>
        </w:rPr>
      </w:pPr>
      <w:r w:rsidRPr="004330CB">
        <w:rPr>
          <w:rFonts w:ascii="Times New Roman" w:hAnsi="Times New Roman" w:cs="Times New Roman"/>
          <w:sz w:val="21"/>
          <w:szCs w:val="21"/>
        </w:rPr>
        <w:t xml:space="preserve">The results of bone marrow within </w:t>
      </w:r>
      <w:r w:rsidR="00EA599D">
        <w:rPr>
          <w:rFonts w:ascii="Times New Roman" w:hAnsi="Times New Roman" w:cs="Times New Roman"/>
          <w:sz w:val="21"/>
          <w:szCs w:val="21"/>
        </w:rPr>
        <w:t>two</w:t>
      </w:r>
      <w:r w:rsidRPr="004330CB">
        <w:rPr>
          <w:rFonts w:ascii="Times New Roman" w:hAnsi="Times New Roman" w:cs="Times New Roman"/>
          <w:sz w:val="21"/>
          <w:szCs w:val="21"/>
        </w:rPr>
        <w:t xml:space="preserve"> weeks are acceptable during the screening or baseline period (provided that the test items meet the requirements </w:t>
      </w:r>
      <w:r w:rsidRPr="004330CB">
        <w:rPr>
          <w:rFonts w:ascii="Times New Roman" w:hAnsi="Times New Roman" w:cs="Times New Roman"/>
          <w:sz w:val="21"/>
          <w:szCs w:val="21"/>
        </w:rPr>
        <w:lastRenderedPageBreak/>
        <w:t>of the study and a re-test will be performed in case of any missed item). The cytogenetic test is only required during the screening period and may be repeated during the baseline period if it fails or is not performed during the screening period (if FISH tests fail at both the screening period and the baseline period, the previous test results are acceptable). The results of bone marrow immunohistochemistry or bone marrow flow cytometry are acceptable for the BCMA expression test at the screening period. During the follow-up period after infusion, bone marrow aspiration/biopsy is needed if the investigator determines that CR/</w:t>
      </w:r>
      <w:proofErr w:type="spellStart"/>
      <w:r w:rsidRPr="004330CB">
        <w:rPr>
          <w:rFonts w:ascii="Times New Roman" w:hAnsi="Times New Roman" w:cs="Times New Roman"/>
          <w:sz w:val="21"/>
          <w:szCs w:val="21"/>
        </w:rPr>
        <w:t>sCR</w:t>
      </w:r>
      <w:proofErr w:type="spellEnd"/>
      <w:r w:rsidRPr="004330CB">
        <w:rPr>
          <w:rFonts w:ascii="Times New Roman" w:hAnsi="Times New Roman" w:cs="Times New Roman"/>
          <w:sz w:val="21"/>
          <w:szCs w:val="21"/>
        </w:rPr>
        <w:t xml:space="preserve"> may be achieved or disease progression occurs, </w:t>
      </w:r>
      <w:r w:rsidRPr="004322E6">
        <w:rPr>
          <w:rFonts w:ascii="Times New Roman" w:hAnsi="Times New Roman" w:cs="Times New Roman"/>
          <w:sz w:val="21"/>
          <w:szCs w:val="21"/>
        </w:rPr>
        <w:t>and at other follow-up visits</w:t>
      </w:r>
      <w:r w:rsidR="0032109D">
        <w:rPr>
          <w:rFonts w:ascii="Times New Roman" w:hAnsi="Times New Roman" w:cs="Times New Roman"/>
          <w:sz w:val="21"/>
          <w:szCs w:val="21"/>
        </w:rPr>
        <w:t>,</w:t>
      </w:r>
      <w:r w:rsidRPr="004322E6">
        <w:rPr>
          <w:rFonts w:ascii="Times New Roman" w:hAnsi="Times New Roman" w:cs="Times New Roman"/>
          <w:sz w:val="21"/>
          <w:szCs w:val="21"/>
        </w:rPr>
        <w:t xml:space="preserve"> the investigator may assess the need for bone marrow aspiration/biopsy test</w:t>
      </w:r>
      <w:r w:rsidRPr="004330CB">
        <w:rPr>
          <w:rFonts w:ascii="Times New Roman" w:hAnsi="Times New Roman" w:cs="Times New Roman"/>
          <w:sz w:val="21"/>
          <w:szCs w:val="21"/>
        </w:rPr>
        <w:t>. However, tests for non-secretory patients are required at each visit. Bone marrow aspiration/biopsy-related tests are not required for patients without bone marrow infiltration.</w:t>
      </w:r>
      <w:r w:rsidRPr="004330CB">
        <w:rPr>
          <w:sz w:val="21"/>
          <w:szCs w:val="21"/>
        </w:rPr>
        <w:t xml:space="preserve"> </w:t>
      </w:r>
    </w:p>
    <w:p w14:paraId="5A31BE15" w14:textId="528BC144" w:rsidR="002640CF" w:rsidRPr="004330CB" w:rsidRDefault="002640CF" w:rsidP="0027517F">
      <w:pPr>
        <w:pStyle w:val="aff"/>
        <w:numPr>
          <w:ilvl w:val="0"/>
          <w:numId w:val="74"/>
        </w:numPr>
        <w:spacing w:after="0" w:line="240" w:lineRule="auto"/>
        <w:contextualSpacing w:val="0"/>
        <w:jc w:val="both"/>
        <w:rPr>
          <w:rFonts w:ascii="Times New Roman" w:eastAsia="等线" w:hAnsi="Times New Roman" w:cs="Times New Roman"/>
          <w:sz w:val="21"/>
          <w:szCs w:val="21"/>
        </w:rPr>
      </w:pPr>
      <w:r w:rsidRPr="004330CB">
        <w:rPr>
          <w:rFonts w:ascii="Times New Roman" w:eastAsia="等线" w:hAnsi="Times New Roman" w:cs="Times New Roman"/>
          <w:sz w:val="21"/>
          <w:szCs w:val="21"/>
        </w:rPr>
        <w:t xml:space="preserve">An additional 3 mL of </w:t>
      </w:r>
      <w:r w:rsidR="00EA599D">
        <w:rPr>
          <w:rFonts w:ascii="Times New Roman" w:eastAsia="等线" w:hAnsi="Times New Roman" w:cs="Times New Roman"/>
          <w:sz w:val="21"/>
          <w:szCs w:val="21"/>
        </w:rPr>
        <w:t xml:space="preserve">the </w:t>
      </w:r>
      <w:r w:rsidRPr="004330CB">
        <w:rPr>
          <w:rFonts w:ascii="Times New Roman" w:eastAsia="等线" w:hAnsi="Times New Roman" w:cs="Times New Roman"/>
          <w:sz w:val="21"/>
          <w:szCs w:val="21"/>
        </w:rPr>
        <w:t xml:space="preserve">blood sample will be collected for each PK blood sample collection for exploring studies. </w:t>
      </w:r>
    </w:p>
    <w:p w14:paraId="415603F8" w14:textId="290E0CDB" w:rsidR="002640CF" w:rsidRPr="004330CB" w:rsidRDefault="002640CF" w:rsidP="0027517F">
      <w:pPr>
        <w:pStyle w:val="aff"/>
        <w:numPr>
          <w:ilvl w:val="0"/>
          <w:numId w:val="74"/>
        </w:numPr>
        <w:spacing w:after="0" w:line="240" w:lineRule="auto"/>
        <w:ind w:left="357" w:hanging="357"/>
        <w:contextualSpacing w:val="0"/>
        <w:jc w:val="both"/>
        <w:rPr>
          <w:rFonts w:ascii="Times New Roman" w:hAnsi="Times New Roman" w:cs="Times New Roman"/>
          <w:sz w:val="21"/>
          <w:szCs w:val="21"/>
        </w:rPr>
      </w:pPr>
      <w:r w:rsidRPr="004330CB">
        <w:rPr>
          <w:rFonts w:ascii="Times New Roman" w:hAnsi="Times New Roman" w:cs="Times New Roman"/>
          <w:sz w:val="21"/>
          <w:szCs w:val="21"/>
        </w:rPr>
        <w:t>PK blood sample collection will be used for CT103A and VCN testing until the out</w:t>
      </w:r>
      <w:r w:rsidR="00EA599D">
        <w:rPr>
          <w:rFonts w:ascii="Times New Roman" w:hAnsi="Times New Roman" w:cs="Times New Roman"/>
          <w:sz w:val="21"/>
          <w:szCs w:val="21"/>
        </w:rPr>
        <w:t>-of-</w:t>
      </w:r>
      <w:r w:rsidRPr="004330CB">
        <w:rPr>
          <w:rFonts w:ascii="Times New Roman" w:hAnsi="Times New Roman" w:cs="Times New Roman"/>
          <w:sz w:val="21"/>
          <w:szCs w:val="21"/>
        </w:rPr>
        <w:t>study visit</w:t>
      </w:r>
      <w:r w:rsidRPr="004330CB" w:rsidDel="005A142D">
        <w:rPr>
          <w:rFonts w:ascii="Times New Roman" w:hAnsi="Times New Roman" w:cs="Times New Roman"/>
          <w:sz w:val="21"/>
          <w:szCs w:val="21"/>
        </w:rPr>
        <w:t xml:space="preserve"> </w:t>
      </w:r>
      <w:r w:rsidRPr="004330CB">
        <w:rPr>
          <w:rFonts w:ascii="Times New Roman" w:hAnsi="Times New Roman" w:cs="Times New Roman"/>
          <w:sz w:val="21"/>
          <w:szCs w:val="21"/>
        </w:rPr>
        <w:t xml:space="preserve">or the termination of the study, whichever occurs first. </w:t>
      </w:r>
      <w:r w:rsidR="00C81EDD">
        <w:rPr>
          <w:rFonts w:ascii="Times New Roman" w:hAnsi="Times New Roman" w:cs="Times New Roman"/>
          <w:sz w:val="21"/>
          <w:szCs w:val="21"/>
        </w:rPr>
        <w:t>C</w:t>
      </w:r>
      <w:r w:rsidR="00C81EDD" w:rsidRPr="00C81EDD">
        <w:rPr>
          <w:rFonts w:ascii="Times New Roman" w:hAnsi="Times New Roman" w:cs="Times New Roman"/>
          <w:sz w:val="21"/>
          <w:szCs w:val="21"/>
        </w:rPr>
        <w:t>omplete</w:t>
      </w:r>
      <w:r w:rsidR="00C81EDD">
        <w:rPr>
          <w:rFonts w:ascii="Times New Roman" w:hAnsi="Times New Roman" w:cs="Times New Roman"/>
          <w:sz w:val="21"/>
          <w:szCs w:val="21"/>
        </w:rPr>
        <w:t xml:space="preserve"> </w:t>
      </w:r>
      <w:r w:rsidR="00C81EDD" w:rsidRPr="00C81EDD">
        <w:rPr>
          <w:rFonts w:ascii="Times New Roman" w:hAnsi="Times New Roman" w:cs="Times New Roman"/>
          <w:sz w:val="21"/>
          <w:szCs w:val="21"/>
        </w:rPr>
        <w:t>blood count</w:t>
      </w:r>
      <w:r w:rsidR="00C81EDD">
        <w:rPr>
          <w:rFonts w:ascii="Times New Roman" w:hAnsi="Times New Roman" w:cs="Times New Roman"/>
          <w:sz w:val="21"/>
          <w:szCs w:val="21"/>
        </w:rPr>
        <w:t xml:space="preserve"> (CBC)</w:t>
      </w:r>
      <w:r w:rsidRPr="004330CB">
        <w:rPr>
          <w:rFonts w:ascii="Times New Roman" w:hAnsi="Times New Roman" w:cs="Times New Roman"/>
          <w:sz w:val="21"/>
          <w:szCs w:val="21"/>
        </w:rPr>
        <w:t xml:space="preserve"> should be performed </w:t>
      </w:r>
      <w:r w:rsidR="00EA599D">
        <w:rPr>
          <w:rFonts w:ascii="Times New Roman" w:hAnsi="Times New Roman" w:cs="Times New Roman"/>
          <w:sz w:val="21"/>
          <w:szCs w:val="21"/>
        </w:rPr>
        <w:t>simultaneously</w:t>
      </w:r>
      <w:r w:rsidRPr="004330CB">
        <w:rPr>
          <w:rFonts w:ascii="Times New Roman" w:hAnsi="Times New Roman" w:cs="Times New Roman"/>
          <w:sz w:val="21"/>
          <w:szCs w:val="21"/>
        </w:rPr>
        <w:t xml:space="preserve"> </w:t>
      </w:r>
      <w:r w:rsidR="00EA599D">
        <w:rPr>
          <w:rFonts w:ascii="Times New Roman" w:hAnsi="Times New Roman" w:cs="Times New Roman"/>
          <w:sz w:val="21"/>
          <w:szCs w:val="21"/>
        </w:rPr>
        <w:t>with</w:t>
      </w:r>
      <w:r w:rsidRPr="004330CB">
        <w:rPr>
          <w:rFonts w:ascii="Times New Roman" w:hAnsi="Times New Roman" w:cs="Times New Roman"/>
          <w:sz w:val="21"/>
          <w:szCs w:val="21"/>
        </w:rPr>
        <w:t xml:space="preserve"> PK blood collection. Results of </w:t>
      </w:r>
      <w:r w:rsidR="00C81EDD">
        <w:rPr>
          <w:rFonts w:ascii="Times New Roman" w:hAnsi="Times New Roman" w:cs="Times New Roman"/>
          <w:sz w:val="21"/>
          <w:szCs w:val="21"/>
        </w:rPr>
        <w:t>CBC</w:t>
      </w:r>
      <w:r w:rsidR="00C81EDD" w:rsidRPr="004330CB">
        <w:rPr>
          <w:rFonts w:ascii="Times New Roman" w:hAnsi="Times New Roman" w:cs="Times New Roman"/>
          <w:sz w:val="21"/>
          <w:szCs w:val="21"/>
        </w:rPr>
        <w:t xml:space="preserve"> </w:t>
      </w:r>
      <w:r w:rsidRPr="004330CB">
        <w:rPr>
          <w:rFonts w:ascii="Times New Roman" w:hAnsi="Times New Roman" w:cs="Times New Roman"/>
          <w:sz w:val="21"/>
          <w:szCs w:val="21"/>
        </w:rPr>
        <w:t xml:space="preserve">within 24 hours from PK blood collection are acceptable if </w:t>
      </w:r>
      <w:r w:rsidR="00C81EDD">
        <w:rPr>
          <w:rFonts w:ascii="Times New Roman" w:hAnsi="Times New Roman" w:cs="Times New Roman"/>
          <w:sz w:val="21"/>
          <w:szCs w:val="21"/>
        </w:rPr>
        <w:t>CBC</w:t>
      </w:r>
      <w:r w:rsidR="00C81EDD" w:rsidRPr="004330CB">
        <w:rPr>
          <w:rFonts w:ascii="Times New Roman" w:hAnsi="Times New Roman" w:cs="Times New Roman"/>
          <w:sz w:val="21"/>
          <w:szCs w:val="21"/>
        </w:rPr>
        <w:t xml:space="preserve"> </w:t>
      </w:r>
      <w:r w:rsidRPr="004330CB">
        <w:rPr>
          <w:rFonts w:ascii="Times New Roman" w:hAnsi="Times New Roman" w:cs="Times New Roman"/>
          <w:sz w:val="21"/>
          <w:szCs w:val="21"/>
        </w:rPr>
        <w:t>is not performed during the day.</w:t>
      </w:r>
    </w:p>
    <w:p w14:paraId="1BE320DB" w14:textId="23840888" w:rsidR="002640CF" w:rsidRPr="004322E6" w:rsidRDefault="002640CF" w:rsidP="0027517F">
      <w:pPr>
        <w:pStyle w:val="aff"/>
        <w:widowControl w:val="0"/>
        <w:numPr>
          <w:ilvl w:val="0"/>
          <w:numId w:val="74"/>
        </w:numPr>
        <w:spacing w:after="0" w:line="240" w:lineRule="auto"/>
        <w:contextualSpacing w:val="0"/>
        <w:jc w:val="both"/>
        <w:rPr>
          <w:rFonts w:ascii="Times New Roman" w:hAnsi="Times New Roman" w:cs="Times New Roman"/>
          <w:sz w:val="21"/>
          <w:szCs w:val="21"/>
        </w:rPr>
      </w:pPr>
      <w:r w:rsidRPr="004330CB">
        <w:rPr>
          <w:rFonts w:ascii="Times New Roman" w:hAnsi="Times New Roman" w:cs="Times New Roman"/>
          <w:sz w:val="21"/>
          <w:szCs w:val="21"/>
        </w:rPr>
        <w:t>Medications that prevent infusion reactions, such as promethazine and/or diphenhydramine hydrochloride, promethazine, and calcium gluconate, will be administered before the infusion of CAR-T cells.</w:t>
      </w:r>
    </w:p>
    <w:p w14:paraId="73702A47" w14:textId="0BD0FD96" w:rsidR="002640CF" w:rsidRPr="004330CB" w:rsidRDefault="002640CF" w:rsidP="0027517F">
      <w:pPr>
        <w:pStyle w:val="aff"/>
        <w:numPr>
          <w:ilvl w:val="0"/>
          <w:numId w:val="42"/>
        </w:numPr>
        <w:spacing w:after="0" w:line="240" w:lineRule="auto"/>
        <w:contextualSpacing w:val="0"/>
        <w:jc w:val="both"/>
        <w:rPr>
          <w:rFonts w:ascii="Times New Roman" w:hAnsi="Times New Roman" w:cs="Times New Roman"/>
          <w:sz w:val="21"/>
          <w:szCs w:val="21"/>
        </w:rPr>
      </w:pPr>
      <w:r w:rsidRPr="004330CB">
        <w:rPr>
          <w:rFonts w:ascii="Times New Roman" w:hAnsi="Times New Roman" w:cs="Times New Roman"/>
          <w:sz w:val="21"/>
          <w:szCs w:val="21"/>
        </w:rPr>
        <w:t>At least a month after CT103A infusion and platelets recovery to ≥</w:t>
      </w:r>
      <w:r w:rsidR="00EA599D">
        <w:rPr>
          <w:rFonts w:ascii="Times New Roman" w:hAnsi="Times New Roman" w:cs="Times New Roman"/>
          <w:sz w:val="21"/>
          <w:szCs w:val="21"/>
        </w:rPr>
        <w:t xml:space="preserve"> </w:t>
      </w:r>
      <w:r w:rsidRPr="004330CB">
        <w:rPr>
          <w:rFonts w:ascii="Times New Roman" w:hAnsi="Times New Roman" w:cs="Times New Roman"/>
          <w:sz w:val="21"/>
          <w:szCs w:val="21"/>
        </w:rPr>
        <w:t>50×10</w:t>
      </w:r>
      <w:r w:rsidRPr="004330CB">
        <w:rPr>
          <w:rFonts w:ascii="Times New Roman" w:hAnsi="Times New Roman" w:cs="Times New Roman"/>
          <w:sz w:val="21"/>
          <w:szCs w:val="21"/>
          <w:vertAlign w:val="superscript"/>
        </w:rPr>
        <w:t>9</w:t>
      </w:r>
      <w:r w:rsidRPr="004330CB">
        <w:rPr>
          <w:rFonts w:ascii="Times New Roman" w:hAnsi="Times New Roman" w:cs="Times New Roman"/>
          <w:sz w:val="21"/>
          <w:szCs w:val="21"/>
        </w:rPr>
        <w:t xml:space="preserve">/L, </w:t>
      </w:r>
      <w:r w:rsidR="00C81EDD">
        <w:rPr>
          <w:rFonts w:ascii="Times New Roman" w:hAnsi="Times New Roman" w:cs="Times New Roman"/>
          <w:sz w:val="21"/>
          <w:szCs w:val="21"/>
        </w:rPr>
        <w:t>S</w:t>
      </w:r>
      <w:r w:rsidR="00C81EDD" w:rsidRPr="004330CB">
        <w:rPr>
          <w:rFonts w:ascii="Times New Roman" w:hAnsi="Times New Roman" w:cs="Times New Roman"/>
          <w:sz w:val="21"/>
          <w:szCs w:val="21"/>
        </w:rPr>
        <w:t xml:space="preserve">elinexor </w:t>
      </w:r>
      <w:r w:rsidRPr="004330CB">
        <w:rPr>
          <w:rFonts w:ascii="Times New Roman" w:hAnsi="Times New Roman" w:cs="Times New Roman"/>
          <w:sz w:val="21"/>
          <w:szCs w:val="21"/>
        </w:rPr>
        <w:t xml:space="preserve">20 mg or 40 mg will be taken orally once a week for 1 year or until the disease progression or withdrawal of informed consent, death, loss of follow-up, and the termination of </w:t>
      </w:r>
      <w:r w:rsidR="00EA599D">
        <w:rPr>
          <w:rFonts w:ascii="Times New Roman" w:hAnsi="Times New Roman" w:cs="Times New Roman"/>
          <w:sz w:val="21"/>
          <w:szCs w:val="21"/>
        </w:rPr>
        <w:t xml:space="preserve">the </w:t>
      </w:r>
      <w:r w:rsidRPr="004330CB">
        <w:rPr>
          <w:rFonts w:ascii="Times New Roman" w:hAnsi="Times New Roman" w:cs="Times New Roman"/>
          <w:sz w:val="21"/>
          <w:szCs w:val="21"/>
        </w:rPr>
        <w:t>study, whichever occurs first.</w:t>
      </w:r>
    </w:p>
    <w:p w14:paraId="3112D2E4" w14:textId="33648056" w:rsidR="002640CF" w:rsidRPr="004330CB" w:rsidRDefault="002640CF" w:rsidP="0027517F">
      <w:pPr>
        <w:pStyle w:val="aff"/>
        <w:numPr>
          <w:ilvl w:val="0"/>
          <w:numId w:val="42"/>
        </w:numPr>
        <w:spacing w:after="0" w:line="240" w:lineRule="auto"/>
        <w:contextualSpacing w:val="0"/>
        <w:jc w:val="both"/>
        <w:rPr>
          <w:rFonts w:ascii="Times New Roman" w:hAnsi="Times New Roman" w:cs="Times New Roman"/>
          <w:sz w:val="21"/>
          <w:szCs w:val="21"/>
        </w:rPr>
      </w:pPr>
      <w:r w:rsidRPr="004330CB">
        <w:rPr>
          <w:rFonts w:ascii="Times New Roman" w:hAnsi="Times New Roman" w:cs="Times New Roman"/>
          <w:sz w:val="21"/>
          <w:szCs w:val="21"/>
        </w:rPr>
        <w:t xml:space="preserve">Life quality assessment is conducted at the baseline, 28d, and follow-up visits. </w:t>
      </w:r>
      <w:r w:rsidR="00EA599D">
        <w:rPr>
          <w:rFonts w:ascii="Times New Roman" w:hAnsi="Times New Roman" w:cs="Times New Roman"/>
          <w:sz w:val="21"/>
          <w:szCs w:val="21"/>
        </w:rPr>
        <w:t xml:space="preserve">The </w:t>
      </w:r>
      <w:proofErr w:type="gramStart"/>
      <w:r w:rsidR="00EA599D">
        <w:rPr>
          <w:rFonts w:ascii="Times New Roman" w:hAnsi="Times New Roman" w:cs="Times New Roman"/>
          <w:sz w:val="21"/>
          <w:szCs w:val="21"/>
        </w:rPr>
        <w:t>q</w:t>
      </w:r>
      <w:r w:rsidRPr="004330CB">
        <w:rPr>
          <w:rFonts w:ascii="Times New Roman" w:hAnsi="Times New Roman" w:cs="Times New Roman"/>
          <w:sz w:val="21"/>
          <w:szCs w:val="21"/>
        </w:rPr>
        <w:t>uality of Life</w:t>
      </w:r>
      <w:proofErr w:type="gramEnd"/>
      <w:r w:rsidRPr="004330CB">
        <w:rPr>
          <w:rFonts w:ascii="Times New Roman" w:hAnsi="Times New Roman" w:cs="Times New Roman"/>
          <w:sz w:val="21"/>
          <w:szCs w:val="21"/>
        </w:rPr>
        <w:t xml:space="preserve"> Questionnaire (EORTC-QLQ-C30) of the European </w:t>
      </w:r>
      <w:proofErr w:type="spellStart"/>
      <w:r w:rsidRPr="004330CB">
        <w:rPr>
          <w:rFonts w:ascii="Times New Roman" w:hAnsi="Times New Roman" w:cs="Times New Roman"/>
          <w:sz w:val="21"/>
          <w:szCs w:val="21"/>
        </w:rPr>
        <w:t>Organisation</w:t>
      </w:r>
      <w:proofErr w:type="spellEnd"/>
      <w:r w:rsidRPr="004330CB">
        <w:rPr>
          <w:rFonts w:ascii="Times New Roman" w:hAnsi="Times New Roman" w:cs="Times New Roman"/>
          <w:sz w:val="21"/>
          <w:szCs w:val="21"/>
        </w:rPr>
        <w:t xml:space="preserve"> for Research and Treatment of Cancer will be used to evaluate patients’ health-related life quality. The European Quality of Life Multiple Myeloma Module (EORTC-QLQ-MY20) will be used to evaluate myeloma-related life quality until the withdrawal of informed consent, death, loss of follow-up, and the termination of the study, whichever occurs first.</w:t>
      </w:r>
    </w:p>
    <w:p w14:paraId="3A313A4A" w14:textId="20169E2D" w:rsidR="002640CF" w:rsidRPr="004330CB" w:rsidRDefault="002640CF" w:rsidP="0027517F">
      <w:pPr>
        <w:pStyle w:val="aff"/>
        <w:numPr>
          <w:ilvl w:val="0"/>
          <w:numId w:val="42"/>
        </w:numPr>
        <w:spacing w:after="0" w:line="240" w:lineRule="auto"/>
        <w:contextualSpacing w:val="0"/>
        <w:jc w:val="both"/>
        <w:rPr>
          <w:rFonts w:ascii="Times New Roman" w:hAnsi="Times New Roman" w:cs="Times New Roman"/>
          <w:sz w:val="21"/>
          <w:szCs w:val="21"/>
        </w:rPr>
      </w:pPr>
      <w:r w:rsidRPr="004330CB">
        <w:rPr>
          <w:rFonts w:ascii="Times New Roman" w:hAnsi="Times New Roman" w:cs="Times New Roman"/>
          <w:sz w:val="21"/>
          <w:szCs w:val="21"/>
        </w:rPr>
        <w:t xml:space="preserve">AEs should be recorded from the start of lymphodepletion conditioning. AEs should be collected until </w:t>
      </w:r>
      <w:r w:rsidR="00EA599D">
        <w:rPr>
          <w:rFonts w:ascii="Times New Roman" w:hAnsi="Times New Roman" w:cs="Times New Roman"/>
          <w:sz w:val="21"/>
          <w:szCs w:val="21"/>
        </w:rPr>
        <w:t>one</w:t>
      </w:r>
      <w:r w:rsidRPr="004330CB">
        <w:rPr>
          <w:rFonts w:ascii="Times New Roman" w:hAnsi="Times New Roman" w:cs="Times New Roman"/>
          <w:sz w:val="21"/>
          <w:szCs w:val="21"/>
        </w:rPr>
        <w:t xml:space="preserve"> year after CT103A cell infusion (if PFS ≥12 months) or </w:t>
      </w:r>
      <w:bookmarkStart w:id="113" w:name="_Hlk111814723"/>
      <w:r w:rsidRPr="004330CB">
        <w:rPr>
          <w:rFonts w:ascii="Times New Roman" w:hAnsi="Times New Roman" w:cs="Times New Roman"/>
          <w:color w:val="000000"/>
          <w:sz w:val="21"/>
          <w:szCs w:val="21"/>
        </w:rPr>
        <w:t>at the out</w:t>
      </w:r>
      <w:r w:rsidR="00EA599D">
        <w:rPr>
          <w:rFonts w:ascii="Times New Roman" w:hAnsi="Times New Roman" w:cs="Times New Roman"/>
          <w:color w:val="000000"/>
          <w:sz w:val="21"/>
          <w:szCs w:val="21"/>
        </w:rPr>
        <w:t>-of-</w:t>
      </w:r>
      <w:r w:rsidRPr="004330CB">
        <w:rPr>
          <w:rFonts w:ascii="Times New Roman" w:hAnsi="Times New Roman" w:cs="Times New Roman"/>
          <w:color w:val="000000"/>
          <w:sz w:val="21"/>
          <w:szCs w:val="21"/>
        </w:rPr>
        <w:t>study visit</w:t>
      </w:r>
      <w:bookmarkEnd w:id="113"/>
      <w:r w:rsidRPr="004330CB">
        <w:rPr>
          <w:rFonts w:ascii="Times New Roman" w:hAnsi="Times New Roman" w:cs="Times New Roman"/>
          <w:sz w:val="21"/>
          <w:szCs w:val="21"/>
        </w:rPr>
        <w:t xml:space="preserve"> (12 months </w:t>
      </w:r>
      <w:r w:rsidR="00F458B7">
        <w:rPr>
          <w:rFonts w:ascii="Times New Roman" w:hAnsi="Times New Roman" w:cs="Times New Roman"/>
          <w:sz w:val="21"/>
          <w:szCs w:val="21"/>
        </w:rPr>
        <w:t>&gt;</w:t>
      </w:r>
      <w:r w:rsidR="00EA599D">
        <w:rPr>
          <w:rFonts w:ascii="Times New Roman" w:hAnsi="Times New Roman" w:cs="Times New Roman"/>
          <w:sz w:val="21"/>
          <w:szCs w:val="21"/>
        </w:rPr>
        <w:t xml:space="preserve"> </w:t>
      </w:r>
      <w:r w:rsidRPr="004330CB">
        <w:rPr>
          <w:rFonts w:ascii="Times New Roman" w:hAnsi="Times New Roman" w:cs="Times New Roman"/>
          <w:sz w:val="21"/>
          <w:szCs w:val="21"/>
        </w:rPr>
        <w:t>PFS ≥</w:t>
      </w:r>
      <w:r w:rsidR="00EA599D">
        <w:rPr>
          <w:rFonts w:ascii="Times New Roman" w:hAnsi="Times New Roman" w:cs="Times New Roman"/>
          <w:sz w:val="21"/>
          <w:szCs w:val="21"/>
        </w:rPr>
        <w:t xml:space="preserve"> </w:t>
      </w:r>
      <w:r w:rsidRPr="004330CB">
        <w:rPr>
          <w:rFonts w:ascii="Times New Roman" w:hAnsi="Times New Roman" w:cs="Times New Roman"/>
          <w:sz w:val="21"/>
          <w:szCs w:val="21"/>
        </w:rPr>
        <w:t xml:space="preserve">3 months), </w:t>
      </w:r>
      <w:r w:rsidRPr="004330CB">
        <w:rPr>
          <w:rFonts w:ascii="Times New Roman" w:hAnsi="Times New Roman" w:cs="Times New Roman"/>
          <w:color w:val="000000"/>
          <w:sz w:val="21"/>
          <w:szCs w:val="21"/>
        </w:rPr>
        <w:t xml:space="preserve">and if disease progression occurs within </w:t>
      </w:r>
      <w:r w:rsidR="00EA599D">
        <w:rPr>
          <w:rFonts w:ascii="Times New Roman" w:hAnsi="Times New Roman" w:cs="Times New Roman"/>
          <w:color w:val="000000"/>
          <w:sz w:val="21"/>
          <w:szCs w:val="21"/>
        </w:rPr>
        <w:t>three</w:t>
      </w:r>
      <w:r w:rsidRPr="004330CB">
        <w:rPr>
          <w:rFonts w:ascii="Times New Roman" w:hAnsi="Times New Roman" w:cs="Times New Roman"/>
          <w:color w:val="000000"/>
          <w:sz w:val="21"/>
          <w:szCs w:val="21"/>
        </w:rPr>
        <w:t xml:space="preserve"> months after CT103A cell infusion, AEs are collected for up to 3 months after cell infusion, under </w:t>
      </w:r>
      <w:r w:rsidRPr="004330CB">
        <w:rPr>
          <w:rFonts w:ascii="Times New Roman" w:hAnsi="Times New Roman" w:cs="Times New Roman" w:hint="eastAsia"/>
          <w:color w:val="000000"/>
          <w:sz w:val="21"/>
          <w:szCs w:val="21"/>
        </w:rPr>
        <w:t>the</w:t>
      </w:r>
      <w:r w:rsidRPr="004330CB">
        <w:rPr>
          <w:rFonts w:ascii="Times New Roman" w:hAnsi="Times New Roman" w:cs="Times New Roman"/>
          <w:color w:val="000000"/>
          <w:sz w:val="21"/>
          <w:szCs w:val="21"/>
        </w:rPr>
        <w:t xml:space="preserve"> patient</w:t>
      </w:r>
      <w:r w:rsidR="00EA599D" w:rsidRPr="004330CB">
        <w:rPr>
          <w:rFonts w:ascii="Times New Roman" w:hAnsi="Times New Roman" w:cs="Times New Roman"/>
          <w:color w:val="000000"/>
          <w:sz w:val="21"/>
          <w:szCs w:val="21"/>
        </w:rPr>
        <w:t>s</w:t>
      </w:r>
      <w:r w:rsidRPr="004330CB">
        <w:rPr>
          <w:rFonts w:ascii="Times New Roman" w:hAnsi="Times New Roman" w:cs="Times New Roman"/>
          <w:color w:val="000000"/>
          <w:sz w:val="21"/>
          <w:szCs w:val="21"/>
        </w:rPr>
        <w:t>’ cooperation.</w:t>
      </w:r>
    </w:p>
    <w:p w14:paraId="0D95EAF9" w14:textId="05F12979" w:rsidR="002640CF" w:rsidRPr="004330CB" w:rsidRDefault="002640CF" w:rsidP="0027517F">
      <w:pPr>
        <w:pStyle w:val="aff"/>
        <w:numPr>
          <w:ilvl w:val="0"/>
          <w:numId w:val="42"/>
        </w:numPr>
        <w:spacing w:after="0" w:line="240" w:lineRule="auto"/>
        <w:contextualSpacing w:val="0"/>
        <w:jc w:val="both"/>
        <w:rPr>
          <w:rFonts w:ascii="Times New Roman" w:hAnsi="Times New Roman" w:cs="Times New Roman"/>
          <w:sz w:val="21"/>
          <w:szCs w:val="21"/>
        </w:rPr>
      </w:pPr>
      <w:r w:rsidRPr="004330CB">
        <w:rPr>
          <w:rFonts w:ascii="Times New Roman" w:hAnsi="Times New Roman" w:cs="Times New Roman"/>
          <w:sz w:val="21"/>
          <w:szCs w:val="21"/>
        </w:rPr>
        <w:t xml:space="preserve">SAEs should be reported from the signing </w:t>
      </w:r>
      <w:r w:rsidR="00EA599D">
        <w:rPr>
          <w:rFonts w:ascii="Times New Roman" w:hAnsi="Times New Roman" w:cs="Times New Roman"/>
          <w:sz w:val="21"/>
          <w:szCs w:val="21"/>
        </w:rPr>
        <w:t xml:space="preserve">of </w:t>
      </w:r>
      <w:r w:rsidRPr="004330CB">
        <w:rPr>
          <w:rFonts w:ascii="Times New Roman" w:hAnsi="Times New Roman" w:cs="Times New Roman"/>
          <w:sz w:val="21"/>
          <w:szCs w:val="21"/>
        </w:rPr>
        <w:t xml:space="preserve">the ICF. </w:t>
      </w:r>
    </w:p>
    <w:p w14:paraId="3BE41F2A" w14:textId="784BFBEE" w:rsidR="002640CF" w:rsidRPr="004330CB" w:rsidRDefault="002640CF" w:rsidP="0027517F">
      <w:pPr>
        <w:pStyle w:val="aff"/>
        <w:widowControl w:val="0"/>
        <w:spacing w:after="0" w:line="240" w:lineRule="auto"/>
        <w:ind w:left="360"/>
        <w:contextualSpacing w:val="0"/>
        <w:jc w:val="both"/>
        <w:rPr>
          <w:rFonts w:ascii="Times New Roman" w:hAnsi="Times New Roman" w:cs="Times New Roman"/>
          <w:bCs/>
          <w:sz w:val="21"/>
          <w:szCs w:val="21"/>
        </w:rPr>
      </w:pPr>
      <w:r w:rsidRPr="004330CB">
        <w:rPr>
          <w:rFonts w:ascii="Times New Roman" w:hAnsi="Times New Roman" w:cs="Times New Roman"/>
          <w:sz w:val="21"/>
          <w:szCs w:val="21"/>
        </w:rPr>
        <w:t>Medication and non-medication treatment should be recorded as concomitant treatments from signing the ICF. SAE should be collected until 1 year after CT103A cells infusion (if PFS</w:t>
      </w:r>
      <w:r w:rsidR="00F458B7">
        <w:rPr>
          <w:rFonts w:ascii="Times New Roman" w:hAnsi="Times New Roman" w:cs="Times New Roman"/>
          <w:sz w:val="21"/>
          <w:szCs w:val="21"/>
        </w:rPr>
        <w:t>≥</w:t>
      </w:r>
      <w:r w:rsidRPr="004330CB">
        <w:rPr>
          <w:rFonts w:ascii="Times New Roman" w:hAnsi="Times New Roman" w:cs="Times New Roman"/>
          <w:sz w:val="21"/>
          <w:szCs w:val="21"/>
        </w:rPr>
        <w:t>12 months) or at the out</w:t>
      </w:r>
      <w:r w:rsidR="00EA599D">
        <w:rPr>
          <w:rFonts w:ascii="Times New Roman" w:hAnsi="Times New Roman" w:cs="Times New Roman"/>
          <w:sz w:val="21"/>
          <w:szCs w:val="21"/>
        </w:rPr>
        <w:t>-of-</w:t>
      </w:r>
      <w:r w:rsidRPr="004330CB">
        <w:rPr>
          <w:rFonts w:ascii="Times New Roman" w:hAnsi="Times New Roman" w:cs="Times New Roman"/>
          <w:sz w:val="21"/>
          <w:szCs w:val="21"/>
        </w:rPr>
        <w:t xml:space="preserve">study visit (12 months </w:t>
      </w:r>
      <w:r w:rsidR="00F458B7">
        <w:rPr>
          <w:rFonts w:ascii="Times New Roman" w:hAnsi="Times New Roman" w:cs="Times New Roman"/>
          <w:sz w:val="21"/>
          <w:szCs w:val="21"/>
        </w:rPr>
        <w:t>&gt;</w:t>
      </w:r>
      <w:r w:rsidR="00EA599D">
        <w:rPr>
          <w:rFonts w:ascii="Times New Roman" w:hAnsi="Times New Roman" w:cs="Times New Roman"/>
          <w:sz w:val="21"/>
          <w:szCs w:val="21"/>
        </w:rPr>
        <w:t xml:space="preserve"> </w:t>
      </w:r>
      <w:r w:rsidRPr="004330CB">
        <w:rPr>
          <w:rFonts w:ascii="Times New Roman" w:hAnsi="Times New Roman" w:cs="Times New Roman"/>
          <w:sz w:val="21"/>
          <w:szCs w:val="21"/>
        </w:rPr>
        <w:t>PFS ≥</w:t>
      </w:r>
      <w:r w:rsidR="00EA599D">
        <w:rPr>
          <w:rFonts w:ascii="Times New Roman" w:hAnsi="Times New Roman" w:cs="Times New Roman"/>
          <w:sz w:val="21"/>
          <w:szCs w:val="21"/>
        </w:rPr>
        <w:t xml:space="preserve"> </w:t>
      </w:r>
      <w:r w:rsidRPr="004330CB">
        <w:rPr>
          <w:rFonts w:ascii="Times New Roman" w:hAnsi="Times New Roman" w:cs="Times New Roman"/>
          <w:sz w:val="21"/>
          <w:szCs w:val="21"/>
        </w:rPr>
        <w:t xml:space="preserve">3 months). SAE should be collected for up to 3 months after cells infusion under the patient’s cooperation if the disease progression occurs within </w:t>
      </w:r>
      <w:r w:rsidR="00EA599D">
        <w:rPr>
          <w:rFonts w:ascii="Times New Roman" w:hAnsi="Times New Roman" w:cs="Times New Roman"/>
          <w:sz w:val="21"/>
          <w:szCs w:val="21"/>
        </w:rPr>
        <w:t>three</w:t>
      </w:r>
      <w:r w:rsidRPr="004330CB">
        <w:rPr>
          <w:rFonts w:ascii="Times New Roman" w:hAnsi="Times New Roman" w:cs="Times New Roman"/>
          <w:sz w:val="21"/>
          <w:szCs w:val="21"/>
        </w:rPr>
        <w:t xml:space="preserve"> months after CT103A cell infusion</w:t>
      </w:r>
    </w:p>
    <w:p w14:paraId="35CD3C66" w14:textId="79ADD07A" w:rsidR="008C20A2" w:rsidRDefault="008C20A2" w:rsidP="0027517F">
      <w:pPr>
        <w:pStyle w:val="BodyText-12pt"/>
        <w:jc w:val="both"/>
      </w:pPr>
    </w:p>
    <w:p w14:paraId="0FB8D148" w14:textId="77777777" w:rsidR="008C20A2" w:rsidRDefault="008C20A2" w:rsidP="0027517F">
      <w:pPr>
        <w:pStyle w:val="BodyText-12pt"/>
        <w:jc w:val="both"/>
      </w:pPr>
    </w:p>
    <w:p w14:paraId="6EC80B16" w14:textId="3F214BD0" w:rsidR="008C20A2" w:rsidRPr="00C820E8" w:rsidRDefault="008C20A2" w:rsidP="0027517F">
      <w:pPr>
        <w:pStyle w:val="BodyText-12pt"/>
        <w:jc w:val="both"/>
        <w:sectPr w:rsidR="008C20A2" w:rsidRPr="00C820E8" w:rsidSect="000326DD">
          <w:footerReference w:type="default" r:id="rId16"/>
          <w:pgSz w:w="15840" w:h="12240" w:orient="landscape" w:code="1"/>
          <w:pgMar w:top="1440" w:right="1440" w:bottom="1440" w:left="1440" w:header="720" w:footer="720" w:gutter="0"/>
          <w:cols w:space="720"/>
          <w:docGrid w:linePitch="326"/>
        </w:sectPr>
      </w:pPr>
    </w:p>
    <w:p w14:paraId="5B8D00BC" w14:textId="3496E223" w:rsidR="004D54F2" w:rsidRPr="004D54F2" w:rsidRDefault="004D54F2" w:rsidP="0027517F">
      <w:pPr>
        <w:pStyle w:val="20"/>
        <w:jc w:val="both"/>
        <w:rPr>
          <w:lang w:val="en"/>
        </w:rPr>
      </w:pPr>
      <w:bookmarkStart w:id="114" w:name="_Toc112064861"/>
      <w:bookmarkStart w:id="115" w:name="_Ref508708847"/>
      <w:bookmarkStart w:id="116" w:name="_Ref100830554"/>
      <w:bookmarkStart w:id="117" w:name="_Ref100830668"/>
      <w:r>
        <w:rPr>
          <w:lang w:val="en"/>
        </w:rPr>
        <w:lastRenderedPageBreak/>
        <w:t>Screening and Enrollment Period (</w:t>
      </w:r>
      <w:r w:rsidR="003857EE">
        <w:rPr>
          <w:lang w:val="en"/>
        </w:rPr>
        <w:t xml:space="preserve">day </w:t>
      </w:r>
      <w:r>
        <w:rPr>
          <w:lang w:val="en"/>
        </w:rPr>
        <w:t>-</w:t>
      </w:r>
      <w:r w:rsidR="003857EE">
        <w:rPr>
          <w:lang w:val="en"/>
        </w:rPr>
        <w:t>56</w:t>
      </w:r>
      <w:r>
        <w:rPr>
          <w:lang w:val="en"/>
        </w:rPr>
        <w:t xml:space="preserve"> to</w:t>
      </w:r>
      <w:r w:rsidR="003857EE">
        <w:rPr>
          <w:lang w:val="en"/>
        </w:rPr>
        <w:t xml:space="preserve"> day </w:t>
      </w:r>
      <w:r>
        <w:rPr>
          <w:lang w:val="en"/>
        </w:rPr>
        <w:t>-18)</w:t>
      </w:r>
      <w:bookmarkEnd w:id="114"/>
    </w:p>
    <w:p w14:paraId="4B621FE9" w14:textId="5D2383A4" w:rsidR="004D54F2" w:rsidRDefault="004D54F2" w:rsidP="0027517F">
      <w:pPr>
        <w:pStyle w:val="30"/>
        <w:jc w:val="both"/>
        <w:rPr>
          <w:rFonts w:eastAsia="宋体"/>
        </w:rPr>
      </w:pPr>
      <w:bookmarkStart w:id="118" w:name="_Toc112064862"/>
      <w:r>
        <w:t>Screening Period</w:t>
      </w:r>
      <w:bookmarkEnd w:id="118"/>
    </w:p>
    <w:p w14:paraId="0E6F11E7" w14:textId="14B459C8" w:rsidR="004D54F2" w:rsidRPr="00857C4A" w:rsidRDefault="004D54F2" w:rsidP="0027517F">
      <w:p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857C4A">
        <w:rPr>
          <w:color w:val="000000"/>
        </w:rPr>
        <w:t>The following information/assessment results will be collected during the screening:</w:t>
      </w:r>
    </w:p>
    <w:p w14:paraId="550C3909" w14:textId="220C13E7" w:rsidR="006B7A16" w:rsidRDefault="004D54F2" w:rsidP="0027517F">
      <w:pPr>
        <w:pStyle w:val="aff"/>
        <w:numPr>
          <w:ilvl w:val="3"/>
          <w:numId w:val="42"/>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57C4A">
        <w:rPr>
          <w:rFonts w:ascii="Times New Roman" w:hAnsi="Times New Roman" w:cs="Times New Roman"/>
          <w:color w:val="000000"/>
          <w:sz w:val="24"/>
          <w:szCs w:val="24"/>
        </w:rPr>
        <w:t xml:space="preserve">Sign the informed </w:t>
      </w:r>
      <w:r w:rsidR="00F076D5" w:rsidRPr="00857C4A">
        <w:rPr>
          <w:rFonts w:ascii="Times New Roman" w:hAnsi="Times New Roman" w:cs="Times New Roman"/>
          <w:color w:val="000000"/>
          <w:sz w:val="24"/>
          <w:szCs w:val="24"/>
        </w:rPr>
        <w:t>consent.</w:t>
      </w:r>
    </w:p>
    <w:p w14:paraId="0547780A" w14:textId="44644B93" w:rsidR="004D54F2" w:rsidRPr="006B7A16" w:rsidRDefault="004D54F2" w:rsidP="0027517F">
      <w:pPr>
        <w:pStyle w:val="aff"/>
        <w:numPr>
          <w:ilvl w:val="3"/>
          <w:numId w:val="42"/>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eastAsia="宋体" w:hAnsi="Times New Roman" w:cs="Times New Roman"/>
          <w:color w:val="000000"/>
          <w:sz w:val="24"/>
          <w:szCs w:val="24"/>
        </w:rPr>
      </w:pPr>
      <w:r w:rsidRPr="006B7A16">
        <w:rPr>
          <w:rFonts w:ascii="Times New Roman" w:hAnsi="Times New Roman" w:cs="Times New Roman"/>
          <w:color w:val="000000"/>
          <w:sz w:val="24"/>
          <w:szCs w:val="24"/>
        </w:rPr>
        <w:t xml:space="preserve">Review the inclusion/exclusion </w:t>
      </w:r>
      <w:r w:rsidR="00F076D5" w:rsidRPr="006B7A16">
        <w:rPr>
          <w:rFonts w:ascii="Times New Roman" w:hAnsi="Times New Roman" w:cs="Times New Roman"/>
          <w:color w:val="000000"/>
          <w:sz w:val="24"/>
          <w:szCs w:val="24"/>
        </w:rPr>
        <w:t>criteria.</w:t>
      </w:r>
    </w:p>
    <w:p w14:paraId="21D4CD35" w14:textId="051B6B1D" w:rsidR="004D54F2" w:rsidRPr="00857C4A" w:rsidRDefault="004D54F2" w:rsidP="0027517F">
      <w:pPr>
        <w:pStyle w:val="aff"/>
        <w:numPr>
          <w:ilvl w:val="3"/>
          <w:numId w:val="42"/>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57C4A">
        <w:rPr>
          <w:rFonts w:ascii="Times New Roman" w:hAnsi="Times New Roman" w:cs="Times New Roman"/>
          <w:color w:val="000000"/>
          <w:sz w:val="24"/>
          <w:szCs w:val="24"/>
        </w:rPr>
        <w:t>Collect the demographic information (including date of birth, gender, race, etc</w:t>
      </w:r>
      <w:r w:rsidR="00EA599D">
        <w:rPr>
          <w:rFonts w:ascii="Times New Roman" w:hAnsi="Times New Roman" w:cs="Times New Roman"/>
          <w:color w:val="000000"/>
          <w:sz w:val="24"/>
          <w:szCs w:val="24"/>
        </w:rPr>
        <w:t>.</w:t>
      </w:r>
      <w:r w:rsidRPr="00857C4A">
        <w:rPr>
          <w:rFonts w:ascii="Times New Roman" w:hAnsi="Times New Roman" w:cs="Times New Roman"/>
          <w:color w:val="000000"/>
          <w:sz w:val="24"/>
          <w:szCs w:val="24"/>
        </w:rPr>
        <w:t xml:space="preserve">); record the prior medical history, concomitant diseases, and prior treatment: past medical history includes a review of </w:t>
      </w:r>
      <w:r w:rsidR="00EA599D">
        <w:rPr>
          <w:rFonts w:ascii="Times New Roman" w:hAnsi="Times New Roman" w:cs="Times New Roman"/>
          <w:color w:val="000000"/>
          <w:sz w:val="24"/>
          <w:szCs w:val="24"/>
        </w:rPr>
        <w:t xml:space="preserve">the </w:t>
      </w:r>
      <w:r w:rsidRPr="00857C4A">
        <w:rPr>
          <w:rFonts w:ascii="Times New Roman" w:hAnsi="Times New Roman" w:cs="Times New Roman"/>
          <w:color w:val="000000"/>
          <w:sz w:val="24"/>
          <w:szCs w:val="24"/>
        </w:rPr>
        <w:t>medical history of cardiovascular, pulmonary, gastrointestinal, and liver disease, including the related surgy; a detailed history of MM to be collected in the history section of tumor diagnosis and treatment, including but not limited to:</w:t>
      </w:r>
    </w:p>
    <w:p w14:paraId="7BD13F38" w14:textId="48C9A2C9" w:rsidR="004D54F2" w:rsidRPr="00857C4A" w:rsidRDefault="004D54F2" w:rsidP="0027517F">
      <w:pPr>
        <w:pStyle w:val="Bullet1"/>
        <w:jc w:val="both"/>
      </w:pPr>
      <w:r w:rsidRPr="00857C4A">
        <w:t xml:space="preserve">Diagnosis, classification and staging, and </w:t>
      </w:r>
      <w:r w:rsidR="0032109D">
        <w:t>hazard level classification</w:t>
      </w:r>
      <w:r w:rsidRPr="00857C4A">
        <w:t xml:space="preserve"> at initial diagnosis and screening.</w:t>
      </w:r>
    </w:p>
    <w:p w14:paraId="257346CC" w14:textId="6B0A9B09" w:rsidR="004D54F2" w:rsidRPr="00857C4A" w:rsidRDefault="004D54F2" w:rsidP="0027517F">
      <w:pPr>
        <w:pStyle w:val="Bullet1"/>
        <w:jc w:val="both"/>
      </w:pPr>
      <w:r w:rsidRPr="00857C4A">
        <w:t>Previous anti-tumor medication (including treatment plan, medication name, start and end dates of each medication, reasons for treatment, reasons for discontinuation of each drug, and the best efficacy of each regimen).</w:t>
      </w:r>
    </w:p>
    <w:p w14:paraId="526FD8E6" w14:textId="07E8EA31" w:rsidR="004D54F2" w:rsidRPr="00857C4A" w:rsidRDefault="004D54F2" w:rsidP="0027517F">
      <w:pPr>
        <w:pStyle w:val="Bullet1"/>
        <w:jc w:val="both"/>
      </w:pPr>
      <w:r w:rsidRPr="00857C4A">
        <w:t xml:space="preserve">Tumor-related radiotherapy (including body parts, total dose, units, start and end dates, </w:t>
      </w:r>
      <w:r w:rsidR="00EA599D">
        <w:t xml:space="preserve">the </w:t>
      </w:r>
      <w:r w:rsidRPr="00857C4A">
        <w:t>reason for treatment, optimal efficacy obtained, and the date of progression in the radiation region at or after the treatment).</w:t>
      </w:r>
    </w:p>
    <w:p w14:paraId="27E0D2C3" w14:textId="0F6F6F2F" w:rsidR="004D54F2" w:rsidRPr="00857C4A" w:rsidRDefault="004D54F2" w:rsidP="0027517F">
      <w:pPr>
        <w:pStyle w:val="Bullet1"/>
        <w:jc w:val="both"/>
      </w:pPr>
      <w:r w:rsidRPr="00857C4A">
        <w:t>Symptoms and signs before medication, including the progression of the medical history.</w:t>
      </w:r>
    </w:p>
    <w:p w14:paraId="77024932" w14:textId="56B42B41" w:rsidR="004D54F2" w:rsidRPr="00857C4A" w:rsidRDefault="004D54F2" w:rsidP="0027517F">
      <w:pPr>
        <w:pStyle w:val="aff"/>
        <w:numPr>
          <w:ilvl w:val="3"/>
          <w:numId w:val="42"/>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57C4A">
        <w:rPr>
          <w:rFonts w:ascii="Times New Roman" w:hAnsi="Times New Roman" w:cs="Times New Roman"/>
          <w:color w:val="000000"/>
          <w:sz w:val="24"/>
          <w:szCs w:val="24"/>
        </w:rPr>
        <w:t xml:space="preserve">Body height/weight/body surface </w:t>
      </w:r>
      <w:r w:rsidR="00F076D5" w:rsidRPr="00857C4A">
        <w:rPr>
          <w:rFonts w:ascii="Times New Roman" w:hAnsi="Times New Roman" w:cs="Times New Roman"/>
          <w:color w:val="000000"/>
          <w:sz w:val="24"/>
          <w:szCs w:val="24"/>
        </w:rPr>
        <w:t>area.</w:t>
      </w:r>
    </w:p>
    <w:p w14:paraId="2DBEF282" w14:textId="58EC492F" w:rsidR="004D54F2" w:rsidRPr="00857C4A" w:rsidRDefault="004D54F2" w:rsidP="0027517F">
      <w:pPr>
        <w:pStyle w:val="aff"/>
        <w:numPr>
          <w:ilvl w:val="3"/>
          <w:numId w:val="42"/>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57C4A">
        <w:rPr>
          <w:rFonts w:ascii="Times New Roman" w:hAnsi="Times New Roman" w:cs="Times New Roman"/>
          <w:color w:val="000000"/>
          <w:sz w:val="24"/>
          <w:szCs w:val="24"/>
        </w:rPr>
        <w:t xml:space="preserve">Physical </w:t>
      </w:r>
      <w:r w:rsidR="00F076D5" w:rsidRPr="00857C4A">
        <w:rPr>
          <w:rFonts w:ascii="Times New Roman" w:hAnsi="Times New Roman" w:cs="Times New Roman"/>
          <w:color w:val="000000"/>
          <w:sz w:val="24"/>
          <w:szCs w:val="24"/>
        </w:rPr>
        <w:t>examination.</w:t>
      </w:r>
    </w:p>
    <w:p w14:paraId="116A3C12" w14:textId="7A76D614" w:rsidR="004D54F2" w:rsidRPr="00857C4A" w:rsidRDefault="004D54F2" w:rsidP="0027517F">
      <w:pPr>
        <w:pStyle w:val="aff"/>
        <w:numPr>
          <w:ilvl w:val="3"/>
          <w:numId w:val="42"/>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57C4A">
        <w:rPr>
          <w:rFonts w:ascii="Times New Roman" w:hAnsi="Times New Roman" w:cs="Times New Roman"/>
          <w:color w:val="000000"/>
          <w:sz w:val="24"/>
          <w:szCs w:val="24"/>
        </w:rPr>
        <w:t>Vital signs: include heart rate, blood pressure, and respiratory rate</w:t>
      </w:r>
      <w:r w:rsidR="00EA599D">
        <w:rPr>
          <w:rFonts w:ascii="Times New Roman" w:hAnsi="Times New Roman" w:cs="Times New Roman"/>
          <w:color w:val="000000"/>
          <w:sz w:val="24"/>
          <w:szCs w:val="24"/>
        </w:rPr>
        <w:t>,</w:t>
      </w:r>
      <w:r w:rsidRPr="00857C4A">
        <w:rPr>
          <w:rFonts w:ascii="Times New Roman" w:hAnsi="Times New Roman" w:cs="Times New Roman"/>
          <w:color w:val="000000"/>
          <w:sz w:val="24"/>
          <w:szCs w:val="24"/>
        </w:rPr>
        <w:t xml:space="preserve"> which should be measured after the patient has rested for at least 5 minutes</w:t>
      </w:r>
      <w:r w:rsidR="00EA599D">
        <w:rPr>
          <w:rFonts w:ascii="Times New Roman" w:hAnsi="Times New Roman" w:cs="Times New Roman"/>
          <w:color w:val="000000"/>
          <w:sz w:val="24"/>
          <w:szCs w:val="24"/>
        </w:rPr>
        <w:t>, a</w:t>
      </w:r>
      <w:r w:rsidRPr="00857C4A">
        <w:rPr>
          <w:rFonts w:ascii="Times New Roman" w:hAnsi="Times New Roman" w:cs="Times New Roman"/>
          <w:color w:val="000000"/>
          <w:sz w:val="24"/>
          <w:szCs w:val="24"/>
        </w:rPr>
        <w:t xml:space="preserve">xillary temperature, which is measured at least for more than 5 minutes; ECOG score. Subsequent visits should be conducted according to this </w:t>
      </w:r>
      <w:r w:rsidR="00F076D5" w:rsidRPr="00857C4A">
        <w:rPr>
          <w:rFonts w:ascii="Times New Roman" w:hAnsi="Times New Roman" w:cs="Times New Roman"/>
          <w:color w:val="000000"/>
          <w:sz w:val="24"/>
          <w:szCs w:val="24"/>
        </w:rPr>
        <w:t>process.</w:t>
      </w:r>
    </w:p>
    <w:p w14:paraId="338F4606" w14:textId="20CE5A9F" w:rsidR="004D54F2" w:rsidRPr="00857C4A" w:rsidRDefault="004D54F2" w:rsidP="0027517F">
      <w:pPr>
        <w:pStyle w:val="aff"/>
        <w:numPr>
          <w:ilvl w:val="3"/>
          <w:numId w:val="42"/>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57C4A">
        <w:rPr>
          <w:rFonts w:ascii="Times New Roman" w:hAnsi="Times New Roman" w:cs="Times New Roman"/>
          <w:color w:val="000000"/>
          <w:sz w:val="24"/>
          <w:szCs w:val="24"/>
        </w:rPr>
        <w:t xml:space="preserve">Echocardiogram </w:t>
      </w:r>
      <w:r w:rsidR="00F076D5" w:rsidRPr="00857C4A">
        <w:rPr>
          <w:rFonts w:ascii="Times New Roman" w:hAnsi="Times New Roman" w:cs="Times New Roman"/>
          <w:color w:val="000000"/>
          <w:sz w:val="24"/>
          <w:szCs w:val="24"/>
        </w:rPr>
        <w:t>examination.</w:t>
      </w:r>
    </w:p>
    <w:p w14:paraId="1A7E1299" w14:textId="67DDEE53" w:rsidR="004D54F2" w:rsidRPr="00857C4A" w:rsidRDefault="004D54F2" w:rsidP="0027517F">
      <w:pPr>
        <w:pStyle w:val="aff"/>
        <w:numPr>
          <w:ilvl w:val="3"/>
          <w:numId w:val="42"/>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57C4A">
        <w:rPr>
          <w:rFonts w:ascii="Times New Roman" w:hAnsi="Times New Roman" w:cs="Times New Roman"/>
          <w:color w:val="000000"/>
          <w:sz w:val="24"/>
          <w:szCs w:val="24"/>
        </w:rPr>
        <w:t>12-lead electrocardiogram</w:t>
      </w:r>
      <w:r w:rsidR="0048556E">
        <w:rPr>
          <w:rFonts w:ascii="Times New Roman" w:hAnsi="Times New Roman" w:cs="Times New Roman"/>
          <w:color w:val="000000"/>
          <w:sz w:val="24"/>
          <w:szCs w:val="24"/>
        </w:rPr>
        <w:t xml:space="preserve"> (ECG)</w:t>
      </w:r>
      <w:r w:rsidRPr="00857C4A">
        <w:rPr>
          <w:rFonts w:ascii="Times New Roman" w:hAnsi="Times New Roman" w:cs="Times New Roman"/>
          <w:color w:val="000000"/>
          <w:sz w:val="24"/>
          <w:szCs w:val="24"/>
        </w:rPr>
        <w:t xml:space="preserve"> (</w:t>
      </w:r>
      <w:r w:rsidR="0032109D">
        <w:rPr>
          <w:rFonts w:ascii="Times New Roman" w:hAnsi="Times New Roman" w:cs="Times New Roman"/>
          <w:color w:val="000000"/>
          <w:sz w:val="24"/>
          <w:szCs w:val="24"/>
        </w:rPr>
        <w:t>H</w:t>
      </w:r>
      <w:r w:rsidR="0032109D" w:rsidRPr="00857C4A">
        <w:rPr>
          <w:rFonts w:ascii="Times New Roman" w:hAnsi="Times New Roman" w:cs="Times New Roman"/>
          <w:color w:val="000000"/>
          <w:sz w:val="24"/>
          <w:szCs w:val="24"/>
        </w:rPr>
        <w:t xml:space="preserve">eart rate, PR interval, RR interval, duration of QRS, </w:t>
      </w:r>
      <w:r w:rsidR="0032109D">
        <w:rPr>
          <w:rFonts w:ascii="Times New Roman" w:hAnsi="Times New Roman" w:cs="Times New Roman"/>
          <w:color w:val="000000"/>
          <w:sz w:val="24"/>
          <w:szCs w:val="24"/>
        </w:rPr>
        <w:t>and</w:t>
      </w:r>
      <w:r w:rsidR="0032109D" w:rsidRPr="00857C4A">
        <w:rPr>
          <w:rFonts w:ascii="Times New Roman" w:hAnsi="Times New Roman" w:cs="Times New Roman"/>
          <w:color w:val="000000"/>
          <w:sz w:val="24"/>
          <w:szCs w:val="24"/>
        </w:rPr>
        <w:t xml:space="preserve"> QT interval corrected by heart rate using Fridericia formula [</w:t>
      </w:r>
      <w:proofErr w:type="spellStart"/>
      <w:r w:rsidR="0032109D" w:rsidRPr="00857C4A">
        <w:rPr>
          <w:rFonts w:ascii="Times New Roman" w:hAnsi="Times New Roman" w:cs="Times New Roman"/>
          <w:color w:val="000000"/>
          <w:sz w:val="24"/>
          <w:szCs w:val="24"/>
        </w:rPr>
        <w:t>QTcF</w:t>
      </w:r>
      <w:proofErr w:type="spellEnd"/>
      <w:r w:rsidR="0032109D" w:rsidRPr="00857C4A">
        <w:rPr>
          <w:rFonts w:ascii="Times New Roman" w:hAnsi="Times New Roman" w:cs="Times New Roman"/>
          <w:color w:val="000000"/>
          <w:sz w:val="24"/>
          <w:szCs w:val="24"/>
        </w:rPr>
        <w:t>]</w:t>
      </w:r>
      <w:r w:rsidRPr="00857C4A">
        <w:rPr>
          <w:rFonts w:ascii="Times New Roman" w:hAnsi="Times New Roman" w:cs="Times New Roman"/>
          <w:color w:val="000000"/>
          <w:sz w:val="24"/>
          <w:szCs w:val="24"/>
        </w:rPr>
        <w:t xml:space="preserve"> should be measured after at least 5 minutes of rest</w:t>
      </w:r>
      <w:r w:rsidR="0032109D">
        <w:rPr>
          <w:rFonts w:ascii="Times New Roman" w:hAnsi="Times New Roman" w:cs="Times New Roman"/>
          <w:color w:val="000000"/>
          <w:sz w:val="24"/>
          <w:szCs w:val="24"/>
        </w:rPr>
        <w:t>.</w:t>
      </w:r>
      <w:r w:rsidRPr="00857C4A">
        <w:rPr>
          <w:rFonts w:ascii="Times New Roman" w:hAnsi="Times New Roman" w:cs="Times New Roman"/>
          <w:color w:val="000000"/>
          <w:sz w:val="24"/>
          <w:szCs w:val="24"/>
        </w:rPr>
        <w:t xml:space="preserve"> </w:t>
      </w:r>
      <w:r w:rsidR="0032109D">
        <w:rPr>
          <w:rFonts w:ascii="Times New Roman" w:hAnsi="Times New Roman" w:cs="Times New Roman"/>
          <w:color w:val="000000"/>
          <w:sz w:val="24"/>
          <w:szCs w:val="24"/>
        </w:rPr>
        <w:t>T</w:t>
      </w:r>
      <w:r w:rsidRPr="00857C4A">
        <w:rPr>
          <w:rFonts w:ascii="Times New Roman" w:hAnsi="Times New Roman" w:cs="Times New Roman"/>
          <w:color w:val="000000"/>
          <w:sz w:val="24"/>
          <w:szCs w:val="24"/>
        </w:rPr>
        <w:t>hen determine the clinical significance of abnormal values</w:t>
      </w:r>
      <w:r w:rsidR="0032109D">
        <w:rPr>
          <w:rFonts w:ascii="Times New Roman" w:hAnsi="Times New Roman" w:cs="Times New Roman"/>
          <w:color w:val="000000"/>
          <w:sz w:val="24"/>
          <w:szCs w:val="24"/>
        </w:rPr>
        <w:t>. S</w:t>
      </w:r>
      <w:r w:rsidRPr="00857C4A">
        <w:rPr>
          <w:rFonts w:ascii="Times New Roman" w:hAnsi="Times New Roman" w:cs="Times New Roman"/>
          <w:color w:val="000000"/>
          <w:sz w:val="24"/>
          <w:szCs w:val="24"/>
        </w:rPr>
        <w:t>ubsequent visits should be conducted according to this process</w:t>
      </w:r>
      <w:r w:rsidR="00F076D5" w:rsidRPr="00857C4A">
        <w:rPr>
          <w:rFonts w:ascii="Times New Roman" w:hAnsi="Times New Roman" w:cs="Times New Roman"/>
          <w:color w:val="000000"/>
          <w:sz w:val="24"/>
          <w:szCs w:val="24"/>
        </w:rPr>
        <w:t>).</w:t>
      </w:r>
    </w:p>
    <w:p w14:paraId="719C36D2" w14:textId="24AAA186" w:rsidR="004D54F2" w:rsidRPr="00857C4A" w:rsidRDefault="004D54F2" w:rsidP="0027517F">
      <w:pPr>
        <w:pStyle w:val="aff"/>
        <w:numPr>
          <w:ilvl w:val="3"/>
          <w:numId w:val="42"/>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57C4A">
        <w:rPr>
          <w:rFonts w:ascii="Times New Roman" w:hAnsi="Times New Roman" w:cs="Times New Roman"/>
          <w:color w:val="000000"/>
          <w:sz w:val="24"/>
          <w:szCs w:val="24"/>
        </w:rPr>
        <w:t xml:space="preserve">Oxygen saturation </w:t>
      </w:r>
      <w:r w:rsidR="00F076D5" w:rsidRPr="00857C4A">
        <w:rPr>
          <w:rFonts w:ascii="Times New Roman" w:hAnsi="Times New Roman" w:cs="Times New Roman"/>
          <w:color w:val="000000"/>
          <w:sz w:val="24"/>
          <w:szCs w:val="24"/>
        </w:rPr>
        <w:t>test.</w:t>
      </w:r>
    </w:p>
    <w:p w14:paraId="10EFFBD2" w14:textId="41034EE5" w:rsidR="004D54F2" w:rsidRPr="00857C4A" w:rsidRDefault="004D54F2" w:rsidP="0027517F">
      <w:pPr>
        <w:pStyle w:val="aff"/>
        <w:numPr>
          <w:ilvl w:val="3"/>
          <w:numId w:val="42"/>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57C4A">
        <w:rPr>
          <w:rFonts w:ascii="Times New Roman" w:hAnsi="Times New Roman" w:cs="Times New Roman"/>
          <w:color w:val="000000"/>
          <w:sz w:val="24"/>
          <w:szCs w:val="24"/>
        </w:rPr>
        <w:lastRenderedPageBreak/>
        <w:t xml:space="preserve">Blood pregnancy test in women of childbearing </w:t>
      </w:r>
      <w:r w:rsidR="00F076D5" w:rsidRPr="00857C4A">
        <w:rPr>
          <w:rFonts w:ascii="Times New Roman" w:hAnsi="Times New Roman" w:cs="Times New Roman"/>
          <w:color w:val="000000"/>
          <w:sz w:val="24"/>
          <w:szCs w:val="24"/>
        </w:rPr>
        <w:t>potential.</w:t>
      </w:r>
    </w:p>
    <w:p w14:paraId="619C5F8F" w14:textId="5D464B31" w:rsidR="004D54F2" w:rsidRPr="00857C4A" w:rsidRDefault="004D54F2" w:rsidP="0027517F">
      <w:pPr>
        <w:pStyle w:val="aff"/>
        <w:numPr>
          <w:ilvl w:val="3"/>
          <w:numId w:val="42"/>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57C4A">
        <w:rPr>
          <w:rFonts w:ascii="Times New Roman" w:hAnsi="Times New Roman" w:cs="Times New Roman"/>
          <w:color w:val="000000"/>
          <w:sz w:val="24"/>
          <w:szCs w:val="24"/>
        </w:rPr>
        <w:t>Virology/syphilis testing: includ</w:t>
      </w:r>
      <w:r w:rsidRPr="00857C4A">
        <w:rPr>
          <w:rFonts w:ascii="Times New Roman" w:hAnsi="Times New Roman" w:cs="Times New Roman" w:hint="eastAsia"/>
          <w:color w:val="000000"/>
          <w:sz w:val="24"/>
          <w:szCs w:val="24"/>
        </w:rPr>
        <w:t>ing</w:t>
      </w:r>
      <w:r w:rsidRPr="00857C4A">
        <w:rPr>
          <w:rFonts w:ascii="Times New Roman" w:hAnsi="Times New Roman" w:cs="Times New Roman"/>
          <w:color w:val="000000"/>
          <w:sz w:val="24"/>
          <w:szCs w:val="24"/>
        </w:rPr>
        <w:t xml:space="preserve"> HCV antibody, five items of HBV (</w:t>
      </w:r>
      <w:bookmarkStart w:id="119" w:name="_Hlk111915241"/>
      <w:bookmarkStart w:id="120" w:name="_Hlk111820958"/>
      <w:r w:rsidR="002C5172">
        <w:rPr>
          <w:rFonts w:ascii="Times New Roman" w:hAnsi="Times New Roman" w:cs="Times New Roman"/>
          <w:color w:val="000000"/>
          <w:sz w:val="24"/>
          <w:szCs w:val="24"/>
        </w:rPr>
        <w:t>h</w:t>
      </w:r>
      <w:r w:rsidR="00D23E13" w:rsidRPr="00D23E13">
        <w:rPr>
          <w:rFonts w:ascii="Times New Roman" w:hAnsi="Times New Roman" w:cs="Times New Roman"/>
          <w:color w:val="000000"/>
          <w:sz w:val="24"/>
          <w:szCs w:val="24"/>
        </w:rPr>
        <w:t>epatitis B surface antigen</w:t>
      </w:r>
      <w:bookmarkEnd w:id="119"/>
      <w:r w:rsidR="00D23E13">
        <w:rPr>
          <w:rFonts w:ascii="Times New Roman" w:hAnsi="Times New Roman" w:cs="Times New Roman"/>
          <w:color w:val="000000"/>
          <w:sz w:val="24"/>
          <w:szCs w:val="24"/>
        </w:rPr>
        <w:t xml:space="preserve"> [</w:t>
      </w:r>
      <w:r w:rsidRPr="00857C4A">
        <w:rPr>
          <w:rFonts w:ascii="Times New Roman" w:hAnsi="Times New Roman" w:cs="Times New Roman"/>
          <w:color w:val="000000"/>
          <w:sz w:val="24"/>
          <w:szCs w:val="24"/>
        </w:rPr>
        <w:t>HBsAg</w:t>
      </w:r>
      <w:r w:rsidR="00D23E13">
        <w:rPr>
          <w:rFonts w:ascii="Times New Roman" w:hAnsi="Times New Roman" w:cs="Times New Roman"/>
          <w:color w:val="000000"/>
          <w:sz w:val="24"/>
          <w:szCs w:val="24"/>
        </w:rPr>
        <w:t>]</w:t>
      </w:r>
      <w:r w:rsidRPr="00857C4A">
        <w:rPr>
          <w:rFonts w:ascii="Times New Roman" w:hAnsi="Times New Roman" w:cs="Times New Roman"/>
          <w:color w:val="000000"/>
          <w:sz w:val="24"/>
          <w:szCs w:val="24"/>
        </w:rPr>
        <w:t xml:space="preserve">, </w:t>
      </w:r>
      <w:r w:rsidR="002C5172">
        <w:rPr>
          <w:rFonts w:ascii="Times New Roman" w:hAnsi="Times New Roman" w:cs="Times New Roman"/>
          <w:color w:val="000000"/>
          <w:sz w:val="24"/>
          <w:szCs w:val="24"/>
        </w:rPr>
        <w:t>h</w:t>
      </w:r>
      <w:r w:rsidR="00D23E13" w:rsidRPr="00D23E13">
        <w:rPr>
          <w:rFonts w:ascii="Times New Roman" w:hAnsi="Times New Roman" w:cs="Times New Roman"/>
          <w:color w:val="000000"/>
          <w:sz w:val="24"/>
          <w:szCs w:val="24"/>
        </w:rPr>
        <w:t xml:space="preserve">epatitis B surface </w:t>
      </w:r>
      <w:r w:rsidR="002C5172">
        <w:rPr>
          <w:rFonts w:ascii="Times New Roman" w:hAnsi="Times New Roman" w:cs="Times New Roman"/>
          <w:color w:val="000000"/>
          <w:sz w:val="24"/>
          <w:szCs w:val="24"/>
        </w:rPr>
        <w:t>a</w:t>
      </w:r>
      <w:r w:rsidR="00D23E13" w:rsidRPr="00D23E13">
        <w:rPr>
          <w:rFonts w:ascii="Times New Roman" w:hAnsi="Times New Roman" w:cs="Times New Roman"/>
          <w:color w:val="000000"/>
          <w:sz w:val="24"/>
          <w:szCs w:val="24"/>
        </w:rPr>
        <w:t xml:space="preserve">ntibody </w:t>
      </w:r>
      <w:r w:rsidR="00D23E13">
        <w:rPr>
          <w:rFonts w:ascii="Times New Roman" w:hAnsi="Times New Roman" w:cs="Times New Roman"/>
          <w:color w:val="000000"/>
          <w:sz w:val="24"/>
          <w:szCs w:val="24"/>
        </w:rPr>
        <w:t>[</w:t>
      </w:r>
      <w:proofErr w:type="spellStart"/>
      <w:r w:rsidRPr="00857C4A">
        <w:rPr>
          <w:rFonts w:ascii="Times New Roman" w:hAnsi="Times New Roman" w:cs="Times New Roman"/>
          <w:color w:val="000000"/>
          <w:sz w:val="24"/>
          <w:szCs w:val="24"/>
        </w:rPr>
        <w:t>HBsAb</w:t>
      </w:r>
      <w:proofErr w:type="spellEnd"/>
      <w:r w:rsidR="00D23E13">
        <w:rPr>
          <w:rFonts w:ascii="Times New Roman" w:hAnsi="Times New Roman" w:cs="Times New Roman"/>
          <w:color w:val="000000"/>
          <w:sz w:val="24"/>
          <w:szCs w:val="24"/>
        </w:rPr>
        <w:t>]</w:t>
      </w:r>
      <w:r w:rsidRPr="00857C4A">
        <w:rPr>
          <w:rFonts w:ascii="Times New Roman" w:hAnsi="Times New Roman" w:cs="Times New Roman"/>
          <w:color w:val="000000"/>
          <w:sz w:val="24"/>
          <w:szCs w:val="24"/>
        </w:rPr>
        <w:t xml:space="preserve">, </w:t>
      </w:r>
      <w:bookmarkStart w:id="121" w:name="_Hlk111915211"/>
      <w:r w:rsidR="002C5172">
        <w:rPr>
          <w:rFonts w:ascii="Times New Roman" w:hAnsi="Times New Roman" w:cs="Times New Roman"/>
          <w:color w:val="000000"/>
          <w:sz w:val="24"/>
          <w:szCs w:val="24"/>
        </w:rPr>
        <w:t>h</w:t>
      </w:r>
      <w:r w:rsidR="00D23E13" w:rsidRPr="00D23E13">
        <w:rPr>
          <w:rFonts w:ascii="Times New Roman" w:hAnsi="Times New Roman" w:cs="Times New Roman"/>
          <w:color w:val="000000"/>
          <w:sz w:val="24"/>
          <w:szCs w:val="24"/>
        </w:rPr>
        <w:t xml:space="preserve">epatitis Be </w:t>
      </w:r>
      <w:r w:rsidR="002C5172">
        <w:rPr>
          <w:rFonts w:ascii="Times New Roman" w:hAnsi="Times New Roman" w:cs="Times New Roman"/>
          <w:color w:val="000000"/>
          <w:sz w:val="24"/>
          <w:szCs w:val="24"/>
        </w:rPr>
        <w:t>a</w:t>
      </w:r>
      <w:r w:rsidR="00D23E13" w:rsidRPr="00D23E13">
        <w:rPr>
          <w:rFonts w:ascii="Times New Roman" w:hAnsi="Times New Roman" w:cs="Times New Roman"/>
          <w:color w:val="000000"/>
          <w:sz w:val="24"/>
          <w:szCs w:val="24"/>
        </w:rPr>
        <w:t>ntigen</w:t>
      </w:r>
      <w:bookmarkEnd w:id="121"/>
      <w:r w:rsidR="00D23E13" w:rsidRPr="00D23E13">
        <w:rPr>
          <w:rFonts w:ascii="Times New Roman" w:hAnsi="Times New Roman" w:cs="Times New Roman"/>
          <w:color w:val="000000"/>
          <w:sz w:val="24"/>
          <w:szCs w:val="24"/>
        </w:rPr>
        <w:t xml:space="preserve"> </w:t>
      </w:r>
      <w:r w:rsidR="00D23E13">
        <w:rPr>
          <w:rFonts w:ascii="Times New Roman" w:hAnsi="Times New Roman" w:cs="Times New Roman"/>
          <w:color w:val="000000"/>
          <w:sz w:val="24"/>
          <w:szCs w:val="24"/>
        </w:rPr>
        <w:t>[</w:t>
      </w:r>
      <w:proofErr w:type="spellStart"/>
      <w:r w:rsidRPr="00857C4A">
        <w:rPr>
          <w:rFonts w:ascii="Times New Roman" w:hAnsi="Times New Roman" w:cs="Times New Roman"/>
          <w:color w:val="000000"/>
          <w:sz w:val="24"/>
          <w:szCs w:val="24"/>
        </w:rPr>
        <w:t>HBeAg</w:t>
      </w:r>
      <w:proofErr w:type="spellEnd"/>
      <w:r w:rsidR="00D23E13">
        <w:rPr>
          <w:rFonts w:ascii="Times New Roman" w:hAnsi="Times New Roman" w:cs="Times New Roman"/>
          <w:color w:val="000000"/>
          <w:sz w:val="24"/>
          <w:szCs w:val="24"/>
        </w:rPr>
        <w:t>]</w:t>
      </w:r>
      <w:r w:rsidRPr="00857C4A">
        <w:rPr>
          <w:rFonts w:ascii="Times New Roman" w:hAnsi="Times New Roman" w:cs="Times New Roman"/>
          <w:color w:val="000000"/>
          <w:sz w:val="24"/>
          <w:szCs w:val="24"/>
        </w:rPr>
        <w:t xml:space="preserve">, </w:t>
      </w:r>
      <w:bookmarkStart w:id="122" w:name="_Hlk111915198"/>
      <w:r w:rsidR="002C5172" w:rsidRPr="002C5172">
        <w:rPr>
          <w:rFonts w:ascii="Times New Roman" w:hAnsi="Times New Roman" w:cs="Times New Roman"/>
          <w:color w:val="000000"/>
          <w:sz w:val="24"/>
          <w:szCs w:val="24"/>
        </w:rPr>
        <w:t>hepatitis B e antibody</w:t>
      </w:r>
      <w:bookmarkEnd w:id="122"/>
      <w:r w:rsidR="002C5172" w:rsidRPr="002C5172">
        <w:rPr>
          <w:rFonts w:ascii="Times New Roman" w:hAnsi="Times New Roman" w:cs="Times New Roman"/>
          <w:color w:val="000000"/>
          <w:sz w:val="24"/>
          <w:szCs w:val="24"/>
        </w:rPr>
        <w:t xml:space="preserve"> </w:t>
      </w:r>
      <w:r w:rsidR="002C5172">
        <w:rPr>
          <w:rFonts w:ascii="Times New Roman" w:hAnsi="Times New Roman" w:cs="Times New Roman"/>
          <w:color w:val="000000"/>
          <w:sz w:val="24"/>
          <w:szCs w:val="24"/>
        </w:rPr>
        <w:t>[</w:t>
      </w:r>
      <w:proofErr w:type="spellStart"/>
      <w:r w:rsidRPr="00857C4A">
        <w:rPr>
          <w:rFonts w:ascii="Times New Roman" w:hAnsi="Times New Roman" w:cs="Times New Roman"/>
          <w:color w:val="000000"/>
          <w:sz w:val="24"/>
          <w:szCs w:val="24"/>
        </w:rPr>
        <w:t>HBeAb</w:t>
      </w:r>
      <w:proofErr w:type="spellEnd"/>
      <w:r w:rsidR="002C5172">
        <w:rPr>
          <w:rFonts w:ascii="Times New Roman" w:hAnsi="Times New Roman" w:cs="Times New Roman"/>
          <w:color w:val="000000"/>
          <w:sz w:val="24"/>
          <w:szCs w:val="24"/>
        </w:rPr>
        <w:t>],</w:t>
      </w:r>
      <w:r w:rsidRPr="00857C4A">
        <w:rPr>
          <w:rFonts w:ascii="Times New Roman" w:hAnsi="Times New Roman" w:cs="Times New Roman"/>
          <w:color w:val="000000"/>
          <w:sz w:val="24"/>
          <w:szCs w:val="24"/>
        </w:rPr>
        <w:t xml:space="preserve"> and </w:t>
      </w:r>
      <w:r w:rsidR="002C5172" w:rsidRPr="002C5172">
        <w:rPr>
          <w:rFonts w:ascii="Times New Roman" w:hAnsi="Times New Roman" w:cs="Times New Roman"/>
          <w:color w:val="000000"/>
          <w:sz w:val="24"/>
          <w:szCs w:val="24"/>
        </w:rPr>
        <w:t xml:space="preserve">hepatitis B core antibody </w:t>
      </w:r>
      <w:r w:rsidR="002C5172">
        <w:rPr>
          <w:rFonts w:ascii="Times New Roman" w:hAnsi="Times New Roman" w:cs="Times New Roman"/>
          <w:color w:val="000000"/>
          <w:sz w:val="24"/>
          <w:szCs w:val="24"/>
        </w:rPr>
        <w:t>[</w:t>
      </w:r>
      <w:proofErr w:type="spellStart"/>
      <w:r w:rsidRPr="00857C4A">
        <w:rPr>
          <w:rFonts w:ascii="Times New Roman" w:hAnsi="Times New Roman" w:cs="Times New Roman"/>
          <w:color w:val="000000"/>
          <w:sz w:val="24"/>
          <w:szCs w:val="24"/>
        </w:rPr>
        <w:t>HBcAb</w:t>
      </w:r>
      <w:bookmarkEnd w:id="120"/>
      <w:proofErr w:type="spellEnd"/>
      <w:r w:rsidR="002C5172">
        <w:rPr>
          <w:rFonts w:ascii="Times New Roman" w:hAnsi="Times New Roman" w:cs="Times New Roman"/>
          <w:color w:val="000000"/>
          <w:sz w:val="24"/>
          <w:szCs w:val="24"/>
        </w:rPr>
        <w:t>]</w:t>
      </w:r>
      <w:r w:rsidRPr="00857C4A">
        <w:rPr>
          <w:rFonts w:ascii="Times New Roman" w:hAnsi="Times New Roman" w:cs="Times New Roman"/>
          <w:color w:val="000000"/>
          <w:sz w:val="24"/>
          <w:szCs w:val="24"/>
        </w:rPr>
        <w:t xml:space="preserve">), HIV antibody, EBV DNA (the results are not used as a criterion to enroll the study), </w:t>
      </w:r>
      <w:r w:rsidR="001822A0" w:rsidRPr="001822A0">
        <w:rPr>
          <w:rFonts w:ascii="Times New Roman" w:hAnsi="Times New Roman" w:cs="Times New Roman"/>
          <w:color w:val="000000"/>
          <w:sz w:val="24"/>
          <w:szCs w:val="24"/>
        </w:rPr>
        <w:t>cytomegalovirus</w:t>
      </w:r>
      <w:r w:rsidRPr="00857C4A">
        <w:rPr>
          <w:rFonts w:ascii="Times New Roman" w:hAnsi="Times New Roman" w:cs="Times New Roman"/>
          <w:color w:val="000000"/>
          <w:sz w:val="24"/>
          <w:szCs w:val="24"/>
        </w:rPr>
        <w:t xml:space="preserve"> DNA, and syphilis. Patients with a positive HCV antibody should be tested for HCV RNA, and the patient can be enrolled if HCV RNA is negative. Both the HBV surface antigen and HBV core antibody should be negative. A peripheral HBV DNA test is required if either of the </w:t>
      </w:r>
      <w:r w:rsidR="0032109D">
        <w:rPr>
          <w:rFonts w:ascii="Times New Roman" w:hAnsi="Times New Roman" w:cs="Times New Roman"/>
          <w:color w:val="000000"/>
          <w:sz w:val="24"/>
          <w:szCs w:val="24"/>
        </w:rPr>
        <w:t>abovementioned tests</w:t>
      </w:r>
      <w:r w:rsidRPr="00857C4A">
        <w:rPr>
          <w:rFonts w:ascii="Times New Roman" w:hAnsi="Times New Roman" w:cs="Times New Roman"/>
          <w:color w:val="000000"/>
          <w:sz w:val="24"/>
          <w:szCs w:val="24"/>
        </w:rPr>
        <w:t xml:space="preserve"> is positive. When HBV DNA is below the normal limit, the patient can be enrolled.  </w:t>
      </w:r>
      <w:r w:rsidR="0032109D">
        <w:rPr>
          <w:rFonts w:ascii="Times New Roman" w:hAnsi="Times New Roman" w:cs="Times New Roman"/>
          <w:color w:val="000000"/>
          <w:sz w:val="24"/>
          <w:szCs w:val="24"/>
        </w:rPr>
        <w:t>The results mentioned above within four weeks before the screening period are acceptable during the screening period</w:t>
      </w:r>
      <w:r w:rsidRPr="00857C4A">
        <w:rPr>
          <w:rFonts w:ascii="Times New Roman" w:hAnsi="Times New Roman" w:cs="Times New Roman"/>
          <w:color w:val="000000"/>
          <w:sz w:val="24"/>
          <w:szCs w:val="24"/>
        </w:rPr>
        <w:t xml:space="preserve">. </w:t>
      </w:r>
    </w:p>
    <w:p w14:paraId="470ADA99" w14:textId="3E20DCCB" w:rsidR="004D54F2" w:rsidRPr="00857C4A" w:rsidRDefault="00A324D3" w:rsidP="0027517F">
      <w:pPr>
        <w:pStyle w:val="aff"/>
        <w:numPr>
          <w:ilvl w:val="3"/>
          <w:numId w:val="42"/>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t>C</w:t>
      </w:r>
      <w:r w:rsidRPr="00A324D3">
        <w:rPr>
          <w:rFonts w:ascii="Times New Roman" w:hAnsi="Times New Roman" w:cs="Times New Roman"/>
          <w:color w:val="000000"/>
          <w:sz w:val="24"/>
          <w:szCs w:val="24"/>
        </w:rPr>
        <w:t>omplete</w:t>
      </w:r>
      <w:r>
        <w:rPr>
          <w:rFonts w:ascii="Times New Roman" w:hAnsi="Times New Roman" w:cs="Times New Roman"/>
          <w:color w:val="000000"/>
          <w:sz w:val="24"/>
          <w:szCs w:val="24"/>
        </w:rPr>
        <w:t xml:space="preserve"> </w:t>
      </w:r>
      <w:r w:rsidRPr="00A324D3">
        <w:rPr>
          <w:rFonts w:ascii="Times New Roman" w:hAnsi="Times New Roman" w:cs="Times New Roman"/>
          <w:color w:val="000000"/>
          <w:sz w:val="24"/>
          <w:szCs w:val="24"/>
        </w:rPr>
        <w:t>blood count</w:t>
      </w:r>
      <w:r w:rsidR="00F076D5">
        <w:rPr>
          <w:rFonts w:ascii="Times New Roman" w:hAnsi="Times New Roman" w:cs="Times New Roman"/>
          <w:color w:val="000000"/>
          <w:sz w:val="24"/>
          <w:szCs w:val="24"/>
        </w:rPr>
        <w:t>.</w:t>
      </w:r>
    </w:p>
    <w:p w14:paraId="0670FDC5" w14:textId="0DC32A65" w:rsidR="004D54F2" w:rsidRPr="00857C4A" w:rsidRDefault="00A324D3" w:rsidP="0027517F">
      <w:pPr>
        <w:pStyle w:val="aff"/>
        <w:numPr>
          <w:ilvl w:val="3"/>
          <w:numId w:val="42"/>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t>Blood biochemical indexes</w:t>
      </w:r>
      <w:r w:rsidR="00F076D5">
        <w:rPr>
          <w:rFonts w:ascii="Times New Roman" w:hAnsi="Times New Roman" w:cs="Times New Roman"/>
          <w:color w:val="000000"/>
          <w:sz w:val="24"/>
          <w:szCs w:val="24"/>
        </w:rPr>
        <w:t>.</w:t>
      </w:r>
    </w:p>
    <w:p w14:paraId="37C42E68" w14:textId="35FD8FBE" w:rsidR="004D54F2" w:rsidRPr="00857C4A" w:rsidRDefault="004D54F2" w:rsidP="0027517F">
      <w:pPr>
        <w:pStyle w:val="aff"/>
        <w:numPr>
          <w:ilvl w:val="3"/>
          <w:numId w:val="42"/>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57C4A">
        <w:rPr>
          <w:rFonts w:ascii="Times New Roman" w:hAnsi="Times New Roman" w:cs="Times New Roman"/>
          <w:color w:val="000000"/>
          <w:sz w:val="24"/>
          <w:szCs w:val="24"/>
        </w:rPr>
        <w:t>Urinalysis</w:t>
      </w:r>
      <w:r w:rsidR="00F076D5">
        <w:rPr>
          <w:rFonts w:ascii="Times New Roman" w:hAnsi="Times New Roman" w:cs="Times New Roman"/>
          <w:color w:val="000000"/>
          <w:sz w:val="24"/>
          <w:szCs w:val="24"/>
        </w:rPr>
        <w:t>.</w:t>
      </w:r>
    </w:p>
    <w:p w14:paraId="7C351C53" w14:textId="5B803A52" w:rsidR="004D54F2" w:rsidRPr="00857C4A" w:rsidRDefault="00F076D5" w:rsidP="0027517F">
      <w:pPr>
        <w:pStyle w:val="aff"/>
        <w:numPr>
          <w:ilvl w:val="3"/>
          <w:numId w:val="42"/>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57C4A">
        <w:rPr>
          <w:rFonts w:ascii="Times New Roman" w:hAnsi="Times New Roman" w:cs="Times New Roman"/>
          <w:color w:val="000000"/>
          <w:sz w:val="24"/>
          <w:szCs w:val="24"/>
        </w:rPr>
        <w:t>Coagulation.</w:t>
      </w:r>
    </w:p>
    <w:p w14:paraId="1C8CA679" w14:textId="614A54DF" w:rsidR="004D54F2" w:rsidRPr="00857C4A" w:rsidRDefault="004D54F2" w:rsidP="0027517F">
      <w:pPr>
        <w:pStyle w:val="aff"/>
        <w:numPr>
          <w:ilvl w:val="3"/>
          <w:numId w:val="42"/>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57C4A">
        <w:rPr>
          <w:rFonts w:ascii="Times New Roman" w:hAnsi="Times New Roman" w:cs="Times New Roman"/>
          <w:color w:val="000000"/>
          <w:sz w:val="24"/>
          <w:szCs w:val="24"/>
        </w:rPr>
        <w:t xml:space="preserve">Peripheral blood smear </w:t>
      </w:r>
      <w:r w:rsidR="00F076D5" w:rsidRPr="00857C4A">
        <w:rPr>
          <w:rFonts w:ascii="Times New Roman" w:hAnsi="Times New Roman" w:cs="Times New Roman"/>
          <w:color w:val="000000"/>
          <w:sz w:val="24"/>
          <w:szCs w:val="24"/>
        </w:rPr>
        <w:t>test.</w:t>
      </w:r>
    </w:p>
    <w:p w14:paraId="5ADB2F6C" w14:textId="7BA6DD3A" w:rsidR="004D54F2" w:rsidRPr="00857C4A" w:rsidRDefault="004D54F2" w:rsidP="0027517F">
      <w:pPr>
        <w:pStyle w:val="aff"/>
        <w:numPr>
          <w:ilvl w:val="3"/>
          <w:numId w:val="42"/>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57C4A">
        <w:rPr>
          <w:rFonts w:ascii="Times New Roman" w:hAnsi="Times New Roman" w:cs="Times New Roman"/>
          <w:color w:val="000000"/>
          <w:sz w:val="24"/>
          <w:szCs w:val="24"/>
        </w:rPr>
        <w:t xml:space="preserve">Serum calcium and albumin </w:t>
      </w:r>
      <w:r w:rsidR="00F076D5" w:rsidRPr="00857C4A">
        <w:rPr>
          <w:rFonts w:ascii="Times New Roman" w:hAnsi="Times New Roman" w:cs="Times New Roman"/>
          <w:color w:val="000000"/>
          <w:sz w:val="24"/>
          <w:szCs w:val="24"/>
        </w:rPr>
        <w:t>test.</w:t>
      </w:r>
    </w:p>
    <w:p w14:paraId="25B7164E" w14:textId="4B8201B1" w:rsidR="004D54F2" w:rsidRPr="00857C4A" w:rsidRDefault="004D54F2" w:rsidP="0027517F">
      <w:pPr>
        <w:pStyle w:val="aff"/>
        <w:numPr>
          <w:ilvl w:val="3"/>
          <w:numId w:val="42"/>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57C4A">
        <w:rPr>
          <w:rFonts w:ascii="Times New Roman" w:hAnsi="Times New Roman" w:cs="Times New Roman"/>
          <w:color w:val="000000"/>
          <w:sz w:val="24"/>
          <w:szCs w:val="24"/>
        </w:rPr>
        <w:t xml:space="preserve">β2-microglobulin </w:t>
      </w:r>
      <w:r w:rsidR="00F076D5" w:rsidRPr="00857C4A">
        <w:rPr>
          <w:rFonts w:ascii="Times New Roman" w:hAnsi="Times New Roman" w:cs="Times New Roman"/>
          <w:color w:val="000000"/>
          <w:sz w:val="24"/>
          <w:szCs w:val="24"/>
        </w:rPr>
        <w:t>test.</w:t>
      </w:r>
    </w:p>
    <w:p w14:paraId="7BDF8087" w14:textId="5587B472" w:rsidR="004D54F2" w:rsidRPr="00857C4A" w:rsidRDefault="004D54F2" w:rsidP="0027517F">
      <w:pPr>
        <w:pStyle w:val="aff"/>
        <w:numPr>
          <w:ilvl w:val="3"/>
          <w:numId w:val="42"/>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57C4A">
        <w:rPr>
          <w:rFonts w:ascii="Times New Roman" w:hAnsi="Times New Roman" w:cs="Times New Roman"/>
          <w:color w:val="000000"/>
          <w:sz w:val="24"/>
          <w:szCs w:val="24"/>
        </w:rPr>
        <w:t xml:space="preserve">Quantification of serum </w:t>
      </w:r>
      <w:r w:rsidR="00F076D5" w:rsidRPr="00857C4A">
        <w:rPr>
          <w:rFonts w:ascii="Times New Roman" w:hAnsi="Times New Roman" w:cs="Times New Roman"/>
          <w:color w:val="000000"/>
          <w:sz w:val="24"/>
          <w:szCs w:val="24"/>
        </w:rPr>
        <w:t>immunoglobulin.</w:t>
      </w:r>
    </w:p>
    <w:p w14:paraId="4852C536" w14:textId="52226EC0" w:rsidR="004D54F2" w:rsidRPr="00857C4A" w:rsidRDefault="004D54F2" w:rsidP="0027517F">
      <w:pPr>
        <w:pStyle w:val="aff"/>
        <w:numPr>
          <w:ilvl w:val="3"/>
          <w:numId w:val="42"/>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57C4A">
        <w:rPr>
          <w:rFonts w:ascii="Times New Roman" w:hAnsi="Times New Roman" w:cs="Times New Roman"/>
          <w:color w:val="000000"/>
          <w:sz w:val="24"/>
          <w:szCs w:val="24"/>
        </w:rPr>
        <w:t xml:space="preserve">Quantification of serum free light </w:t>
      </w:r>
      <w:r w:rsidR="00F076D5" w:rsidRPr="00857C4A">
        <w:rPr>
          <w:rFonts w:ascii="Times New Roman" w:hAnsi="Times New Roman" w:cs="Times New Roman"/>
          <w:color w:val="000000"/>
          <w:sz w:val="24"/>
          <w:szCs w:val="24"/>
        </w:rPr>
        <w:t>chain.</w:t>
      </w:r>
    </w:p>
    <w:p w14:paraId="2A64805C" w14:textId="0DFFA6D3" w:rsidR="004D54F2" w:rsidRPr="00857C4A" w:rsidRDefault="004D54F2" w:rsidP="0027517F">
      <w:pPr>
        <w:pStyle w:val="aff"/>
        <w:numPr>
          <w:ilvl w:val="3"/>
          <w:numId w:val="42"/>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57C4A">
        <w:rPr>
          <w:rFonts w:ascii="Times New Roman" w:hAnsi="Times New Roman" w:cs="Times New Roman"/>
          <w:color w:val="000000"/>
          <w:sz w:val="24"/>
          <w:szCs w:val="24"/>
        </w:rPr>
        <w:t xml:space="preserve">Serum protein </w:t>
      </w:r>
      <w:r w:rsidR="00F076D5" w:rsidRPr="00857C4A">
        <w:rPr>
          <w:rFonts w:ascii="Times New Roman" w:hAnsi="Times New Roman" w:cs="Times New Roman"/>
          <w:color w:val="000000"/>
          <w:sz w:val="24"/>
          <w:szCs w:val="24"/>
        </w:rPr>
        <w:t>electrophoresis.</w:t>
      </w:r>
    </w:p>
    <w:p w14:paraId="6C9D17CB" w14:textId="23AFB5C9" w:rsidR="004D54F2" w:rsidRPr="00857C4A" w:rsidRDefault="004D54F2" w:rsidP="0027517F">
      <w:pPr>
        <w:pStyle w:val="aff"/>
        <w:numPr>
          <w:ilvl w:val="3"/>
          <w:numId w:val="42"/>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57C4A">
        <w:rPr>
          <w:rFonts w:ascii="Times New Roman" w:hAnsi="Times New Roman" w:cs="Times New Roman"/>
          <w:color w:val="000000"/>
          <w:sz w:val="24"/>
          <w:szCs w:val="24"/>
        </w:rPr>
        <w:t xml:space="preserve">Serum immunofixation </w:t>
      </w:r>
      <w:r w:rsidR="00F076D5" w:rsidRPr="00857C4A">
        <w:rPr>
          <w:rFonts w:ascii="Times New Roman" w:hAnsi="Times New Roman" w:cs="Times New Roman"/>
          <w:color w:val="000000"/>
          <w:sz w:val="24"/>
          <w:szCs w:val="24"/>
        </w:rPr>
        <w:t>electrophoresis.</w:t>
      </w:r>
    </w:p>
    <w:p w14:paraId="61A6C6CC" w14:textId="26DD9E49" w:rsidR="004D54F2" w:rsidRPr="00857C4A" w:rsidRDefault="004D54F2" w:rsidP="0027517F">
      <w:pPr>
        <w:pStyle w:val="aff"/>
        <w:numPr>
          <w:ilvl w:val="3"/>
          <w:numId w:val="42"/>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57C4A">
        <w:rPr>
          <w:rFonts w:ascii="Times New Roman" w:hAnsi="Times New Roman" w:cs="Times New Roman"/>
          <w:color w:val="000000"/>
          <w:sz w:val="24"/>
          <w:szCs w:val="24"/>
        </w:rPr>
        <w:t xml:space="preserve">Quantification of 24 h urine M </w:t>
      </w:r>
      <w:r w:rsidR="00F076D5" w:rsidRPr="00857C4A">
        <w:rPr>
          <w:rFonts w:ascii="Times New Roman" w:hAnsi="Times New Roman" w:cs="Times New Roman"/>
          <w:color w:val="000000"/>
          <w:sz w:val="24"/>
          <w:szCs w:val="24"/>
        </w:rPr>
        <w:t>protein.</w:t>
      </w:r>
    </w:p>
    <w:p w14:paraId="56256A48" w14:textId="1F0E2E30" w:rsidR="004D54F2" w:rsidRPr="00857C4A" w:rsidRDefault="004D54F2" w:rsidP="0027517F">
      <w:pPr>
        <w:pStyle w:val="aff"/>
        <w:numPr>
          <w:ilvl w:val="3"/>
          <w:numId w:val="42"/>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57C4A">
        <w:rPr>
          <w:rFonts w:ascii="Times New Roman" w:hAnsi="Times New Roman" w:cs="Times New Roman"/>
          <w:color w:val="000000"/>
          <w:sz w:val="24"/>
          <w:szCs w:val="24"/>
        </w:rPr>
        <w:t xml:space="preserve">Quantification of 24 h urine light </w:t>
      </w:r>
      <w:r w:rsidR="00F076D5" w:rsidRPr="00857C4A">
        <w:rPr>
          <w:rFonts w:ascii="Times New Roman" w:hAnsi="Times New Roman" w:cs="Times New Roman"/>
          <w:color w:val="000000"/>
          <w:sz w:val="24"/>
          <w:szCs w:val="24"/>
        </w:rPr>
        <w:t>chain.</w:t>
      </w:r>
    </w:p>
    <w:p w14:paraId="746B34C1" w14:textId="7E0EAED7" w:rsidR="004D54F2" w:rsidRPr="00857C4A" w:rsidRDefault="004D54F2" w:rsidP="0027517F">
      <w:pPr>
        <w:pStyle w:val="aff"/>
        <w:numPr>
          <w:ilvl w:val="3"/>
          <w:numId w:val="42"/>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57C4A">
        <w:rPr>
          <w:rFonts w:ascii="Times New Roman" w:hAnsi="Times New Roman" w:cs="Times New Roman"/>
          <w:color w:val="000000"/>
          <w:sz w:val="24"/>
          <w:szCs w:val="24"/>
        </w:rPr>
        <w:t xml:space="preserve">Urine protein </w:t>
      </w:r>
      <w:r w:rsidR="00F076D5" w:rsidRPr="00857C4A">
        <w:rPr>
          <w:rFonts w:ascii="Times New Roman" w:hAnsi="Times New Roman" w:cs="Times New Roman"/>
          <w:color w:val="000000"/>
          <w:sz w:val="24"/>
          <w:szCs w:val="24"/>
        </w:rPr>
        <w:t>electrophoresis.</w:t>
      </w:r>
    </w:p>
    <w:p w14:paraId="4FD3BFD5" w14:textId="14567248" w:rsidR="004D54F2" w:rsidRPr="00857C4A" w:rsidRDefault="004D54F2" w:rsidP="0027517F">
      <w:pPr>
        <w:pStyle w:val="aff"/>
        <w:numPr>
          <w:ilvl w:val="3"/>
          <w:numId w:val="42"/>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57C4A">
        <w:rPr>
          <w:rFonts w:ascii="Times New Roman" w:hAnsi="Times New Roman" w:cs="Times New Roman"/>
          <w:color w:val="000000"/>
          <w:sz w:val="24"/>
          <w:szCs w:val="24"/>
        </w:rPr>
        <w:t xml:space="preserve">Urine protein immunofixation </w:t>
      </w:r>
      <w:r w:rsidR="00F076D5" w:rsidRPr="00857C4A">
        <w:rPr>
          <w:rFonts w:ascii="Times New Roman" w:hAnsi="Times New Roman" w:cs="Times New Roman"/>
          <w:color w:val="000000"/>
          <w:sz w:val="24"/>
          <w:szCs w:val="24"/>
        </w:rPr>
        <w:t>electrophoresis.</w:t>
      </w:r>
    </w:p>
    <w:p w14:paraId="097321A1" w14:textId="09C5961E" w:rsidR="004D54F2" w:rsidRPr="00857C4A" w:rsidRDefault="004D54F2" w:rsidP="0027517F">
      <w:pPr>
        <w:pStyle w:val="aff"/>
        <w:numPr>
          <w:ilvl w:val="3"/>
          <w:numId w:val="42"/>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57C4A">
        <w:rPr>
          <w:rFonts w:ascii="Times New Roman" w:hAnsi="Times New Roman" w:cs="Times New Roman"/>
          <w:color w:val="000000"/>
          <w:sz w:val="24"/>
          <w:szCs w:val="24"/>
        </w:rPr>
        <w:t xml:space="preserve">Imaging evaluation: low-dose whole-body computed tomography (CT) or positron emission tomography (PET)-CT can be used for skeletal examination during the screening period. If there is no low-dose whole-body CT or PET-CT, local CT/magnetic resonance imaging (MRI) can be used instead. </w:t>
      </w:r>
      <w:r w:rsidR="0032109D">
        <w:rPr>
          <w:rFonts w:ascii="Times New Roman" w:hAnsi="Times New Roman" w:cs="Times New Roman"/>
          <w:color w:val="000000"/>
          <w:sz w:val="24"/>
          <w:szCs w:val="24"/>
        </w:rPr>
        <w:t xml:space="preserve">Besides the </w:t>
      </w:r>
      <w:r w:rsidR="0032109D" w:rsidRPr="00857C4A">
        <w:rPr>
          <w:rFonts w:ascii="Times New Roman" w:hAnsi="Times New Roman" w:cs="Times New Roman"/>
          <w:color w:val="000000"/>
          <w:sz w:val="24"/>
          <w:szCs w:val="24"/>
        </w:rPr>
        <w:t>screening period</w:t>
      </w:r>
      <w:r w:rsidR="0032109D">
        <w:rPr>
          <w:rFonts w:ascii="Times New Roman" w:hAnsi="Times New Roman" w:cs="Times New Roman"/>
          <w:color w:val="000000"/>
          <w:sz w:val="24"/>
          <w:szCs w:val="24"/>
        </w:rPr>
        <w:t>,</w:t>
      </w:r>
      <w:r w:rsidR="0032109D" w:rsidRPr="00857C4A">
        <w:rPr>
          <w:rFonts w:ascii="Times New Roman" w:hAnsi="Times New Roman" w:cs="Times New Roman"/>
          <w:color w:val="000000"/>
          <w:sz w:val="24"/>
          <w:szCs w:val="24"/>
        </w:rPr>
        <w:t xml:space="preserve"> </w:t>
      </w:r>
      <w:r w:rsidRPr="00857C4A">
        <w:rPr>
          <w:rFonts w:ascii="Times New Roman" w:hAnsi="Times New Roman" w:cs="Times New Roman"/>
          <w:color w:val="000000"/>
          <w:sz w:val="24"/>
          <w:szCs w:val="24"/>
        </w:rPr>
        <w:t>addition</w:t>
      </w:r>
      <w:r w:rsidR="0032109D">
        <w:rPr>
          <w:rFonts w:ascii="Times New Roman" w:hAnsi="Times New Roman" w:cs="Times New Roman"/>
          <w:color w:val="000000"/>
          <w:sz w:val="24"/>
          <w:szCs w:val="24"/>
        </w:rPr>
        <w:t>al</w:t>
      </w:r>
      <w:r w:rsidRPr="00857C4A">
        <w:rPr>
          <w:rFonts w:ascii="Times New Roman" w:hAnsi="Times New Roman" w:cs="Times New Roman"/>
          <w:color w:val="000000"/>
          <w:sz w:val="24"/>
          <w:szCs w:val="24"/>
        </w:rPr>
        <w:t xml:space="preserve"> </w:t>
      </w:r>
      <w:r w:rsidR="0032109D" w:rsidRPr="00857C4A">
        <w:rPr>
          <w:rFonts w:ascii="Times New Roman" w:hAnsi="Times New Roman" w:cs="Times New Roman"/>
          <w:color w:val="000000"/>
          <w:sz w:val="24"/>
          <w:szCs w:val="24"/>
        </w:rPr>
        <w:t xml:space="preserve">imaging evaluation </w:t>
      </w:r>
      <w:r w:rsidRPr="00857C4A">
        <w:rPr>
          <w:rFonts w:ascii="Times New Roman" w:hAnsi="Times New Roman" w:cs="Times New Roman"/>
          <w:color w:val="000000"/>
          <w:sz w:val="24"/>
          <w:szCs w:val="24"/>
        </w:rPr>
        <w:t xml:space="preserve">test </w:t>
      </w:r>
      <w:r w:rsidR="0032109D">
        <w:rPr>
          <w:rFonts w:ascii="Times New Roman" w:hAnsi="Times New Roman" w:cs="Times New Roman"/>
          <w:color w:val="000000"/>
          <w:sz w:val="24"/>
          <w:szCs w:val="24"/>
        </w:rPr>
        <w:t>is</w:t>
      </w:r>
      <w:r w:rsidR="0032109D" w:rsidRPr="00857C4A">
        <w:rPr>
          <w:rFonts w:ascii="Times New Roman" w:hAnsi="Times New Roman" w:cs="Times New Roman"/>
          <w:color w:val="000000"/>
          <w:sz w:val="24"/>
          <w:szCs w:val="24"/>
        </w:rPr>
        <w:t xml:space="preserve"> determine</w:t>
      </w:r>
      <w:r w:rsidR="0032109D">
        <w:rPr>
          <w:rFonts w:ascii="Times New Roman" w:hAnsi="Times New Roman" w:cs="Times New Roman"/>
          <w:color w:val="000000"/>
          <w:sz w:val="24"/>
          <w:szCs w:val="24"/>
        </w:rPr>
        <w:t>d by</w:t>
      </w:r>
      <w:r w:rsidR="0032109D" w:rsidRPr="00857C4A">
        <w:rPr>
          <w:rFonts w:ascii="Times New Roman" w:hAnsi="Times New Roman" w:cs="Times New Roman"/>
          <w:color w:val="000000"/>
          <w:sz w:val="24"/>
          <w:szCs w:val="24"/>
        </w:rPr>
        <w:t xml:space="preserve"> </w:t>
      </w:r>
      <w:r w:rsidR="0032109D">
        <w:rPr>
          <w:rFonts w:ascii="Times New Roman" w:hAnsi="Times New Roman" w:cs="Times New Roman"/>
          <w:color w:val="000000"/>
          <w:sz w:val="24"/>
          <w:szCs w:val="24"/>
        </w:rPr>
        <w:t xml:space="preserve">the </w:t>
      </w:r>
      <w:r w:rsidR="0032109D" w:rsidRPr="00857C4A">
        <w:rPr>
          <w:rFonts w:ascii="Times New Roman" w:hAnsi="Times New Roman" w:cs="Times New Roman"/>
          <w:color w:val="000000"/>
          <w:sz w:val="24"/>
          <w:szCs w:val="24"/>
        </w:rPr>
        <w:t xml:space="preserve">investigator </w:t>
      </w:r>
      <w:r w:rsidRPr="00857C4A">
        <w:rPr>
          <w:rFonts w:ascii="Times New Roman" w:hAnsi="Times New Roman" w:cs="Times New Roman"/>
          <w:color w:val="000000"/>
          <w:sz w:val="24"/>
          <w:szCs w:val="24"/>
        </w:rPr>
        <w:t>according to the clinical indications (e</w:t>
      </w:r>
      <w:r w:rsidR="00EA599D">
        <w:rPr>
          <w:rFonts w:ascii="Times New Roman" w:hAnsi="Times New Roman" w:cs="Times New Roman"/>
          <w:color w:val="000000"/>
          <w:sz w:val="24"/>
          <w:szCs w:val="24"/>
        </w:rPr>
        <w:t>.g.</w:t>
      </w:r>
      <w:r w:rsidRPr="00857C4A">
        <w:rPr>
          <w:rFonts w:ascii="Times New Roman" w:hAnsi="Times New Roman" w:cs="Times New Roman"/>
          <w:color w:val="000000"/>
          <w:sz w:val="24"/>
          <w:szCs w:val="24"/>
        </w:rPr>
        <w:t xml:space="preserve">, suspicion of CR or disease progression). The examination methods of the same patient should be consistent during the </w:t>
      </w:r>
      <w:r w:rsidRPr="00857C4A">
        <w:rPr>
          <w:rFonts w:ascii="Times New Roman" w:hAnsi="Times New Roman" w:cs="Times New Roman"/>
          <w:color w:val="000000"/>
          <w:sz w:val="24"/>
          <w:szCs w:val="24"/>
        </w:rPr>
        <w:lastRenderedPageBreak/>
        <w:t xml:space="preserve">follow-up period. PET-CT can be added to determine the activity of the tumor in patients who still have a mass detected by CT or MRI examination and those who are not compatible with the condition as judged by </w:t>
      </w:r>
      <w:r w:rsidR="00EA599D">
        <w:rPr>
          <w:rFonts w:ascii="Times New Roman" w:hAnsi="Times New Roman" w:cs="Times New Roman"/>
          <w:color w:val="000000"/>
          <w:sz w:val="24"/>
          <w:szCs w:val="24"/>
        </w:rPr>
        <w:t xml:space="preserve">the </w:t>
      </w:r>
      <w:r w:rsidRPr="00857C4A">
        <w:rPr>
          <w:rFonts w:ascii="Times New Roman" w:hAnsi="Times New Roman" w:cs="Times New Roman"/>
          <w:color w:val="000000"/>
          <w:sz w:val="24"/>
          <w:szCs w:val="24"/>
        </w:rPr>
        <w:t xml:space="preserve">investigator. The results of imaging evaluation within </w:t>
      </w:r>
      <w:r w:rsidR="00EA599D">
        <w:rPr>
          <w:rFonts w:ascii="Times New Roman" w:hAnsi="Times New Roman" w:cs="Times New Roman"/>
          <w:color w:val="000000"/>
          <w:sz w:val="24"/>
          <w:szCs w:val="24"/>
        </w:rPr>
        <w:t>four</w:t>
      </w:r>
      <w:r w:rsidRPr="00857C4A">
        <w:rPr>
          <w:rFonts w:ascii="Times New Roman" w:hAnsi="Times New Roman" w:cs="Times New Roman"/>
          <w:color w:val="000000"/>
          <w:sz w:val="24"/>
          <w:szCs w:val="24"/>
        </w:rPr>
        <w:t xml:space="preserve"> weeks are accepted before </w:t>
      </w:r>
      <w:r w:rsidR="00EA599D">
        <w:rPr>
          <w:rFonts w:ascii="Times New Roman" w:hAnsi="Times New Roman" w:cs="Times New Roman"/>
          <w:color w:val="000000"/>
          <w:sz w:val="24"/>
          <w:szCs w:val="24"/>
        </w:rPr>
        <w:t xml:space="preserve">the </w:t>
      </w:r>
      <w:r w:rsidRPr="00857C4A">
        <w:rPr>
          <w:rFonts w:ascii="Times New Roman" w:hAnsi="Times New Roman" w:cs="Times New Roman"/>
          <w:color w:val="000000"/>
          <w:sz w:val="24"/>
          <w:szCs w:val="24"/>
        </w:rPr>
        <w:t>screening</w:t>
      </w:r>
      <w:r w:rsidR="00EA599D">
        <w:rPr>
          <w:rFonts w:ascii="Times New Roman" w:hAnsi="Times New Roman" w:cs="Times New Roman"/>
          <w:color w:val="000000"/>
          <w:sz w:val="24"/>
          <w:szCs w:val="24"/>
        </w:rPr>
        <w:t>, and s</w:t>
      </w:r>
      <w:r w:rsidRPr="00857C4A">
        <w:rPr>
          <w:rFonts w:ascii="Times New Roman" w:hAnsi="Times New Roman" w:cs="Times New Roman"/>
          <w:color w:val="000000"/>
          <w:sz w:val="24"/>
          <w:szCs w:val="24"/>
        </w:rPr>
        <w:t xml:space="preserve">ubsequent visits should be conducted according to this </w:t>
      </w:r>
      <w:r w:rsidR="00F076D5" w:rsidRPr="00857C4A">
        <w:rPr>
          <w:rFonts w:ascii="Times New Roman" w:hAnsi="Times New Roman" w:cs="Times New Roman"/>
          <w:color w:val="000000"/>
          <w:sz w:val="24"/>
          <w:szCs w:val="24"/>
        </w:rPr>
        <w:t>process.</w:t>
      </w:r>
    </w:p>
    <w:p w14:paraId="20DDC966" w14:textId="7C1CB35E" w:rsidR="004D54F2" w:rsidRPr="006B7A16" w:rsidRDefault="004D54F2" w:rsidP="0027517F">
      <w:pPr>
        <w:pStyle w:val="aff"/>
        <w:numPr>
          <w:ilvl w:val="3"/>
          <w:numId w:val="42"/>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57C4A">
        <w:rPr>
          <w:rFonts w:ascii="Times New Roman" w:hAnsi="Times New Roman" w:cs="Times New Roman"/>
          <w:color w:val="000000"/>
          <w:sz w:val="24"/>
          <w:szCs w:val="24"/>
        </w:rPr>
        <w:t xml:space="preserve">Bone marrow aspiration includes cell smear morphology, bone marrow biopsy pathology + immunohistochemistry, cytogenetics (FISH), </w:t>
      </w:r>
      <w:r w:rsidR="00EA599D">
        <w:rPr>
          <w:rFonts w:ascii="Times New Roman" w:hAnsi="Times New Roman" w:cs="Times New Roman"/>
          <w:color w:val="000000"/>
          <w:sz w:val="24"/>
          <w:szCs w:val="24"/>
        </w:rPr>
        <w:t xml:space="preserve">and </w:t>
      </w:r>
      <w:r w:rsidRPr="00857C4A">
        <w:rPr>
          <w:rFonts w:ascii="Times New Roman" w:hAnsi="Times New Roman" w:cs="Times New Roman"/>
          <w:color w:val="000000"/>
          <w:sz w:val="24"/>
          <w:szCs w:val="24"/>
        </w:rPr>
        <w:t>bone marrow immunophenotyping tests by flow cytometry</w:t>
      </w:r>
      <w:r w:rsidR="00EA599D">
        <w:rPr>
          <w:rFonts w:ascii="Times New Roman" w:hAnsi="Times New Roman" w:cs="Times New Roman"/>
          <w:color w:val="000000"/>
          <w:sz w:val="24"/>
          <w:szCs w:val="24"/>
        </w:rPr>
        <w:t>,</w:t>
      </w:r>
      <w:r w:rsidRPr="00857C4A">
        <w:rPr>
          <w:rFonts w:ascii="Times New Roman" w:hAnsi="Times New Roman" w:cs="Times New Roman"/>
          <w:color w:val="000000"/>
          <w:sz w:val="24"/>
          <w:szCs w:val="24"/>
        </w:rPr>
        <w:t xml:space="preserve"> including MRD. Recommendations for Bone marrow immunohistochemistry include, but are not limited to, BCMA, CD19, CD20, CD38, CD56, CD138, κ light chain, </w:t>
      </w:r>
      <w:r w:rsidR="00EA599D">
        <w:rPr>
          <w:rFonts w:ascii="Times New Roman" w:hAnsi="Times New Roman" w:cs="Times New Roman"/>
          <w:color w:val="000000"/>
          <w:sz w:val="24"/>
          <w:szCs w:val="24"/>
        </w:rPr>
        <w:t xml:space="preserve">and </w:t>
      </w:r>
      <w:r w:rsidR="00EA599D" w:rsidRPr="00EA599D">
        <w:rPr>
          <w:rFonts w:ascii="Times New Roman" w:eastAsiaTheme="minorEastAsia" w:hAnsi="Times New Roman" w:cs="Times New Roman"/>
          <w:color w:val="000000"/>
          <w:sz w:val="24"/>
          <w:szCs w:val="24"/>
          <w:lang w:eastAsia="zh-CN"/>
        </w:rPr>
        <w:t>λ</w:t>
      </w:r>
      <w:r w:rsidRPr="00857C4A">
        <w:rPr>
          <w:rFonts w:ascii="Times New Roman" w:hAnsi="Times New Roman" w:cs="Times New Roman"/>
          <w:color w:val="000000"/>
          <w:sz w:val="24"/>
          <w:szCs w:val="24"/>
        </w:rPr>
        <w:t xml:space="preserve"> light chain. Bone marrow flow cytometry suggests more than </w:t>
      </w:r>
      <w:r w:rsidR="00EA599D">
        <w:rPr>
          <w:rFonts w:ascii="Times New Roman" w:hAnsi="Times New Roman" w:cs="Times New Roman"/>
          <w:color w:val="000000"/>
          <w:sz w:val="24"/>
          <w:szCs w:val="24"/>
        </w:rPr>
        <w:t>eight</w:t>
      </w:r>
      <w:r w:rsidRPr="00857C4A">
        <w:rPr>
          <w:rFonts w:ascii="Times New Roman" w:hAnsi="Times New Roman" w:cs="Times New Roman"/>
          <w:color w:val="000000"/>
          <w:sz w:val="24"/>
          <w:szCs w:val="24"/>
        </w:rPr>
        <w:t xml:space="preserve"> colors for antibody labeling, including but not limited to BCMA, CD19, CD38, CD45, CD56, CD20, CD138, κ light chain of cytoplasm, λ light chain of cytoplasm. The examination of bone marrow immunohistochemistry or bone marrow by flow cytometry could be accepted during the screening period. FISH method is used for cytogenetic examination (CD138</w:t>
      </w:r>
      <w:r w:rsidRPr="00EA599D">
        <w:rPr>
          <w:rFonts w:ascii="Times New Roman" w:hAnsi="Times New Roman" w:cs="Times New Roman"/>
          <w:color w:val="000000"/>
          <w:sz w:val="24"/>
          <w:szCs w:val="24"/>
          <w:vertAlign w:val="superscript"/>
        </w:rPr>
        <w:t>+</w:t>
      </w:r>
      <w:r w:rsidRPr="00857C4A">
        <w:rPr>
          <w:rFonts w:ascii="Times New Roman" w:hAnsi="Times New Roman" w:cs="Times New Roman"/>
          <w:color w:val="000000"/>
          <w:sz w:val="24"/>
          <w:szCs w:val="24"/>
        </w:rPr>
        <w:t xml:space="preserve"> magnetic beads are suggested for sorting myeloma cells or concurrent cytoplasmic immunoglobulin staining to differentiate plasma cells)</w:t>
      </w:r>
      <w:r w:rsidR="00EA599D">
        <w:rPr>
          <w:rFonts w:ascii="Times New Roman" w:hAnsi="Times New Roman" w:cs="Times New Roman"/>
          <w:color w:val="000000"/>
          <w:sz w:val="24"/>
          <w:szCs w:val="24"/>
        </w:rPr>
        <w:t>. D</w:t>
      </w:r>
      <w:r w:rsidRPr="00857C4A">
        <w:rPr>
          <w:rFonts w:ascii="Times New Roman" w:hAnsi="Times New Roman" w:cs="Times New Roman"/>
          <w:color w:val="000000"/>
          <w:sz w:val="24"/>
          <w:szCs w:val="24"/>
        </w:rPr>
        <w:t xml:space="preserve">etection sites recommended include but </w:t>
      </w:r>
      <w:r w:rsidR="0032109D">
        <w:rPr>
          <w:rFonts w:ascii="Times New Roman" w:hAnsi="Times New Roman" w:cs="Times New Roman"/>
          <w:color w:val="000000"/>
          <w:sz w:val="24"/>
          <w:szCs w:val="24"/>
        </w:rPr>
        <w:t xml:space="preserve">are </w:t>
      </w:r>
      <w:r w:rsidRPr="00857C4A">
        <w:rPr>
          <w:rFonts w:ascii="Times New Roman" w:hAnsi="Times New Roman" w:cs="Times New Roman"/>
          <w:color w:val="000000"/>
          <w:sz w:val="24"/>
          <w:szCs w:val="24"/>
        </w:rPr>
        <w:t xml:space="preserve">not limited to </w:t>
      </w:r>
      <w:proofErr w:type="spellStart"/>
      <w:r w:rsidRPr="00857C4A">
        <w:rPr>
          <w:rFonts w:ascii="Times New Roman" w:hAnsi="Times New Roman" w:cs="Times New Roman"/>
          <w:color w:val="000000"/>
          <w:sz w:val="24"/>
          <w:szCs w:val="24"/>
        </w:rPr>
        <w:t>IgH</w:t>
      </w:r>
      <w:proofErr w:type="spellEnd"/>
      <w:r w:rsidRPr="00857C4A">
        <w:rPr>
          <w:rFonts w:ascii="Times New Roman" w:hAnsi="Times New Roman" w:cs="Times New Roman"/>
          <w:color w:val="000000"/>
          <w:sz w:val="24"/>
          <w:szCs w:val="24"/>
        </w:rPr>
        <w:t xml:space="preserve"> translocation, 17p- (p53 deletion), 13q14 deletion, </w:t>
      </w:r>
      <w:r w:rsidR="00EA599D">
        <w:rPr>
          <w:rFonts w:ascii="Times New Roman" w:hAnsi="Times New Roman" w:cs="Times New Roman"/>
          <w:color w:val="000000"/>
          <w:sz w:val="24"/>
          <w:szCs w:val="24"/>
        </w:rPr>
        <w:t xml:space="preserve">and </w:t>
      </w:r>
      <w:r w:rsidRPr="00857C4A">
        <w:rPr>
          <w:rFonts w:ascii="Times New Roman" w:hAnsi="Times New Roman" w:cs="Times New Roman"/>
          <w:color w:val="000000"/>
          <w:sz w:val="24"/>
          <w:szCs w:val="24"/>
        </w:rPr>
        <w:t>1q21 amplification</w:t>
      </w:r>
      <w:r w:rsidR="00EA599D">
        <w:rPr>
          <w:rFonts w:ascii="Times New Roman" w:hAnsi="Times New Roman" w:cs="Times New Roman"/>
          <w:color w:val="000000"/>
          <w:sz w:val="24"/>
          <w:szCs w:val="24"/>
        </w:rPr>
        <w:t>. I</w:t>
      </w:r>
      <w:r w:rsidRPr="00857C4A">
        <w:rPr>
          <w:rFonts w:ascii="Times New Roman" w:hAnsi="Times New Roman" w:cs="Times New Roman"/>
          <w:color w:val="000000"/>
          <w:sz w:val="24"/>
          <w:szCs w:val="24"/>
        </w:rPr>
        <w:t xml:space="preserve">f FISH detection shows that </w:t>
      </w:r>
      <w:proofErr w:type="spellStart"/>
      <w:r w:rsidRPr="00857C4A">
        <w:rPr>
          <w:rFonts w:ascii="Times New Roman" w:hAnsi="Times New Roman" w:cs="Times New Roman"/>
          <w:color w:val="000000"/>
          <w:sz w:val="24"/>
          <w:szCs w:val="24"/>
        </w:rPr>
        <w:t>IgH</w:t>
      </w:r>
      <w:proofErr w:type="spellEnd"/>
      <w:r w:rsidRPr="00857C4A">
        <w:rPr>
          <w:rFonts w:ascii="Times New Roman" w:hAnsi="Times New Roman" w:cs="Times New Roman"/>
          <w:color w:val="000000"/>
          <w:sz w:val="24"/>
          <w:szCs w:val="24"/>
        </w:rPr>
        <w:t xml:space="preserve"> translocation is positive, it is recommended to further detect t (4; 14), t (11; 14), t (14; 16), t (14; 20)</w:t>
      </w:r>
      <w:r w:rsidR="00EA599D">
        <w:rPr>
          <w:rFonts w:ascii="Times New Roman" w:hAnsi="Times New Roman" w:cs="Times New Roman"/>
          <w:color w:val="000000"/>
          <w:sz w:val="24"/>
          <w:szCs w:val="24"/>
        </w:rPr>
        <w:t>. The c</w:t>
      </w:r>
      <w:r w:rsidRPr="00857C4A">
        <w:rPr>
          <w:rFonts w:ascii="Times New Roman" w:hAnsi="Times New Roman" w:cs="Times New Roman"/>
          <w:color w:val="000000"/>
          <w:sz w:val="24"/>
          <w:szCs w:val="24"/>
        </w:rPr>
        <w:t xml:space="preserve">ytogenetic examination is only required during the screening period. If the screening test fails or is not performed, it can be tested again at the baseline assessments. The results of </w:t>
      </w:r>
      <w:r w:rsidR="00EA599D">
        <w:rPr>
          <w:rFonts w:ascii="Times New Roman" w:hAnsi="Times New Roman" w:cs="Times New Roman"/>
          <w:color w:val="000000"/>
          <w:sz w:val="24"/>
          <w:szCs w:val="24"/>
        </w:rPr>
        <w:t xml:space="preserve">the </w:t>
      </w:r>
      <w:r w:rsidRPr="00857C4A">
        <w:rPr>
          <w:rFonts w:ascii="Times New Roman" w:hAnsi="Times New Roman" w:cs="Times New Roman"/>
          <w:color w:val="000000"/>
          <w:sz w:val="24"/>
          <w:szCs w:val="24"/>
        </w:rPr>
        <w:t xml:space="preserve">bone marrow examination within </w:t>
      </w:r>
      <w:r w:rsidR="00EA599D">
        <w:rPr>
          <w:rFonts w:ascii="Times New Roman" w:hAnsi="Times New Roman" w:cs="Times New Roman"/>
          <w:color w:val="000000"/>
          <w:sz w:val="24"/>
          <w:szCs w:val="24"/>
        </w:rPr>
        <w:t>two</w:t>
      </w:r>
      <w:r w:rsidRPr="00857C4A">
        <w:rPr>
          <w:rFonts w:ascii="Times New Roman" w:hAnsi="Times New Roman" w:cs="Times New Roman"/>
          <w:color w:val="000000"/>
          <w:sz w:val="24"/>
          <w:szCs w:val="24"/>
        </w:rPr>
        <w:t xml:space="preserve"> weeks are acceptable in the screening period (but the examination items have to meet the requirements of this study, if there is a missing item, the specimen needs to be collected again</w:t>
      </w:r>
      <w:r w:rsidR="00F076D5" w:rsidRPr="00857C4A">
        <w:rPr>
          <w:rFonts w:ascii="Times New Roman" w:hAnsi="Times New Roman" w:cs="Times New Roman"/>
          <w:color w:val="000000"/>
          <w:sz w:val="24"/>
          <w:szCs w:val="24"/>
        </w:rPr>
        <w:t>).</w:t>
      </w:r>
    </w:p>
    <w:p w14:paraId="77841276" w14:textId="38858092" w:rsidR="004D54F2" w:rsidRPr="006B7A16" w:rsidRDefault="004D54F2" w:rsidP="0027517F">
      <w:pPr>
        <w:pStyle w:val="aff"/>
        <w:numPr>
          <w:ilvl w:val="3"/>
          <w:numId w:val="42"/>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57C4A">
        <w:rPr>
          <w:rFonts w:ascii="Times New Roman" w:hAnsi="Times New Roman" w:cs="Times New Roman"/>
          <w:color w:val="000000"/>
          <w:sz w:val="24"/>
          <w:szCs w:val="24"/>
        </w:rPr>
        <w:t>Record AEs and SAEs: AEs and SAEs will be collected from signing the informed consent. Results from the screening period will not be recorded as AEs unless the</w:t>
      </w:r>
      <w:r w:rsidR="0032109D">
        <w:rPr>
          <w:rFonts w:ascii="Times New Roman" w:hAnsi="Times New Roman" w:cs="Times New Roman"/>
          <w:color w:val="000000"/>
          <w:sz w:val="24"/>
          <w:szCs w:val="24"/>
        </w:rPr>
        <w:t xml:space="preserve"> study procedure causes them</w:t>
      </w:r>
      <w:r w:rsidRPr="00857C4A">
        <w:rPr>
          <w:rFonts w:ascii="Times New Roman" w:hAnsi="Times New Roman" w:cs="Times New Roman"/>
          <w:color w:val="000000"/>
          <w:sz w:val="24"/>
          <w:szCs w:val="24"/>
        </w:rPr>
        <w:t xml:space="preserve">. </w:t>
      </w:r>
      <w:bookmarkStart w:id="123" w:name="_Hlk111814631"/>
      <w:r w:rsidRPr="00857C4A">
        <w:rPr>
          <w:rFonts w:ascii="Times New Roman" w:hAnsi="Times New Roman" w:cs="Times New Roman"/>
          <w:color w:val="000000"/>
          <w:sz w:val="24"/>
          <w:szCs w:val="24"/>
        </w:rPr>
        <w:t xml:space="preserve">AEs should be collected until </w:t>
      </w:r>
      <w:r w:rsidR="00EA599D">
        <w:rPr>
          <w:rFonts w:ascii="Times New Roman" w:hAnsi="Times New Roman" w:cs="Times New Roman"/>
          <w:color w:val="000000"/>
          <w:sz w:val="24"/>
          <w:szCs w:val="24"/>
        </w:rPr>
        <w:t>one</w:t>
      </w:r>
      <w:r w:rsidRPr="00857C4A">
        <w:rPr>
          <w:rFonts w:ascii="Times New Roman" w:hAnsi="Times New Roman" w:cs="Times New Roman"/>
          <w:color w:val="000000"/>
          <w:sz w:val="24"/>
          <w:szCs w:val="24"/>
        </w:rPr>
        <w:t xml:space="preserve"> year after CT103A cell infusion (if PFS </w:t>
      </w:r>
      <w:r w:rsidR="00F458B7">
        <w:rPr>
          <w:rFonts w:ascii="Times New Roman" w:hAnsi="Times New Roman" w:cs="Times New Roman"/>
          <w:color w:val="000000"/>
          <w:sz w:val="24"/>
          <w:szCs w:val="24"/>
        </w:rPr>
        <w:t>≥</w:t>
      </w:r>
      <w:r w:rsidR="00EA599D">
        <w:rPr>
          <w:rFonts w:ascii="Times New Roman" w:hAnsi="Times New Roman" w:cs="Times New Roman"/>
          <w:color w:val="000000"/>
          <w:sz w:val="24"/>
          <w:szCs w:val="24"/>
        </w:rPr>
        <w:t xml:space="preserve"> </w:t>
      </w:r>
      <w:r w:rsidRPr="00857C4A">
        <w:rPr>
          <w:rFonts w:ascii="Times New Roman" w:hAnsi="Times New Roman" w:cs="Times New Roman"/>
          <w:color w:val="000000"/>
          <w:sz w:val="24"/>
          <w:szCs w:val="24"/>
        </w:rPr>
        <w:t>12 months) or at the out</w:t>
      </w:r>
      <w:r w:rsidR="00EA599D">
        <w:rPr>
          <w:rFonts w:ascii="Times New Roman" w:hAnsi="Times New Roman" w:cs="Times New Roman"/>
          <w:color w:val="000000"/>
          <w:sz w:val="24"/>
          <w:szCs w:val="24"/>
        </w:rPr>
        <w:t>-of-</w:t>
      </w:r>
      <w:r w:rsidRPr="00857C4A">
        <w:rPr>
          <w:rFonts w:ascii="Times New Roman" w:hAnsi="Times New Roman" w:cs="Times New Roman"/>
          <w:color w:val="000000"/>
          <w:sz w:val="24"/>
          <w:szCs w:val="24"/>
        </w:rPr>
        <w:t xml:space="preserve">study visit (12 months </w:t>
      </w:r>
      <w:r w:rsidR="00F458B7">
        <w:rPr>
          <w:rFonts w:ascii="Times New Roman" w:hAnsi="Times New Roman" w:cs="Times New Roman"/>
          <w:color w:val="000000"/>
          <w:sz w:val="24"/>
          <w:szCs w:val="24"/>
        </w:rPr>
        <w:t>&gt;</w:t>
      </w:r>
      <w:r w:rsidR="00EA599D">
        <w:rPr>
          <w:rFonts w:ascii="Times New Roman" w:hAnsi="Times New Roman" w:cs="Times New Roman"/>
          <w:color w:val="000000"/>
          <w:sz w:val="24"/>
          <w:szCs w:val="24"/>
        </w:rPr>
        <w:t xml:space="preserve"> </w:t>
      </w:r>
      <w:r w:rsidRPr="00857C4A">
        <w:rPr>
          <w:rFonts w:ascii="Times New Roman" w:hAnsi="Times New Roman" w:cs="Times New Roman"/>
          <w:color w:val="000000"/>
          <w:sz w:val="24"/>
          <w:szCs w:val="24"/>
        </w:rPr>
        <w:t>PFS ≥</w:t>
      </w:r>
      <w:r w:rsidR="00EA599D">
        <w:rPr>
          <w:rFonts w:ascii="Times New Roman" w:hAnsi="Times New Roman" w:cs="Times New Roman"/>
          <w:color w:val="000000"/>
          <w:sz w:val="24"/>
          <w:szCs w:val="24"/>
        </w:rPr>
        <w:t xml:space="preserve"> </w:t>
      </w:r>
      <w:r w:rsidRPr="00857C4A">
        <w:rPr>
          <w:rFonts w:ascii="Times New Roman" w:hAnsi="Times New Roman" w:cs="Times New Roman"/>
          <w:color w:val="000000"/>
          <w:sz w:val="24"/>
          <w:szCs w:val="24"/>
        </w:rPr>
        <w:t>3 months)</w:t>
      </w:r>
      <w:r w:rsidR="0032109D">
        <w:rPr>
          <w:rFonts w:ascii="Times New Roman" w:hAnsi="Times New Roman" w:cs="Times New Roman"/>
          <w:color w:val="000000"/>
          <w:sz w:val="24"/>
          <w:szCs w:val="24"/>
        </w:rPr>
        <w:t>. I</w:t>
      </w:r>
      <w:r w:rsidRPr="00857C4A">
        <w:rPr>
          <w:rFonts w:ascii="Times New Roman" w:hAnsi="Times New Roman" w:cs="Times New Roman"/>
          <w:color w:val="000000"/>
          <w:sz w:val="24"/>
          <w:szCs w:val="24"/>
        </w:rPr>
        <w:t xml:space="preserve">f disease progression occurs within </w:t>
      </w:r>
      <w:r w:rsidR="00EA599D">
        <w:rPr>
          <w:rFonts w:ascii="Times New Roman" w:hAnsi="Times New Roman" w:cs="Times New Roman"/>
          <w:color w:val="000000"/>
          <w:sz w:val="24"/>
          <w:szCs w:val="24"/>
        </w:rPr>
        <w:t>three</w:t>
      </w:r>
      <w:r w:rsidRPr="00857C4A">
        <w:rPr>
          <w:rFonts w:ascii="Times New Roman" w:hAnsi="Times New Roman" w:cs="Times New Roman"/>
          <w:color w:val="000000"/>
          <w:sz w:val="24"/>
          <w:szCs w:val="24"/>
        </w:rPr>
        <w:t xml:space="preserve"> months after the CT103A cell infusion, AEs are collected for up to </w:t>
      </w:r>
      <w:r w:rsidR="00EA599D" w:rsidRPr="00EA599D">
        <w:rPr>
          <w:rFonts w:ascii="Times New Roman" w:eastAsiaTheme="minorEastAsia" w:hAnsi="Times New Roman" w:cs="Times New Roman"/>
          <w:color w:val="000000"/>
          <w:sz w:val="24"/>
          <w:szCs w:val="24"/>
          <w:lang w:eastAsia="zh-CN"/>
        </w:rPr>
        <w:t>three</w:t>
      </w:r>
      <w:r w:rsidRPr="00EA599D">
        <w:rPr>
          <w:rFonts w:ascii="Times New Roman" w:hAnsi="Times New Roman" w:cs="Times New Roman"/>
          <w:color w:val="000000"/>
          <w:sz w:val="24"/>
          <w:szCs w:val="24"/>
        </w:rPr>
        <w:t xml:space="preserve"> </w:t>
      </w:r>
      <w:r w:rsidRPr="00857C4A">
        <w:rPr>
          <w:rFonts w:ascii="Times New Roman" w:hAnsi="Times New Roman" w:cs="Times New Roman"/>
          <w:color w:val="000000"/>
          <w:sz w:val="24"/>
          <w:szCs w:val="24"/>
        </w:rPr>
        <w:t>months after the cell infusion, under the patient</w:t>
      </w:r>
      <w:r w:rsidR="00EA599D" w:rsidRPr="00857C4A">
        <w:rPr>
          <w:rFonts w:ascii="Times New Roman" w:hAnsi="Times New Roman" w:cs="Times New Roman"/>
          <w:color w:val="000000"/>
          <w:sz w:val="24"/>
          <w:szCs w:val="24"/>
        </w:rPr>
        <w:t>s</w:t>
      </w:r>
      <w:r w:rsidRPr="00857C4A">
        <w:rPr>
          <w:rFonts w:ascii="Times New Roman" w:hAnsi="Times New Roman" w:cs="Times New Roman"/>
          <w:color w:val="000000"/>
          <w:sz w:val="24"/>
          <w:szCs w:val="24"/>
        </w:rPr>
        <w:t xml:space="preserve">' cooperation. </w:t>
      </w:r>
      <w:bookmarkEnd w:id="123"/>
      <w:r w:rsidRPr="00857C4A">
        <w:rPr>
          <w:rFonts w:ascii="Times New Roman" w:hAnsi="Times New Roman" w:cs="Times New Roman"/>
          <w:color w:val="000000"/>
          <w:sz w:val="24"/>
          <w:szCs w:val="24"/>
        </w:rPr>
        <w:t xml:space="preserve">All events that meet the reporting criteria of SAE should be reported. If a second malignant tumor occurs, it should be reported as an SAE within </w:t>
      </w:r>
      <w:r w:rsidR="00EA599D">
        <w:rPr>
          <w:rFonts w:ascii="Times New Roman" w:hAnsi="Times New Roman" w:cs="Times New Roman"/>
          <w:color w:val="000000"/>
          <w:sz w:val="24"/>
          <w:szCs w:val="24"/>
        </w:rPr>
        <w:t>one</w:t>
      </w:r>
      <w:r w:rsidRPr="00857C4A">
        <w:rPr>
          <w:rFonts w:ascii="Times New Roman" w:hAnsi="Times New Roman" w:cs="Times New Roman"/>
          <w:color w:val="000000"/>
          <w:sz w:val="24"/>
          <w:szCs w:val="24"/>
        </w:rPr>
        <w:t xml:space="preserve"> year after cell infusion.</w:t>
      </w:r>
    </w:p>
    <w:p w14:paraId="20C532DA" w14:textId="4A7496E4" w:rsidR="004D54F2" w:rsidRPr="006B7A16" w:rsidRDefault="004D54F2" w:rsidP="0027517F">
      <w:pPr>
        <w:pStyle w:val="aff"/>
        <w:numPr>
          <w:ilvl w:val="3"/>
          <w:numId w:val="42"/>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57C4A">
        <w:rPr>
          <w:rFonts w:ascii="Times New Roman" w:hAnsi="Times New Roman" w:cs="Times New Roman"/>
          <w:color w:val="000000"/>
          <w:sz w:val="24"/>
          <w:szCs w:val="24"/>
        </w:rPr>
        <w:t>Record concomitant treatment: After signing the ICF, all medications and non-medication treatment</w:t>
      </w:r>
      <w:r w:rsidR="00EA599D">
        <w:rPr>
          <w:rFonts w:ascii="Times New Roman" w:hAnsi="Times New Roman" w:cs="Times New Roman"/>
          <w:color w:val="000000"/>
          <w:sz w:val="24"/>
          <w:szCs w:val="24"/>
        </w:rPr>
        <w:t>s</w:t>
      </w:r>
      <w:r w:rsidRPr="00857C4A">
        <w:rPr>
          <w:rFonts w:ascii="Times New Roman" w:hAnsi="Times New Roman" w:cs="Times New Roman"/>
          <w:color w:val="000000"/>
          <w:sz w:val="24"/>
          <w:szCs w:val="24"/>
        </w:rPr>
        <w:t xml:space="preserve"> should be recorded, including nutritional supplements, such as vitamins, solvents with therapeutic effects</w:t>
      </w:r>
      <w:r w:rsidR="00EA599D">
        <w:rPr>
          <w:rFonts w:ascii="Times New Roman" w:hAnsi="Times New Roman" w:cs="Times New Roman"/>
          <w:color w:val="000000"/>
          <w:sz w:val="24"/>
          <w:szCs w:val="24"/>
        </w:rPr>
        <w:t>,</w:t>
      </w:r>
      <w:r w:rsidRPr="00857C4A">
        <w:rPr>
          <w:rFonts w:ascii="Times New Roman" w:hAnsi="Times New Roman" w:cs="Times New Roman"/>
          <w:color w:val="000000"/>
          <w:sz w:val="24"/>
          <w:szCs w:val="24"/>
        </w:rPr>
        <w:t xml:space="preserve"> or solvents. It should be collected until </w:t>
      </w:r>
      <w:r w:rsidR="0032109D">
        <w:rPr>
          <w:rFonts w:ascii="Times New Roman" w:hAnsi="Times New Roman" w:cs="Times New Roman"/>
          <w:color w:val="000000"/>
          <w:sz w:val="24"/>
          <w:szCs w:val="24"/>
        </w:rPr>
        <w:t>one</w:t>
      </w:r>
      <w:r w:rsidRPr="00857C4A">
        <w:rPr>
          <w:rFonts w:ascii="Times New Roman" w:hAnsi="Times New Roman" w:cs="Times New Roman"/>
          <w:color w:val="000000"/>
          <w:sz w:val="24"/>
          <w:szCs w:val="24"/>
        </w:rPr>
        <w:t xml:space="preserve"> year after CT103A cell infusion (if PFS ≥12 months) or at the out</w:t>
      </w:r>
      <w:r w:rsidR="0032109D">
        <w:rPr>
          <w:rFonts w:ascii="Times New Roman" w:hAnsi="Times New Roman" w:cs="Times New Roman"/>
          <w:color w:val="000000"/>
          <w:sz w:val="24"/>
          <w:szCs w:val="24"/>
        </w:rPr>
        <w:t>-of-</w:t>
      </w:r>
      <w:r w:rsidRPr="00857C4A">
        <w:rPr>
          <w:rFonts w:ascii="Times New Roman" w:hAnsi="Times New Roman" w:cs="Times New Roman"/>
          <w:color w:val="000000"/>
          <w:sz w:val="24"/>
          <w:szCs w:val="24"/>
        </w:rPr>
        <w:t xml:space="preserve">study visit </w:t>
      </w:r>
      <w:r w:rsidRPr="00857C4A">
        <w:rPr>
          <w:rFonts w:ascii="Times New Roman" w:hAnsi="Times New Roman" w:cs="Times New Roman"/>
          <w:color w:val="000000"/>
          <w:sz w:val="24"/>
          <w:szCs w:val="24"/>
        </w:rPr>
        <w:lastRenderedPageBreak/>
        <w:t xml:space="preserve">(12 months </w:t>
      </w:r>
      <w:r w:rsidR="00F458B7">
        <w:rPr>
          <w:rFonts w:ascii="Times New Roman" w:hAnsi="Times New Roman" w:cs="Times New Roman"/>
          <w:color w:val="000000"/>
          <w:sz w:val="24"/>
          <w:szCs w:val="24"/>
        </w:rPr>
        <w:t>&gt;</w:t>
      </w:r>
      <w:r w:rsidR="0032109D">
        <w:rPr>
          <w:rFonts w:ascii="Times New Roman" w:hAnsi="Times New Roman" w:cs="Times New Roman"/>
          <w:color w:val="000000"/>
          <w:sz w:val="24"/>
          <w:szCs w:val="24"/>
        </w:rPr>
        <w:t xml:space="preserve"> </w:t>
      </w:r>
      <w:r w:rsidRPr="00857C4A">
        <w:rPr>
          <w:rFonts w:ascii="Times New Roman" w:hAnsi="Times New Roman" w:cs="Times New Roman"/>
          <w:color w:val="000000"/>
          <w:sz w:val="24"/>
          <w:szCs w:val="24"/>
        </w:rPr>
        <w:t>PFS ≥</w:t>
      </w:r>
      <w:r w:rsidR="0032109D">
        <w:rPr>
          <w:rFonts w:ascii="Times New Roman" w:hAnsi="Times New Roman" w:cs="Times New Roman"/>
          <w:color w:val="000000"/>
          <w:sz w:val="24"/>
          <w:szCs w:val="24"/>
        </w:rPr>
        <w:t xml:space="preserve"> </w:t>
      </w:r>
      <w:r w:rsidRPr="00857C4A">
        <w:rPr>
          <w:rFonts w:ascii="Times New Roman" w:hAnsi="Times New Roman" w:cs="Times New Roman"/>
          <w:color w:val="000000"/>
          <w:sz w:val="24"/>
          <w:szCs w:val="24"/>
        </w:rPr>
        <w:t xml:space="preserve">3 months). If disease progression occurs within </w:t>
      </w:r>
      <w:r w:rsidR="00EA599D">
        <w:rPr>
          <w:rFonts w:ascii="Times New Roman" w:hAnsi="Times New Roman" w:cs="Times New Roman"/>
          <w:color w:val="000000"/>
          <w:sz w:val="24"/>
          <w:szCs w:val="24"/>
        </w:rPr>
        <w:t>three</w:t>
      </w:r>
      <w:r w:rsidRPr="00857C4A">
        <w:rPr>
          <w:rFonts w:ascii="Times New Roman" w:hAnsi="Times New Roman" w:cs="Times New Roman"/>
          <w:color w:val="000000"/>
          <w:sz w:val="24"/>
          <w:szCs w:val="24"/>
        </w:rPr>
        <w:t xml:space="preserve"> months after CT103A cell infusion, they are collected for up to </w:t>
      </w:r>
      <w:r w:rsidR="0032109D">
        <w:rPr>
          <w:rFonts w:ascii="Times New Roman" w:hAnsi="Times New Roman" w:cs="Times New Roman"/>
          <w:color w:val="000000"/>
          <w:sz w:val="24"/>
          <w:szCs w:val="24"/>
        </w:rPr>
        <w:t>three</w:t>
      </w:r>
      <w:r w:rsidRPr="00857C4A">
        <w:rPr>
          <w:rFonts w:ascii="Times New Roman" w:hAnsi="Times New Roman" w:cs="Times New Roman"/>
          <w:color w:val="000000"/>
          <w:sz w:val="24"/>
          <w:szCs w:val="24"/>
        </w:rPr>
        <w:t xml:space="preserve"> months after the cell infusion, under the patient' s cooperation.</w:t>
      </w:r>
    </w:p>
    <w:p w14:paraId="483CA3F2" w14:textId="79466530" w:rsidR="004D54F2" w:rsidRPr="00857C4A" w:rsidRDefault="004D54F2" w:rsidP="0027517F">
      <w:pPr>
        <w:jc w:val="both"/>
        <w:rPr>
          <w:kern w:val="44"/>
        </w:rPr>
      </w:pPr>
      <w:r w:rsidRPr="00857C4A">
        <w:t>Note</w:t>
      </w:r>
      <w:r w:rsidR="00F317B7">
        <w:t>s</w:t>
      </w:r>
      <w:r w:rsidRPr="00857C4A">
        <w:t>:</w:t>
      </w:r>
    </w:p>
    <w:p w14:paraId="596A5115" w14:textId="65B4E43F" w:rsidR="004D54F2" w:rsidRPr="006B7A16" w:rsidRDefault="004D54F2" w:rsidP="0027517F">
      <w:pPr>
        <w:pStyle w:val="Bullet1"/>
        <w:jc w:val="both"/>
      </w:pPr>
      <w:r w:rsidRPr="006B7A16">
        <w:t xml:space="preserve">If the patient is confirmed as </w:t>
      </w:r>
      <w:r w:rsidR="00EA599D">
        <w:t xml:space="preserve">a </w:t>
      </w:r>
      <w:r w:rsidRPr="006B7A16">
        <w:t>non-secretory MM during the screening and baseline period, the tests (19) to (26) will not be performed in subsequent follow-up visits.</w:t>
      </w:r>
    </w:p>
    <w:p w14:paraId="5EB5681F" w14:textId="46A1F2E7" w:rsidR="004D54F2" w:rsidRPr="006B7A16" w:rsidRDefault="004D54F2" w:rsidP="0027517F">
      <w:pPr>
        <w:pStyle w:val="Bullet1"/>
        <w:jc w:val="both"/>
      </w:pPr>
      <w:r w:rsidRPr="006B7A16">
        <w:t>A Repeat test during the screening period is permitted in this study, including but not limited to laboratory abnormalities or incorrect test value</w:t>
      </w:r>
      <w:r w:rsidR="00EA599D">
        <w:t>s. T</w:t>
      </w:r>
      <w:r w:rsidRPr="006B7A16">
        <w:t xml:space="preserve">he last test results obtained after supportive treatment and re-test will be used to determine whether the patients are eligible to participate in this study. The test results within </w:t>
      </w:r>
      <w:r w:rsidR="00EA599D">
        <w:t>seven</w:t>
      </w:r>
      <w:r w:rsidRPr="006B7A16">
        <w:t xml:space="preserve"> days before the enrollment are acceptable before the re-test, such as </w:t>
      </w:r>
      <w:r w:rsidR="00A324D3">
        <w:t>CBC</w:t>
      </w:r>
      <w:r w:rsidRPr="006B7A16">
        <w:t xml:space="preserve">, </w:t>
      </w:r>
      <w:r w:rsidR="00A324D3">
        <w:t>blood biochemical indexes</w:t>
      </w:r>
      <w:r w:rsidRPr="006B7A16">
        <w:t xml:space="preserve">, coagulation, and urinalysis. However, other tests will be required to meet the window period </w:t>
      </w:r>
      <w:r w:rsidR="0032109D">
        <w:t>listed</w:t>
      </w:r>
      <w:r w:rsidRPr="006B7A16">
        <w:t xml:space="preserve"> by the protocol.</w:t>
      </w:r>
    </w:p>
    <w:p w14:paraId="706850C4" w14:textId="71ABEE49" w:rsidR="004D54F2" w:rsidRPr="006B7A16" w:rsidRDefault="00EA599D" w:rsidP="0027517F">
      <w:pPr>
        <w:pStyle w:val="Bullet1"/>
        <w:jc w:val="both"/>
      </w:pPr>
      <w:r>
        <w:t>The p</w:t>
      </w:r>
      <w:r w:rsidR="004D54F2" w:rsidRPr="006B7A16">
        <w:t xml:space="preserve">atient who fails </w:t>
      </w:r>
      <w:r>
        <w:rPr>
          <w:rFonts w:eastAsiaTheme="minorEastAsia" w:cs="Times New Roman"/>
          <w:lang w:eastAsia="zh-CN"/>
        </w:rPr>
        <w:t xml:space="preserve">in </w:t>
      </w:r>
      <w:r w:rsidR="004D54F2" w:rsidRPr="006B7A16">
        <w:t>screening will be allowed for a second screening, which will require re-sign</w:t>
      </w:r>
      <w:r>
        <w:t>ing</w:t>
      </w:r>
      <w:r w:rsidR="004D54F2" w:rsidRPr="006B7A16">
        <w:t xml:space="preserve"> the informed consent form</w:t>
      </w:r>
      <w:r>
        <w:t>,</w:t>
      </w:r>
      <w:r w:rsidR="004D54F2" w:rsidRPr="006B7A16">
        <w:t xml:space="preserve"> and the patient will be assigned a new patient number.</w:t>
      </w:r>
    </w:p>
    <w:p w14:paraId="6CEF516F" w14:textId="5C8CB57C" w:rsidR="004D54F2" w:rsidRPr="006B7A16" w:rsidRDefault="004D54F2" w:rsidP="0027517F">
      <w:pPr>
        <w:pStyle w:val="Bullet1"/>
        <w:jc w:val="both"/>
      </w:pPr>
      <w:r w:rsidRPr="006B7A16">
        <w:t>One patient may receive only one repeat test or re-screening.</w:t>
      </w:r>
    </w:p>
    <w:p w14:paraId="7BA83935" w14:textId="1DB04D2C" w:rsidR="004D54F2" w:rsidRDefault="004D54F2" w:rsidP="0027517F">
      <w:pPr>
        <w:pStyle w:val="30"/>
        <w:jc w:val="both"/>
        <w:rPr>
          <w:rFonts w:eastAsia="宋体"/>
        </w:rPr>
      </w:pPr>
      <w:bookmarkStart w:id="124" w:name="_Toc112064863"/>
      <w:r>
        <w:t>Enrollment</w:t>
      </w:r>
      <w:bookmarkEnd w:id="124"/>
    </w:p>
    <w:p w14:paraId="1EAC156C" w14:textId="3A954045" w:rsidR="0071326F" w:rsidRPr="0071326F" w:rsidRDefault="004D54F2" w:rsidP="0027517F">
      <w:pPr>
        <w:jc w:val="both"/>
        <w:rPr>
          <w:color w:val="000000"/>
        </w:rPr>
      </w:pPr>
      <w:r w:rsidRPr="0071326F">
        <w:rPr>
          <w:color w:val="000000"/>
        </w:rPr>
        <w:t>Patients should complete the visits according to the schedule of assessments during the screening period. Patients who meet the enrollment criteria will be allocated a patient number after the investigators' assessment.</w:t>
      </w:r>
    </w:p>
    <w:p w14:paraId="17B0D51A" w14:textId="73F74967" w:rsidR="004D54F2" w:rsidRDefault="004D54F2" w:rsidP="0027517F">
      <w:pPr>
        <w:pStyle w:val="20"/>
        <w:jc w:val="both"/>
        <w:rPr>
          <w:lang w:val="en"/>
        </w:rPr>
      </w:pPr>
      <w:bookmarkStart w:id="125" w:name="_Toc111916580"/>
      <w:bookmarkStart w:id="126" w:name="_Toc111916711"/>
      <w:bookmarkStart w:id="127" w:name="_Toc111916837"/>
      <w:bookmarkStart w:id="128" w:name="_Toc111917092"/>
      <w:bookmarkStart w:id="129" w:name="_Toc112052870"/>
      <w:bookmarkStart w:id="130" w:name="_Toc112053007"/>
      <w:bookmarkStart w:id="131" w:name="_Toc112064864"/>
      <w:bookmarkEnd w:id="125"/>
      <w:bookmarkEnd w:id="126"/>
      <w:bookmarkEnd w:id="127"/>
      <w:bookmarkEnd w:id="128"/>
      <w:bookmarkEnd w:id="129"/>
      <w:bookmarkEnd w:id="130"/>
      <w:r>
        <w:rPr>
          <w:lang w:val="en"/>
        </w:rPr>
        <w:t>PBMC Collection (</w:t>
      </w:r>
      <w:r w:rsidR="003857EE">
        <w:rPr>
          <w:lang w:val="en"/>
        </w:rPr>
        <w:t>day -56</w:t>
      </w:r>
      <w:r>
        <w:rPr>
          <w:lang w:val="en"/>
        </w:rPr>
        <w:t xml:space="preserve"> to </w:t>
      </w:r>
      <w:r w:rsidR="003857EE">
        <w:rPr>
          <w:lang w:val="en"/>
        </w:rPr>
        <w:t xml:space="preserve">day </w:t>
      </w:r>
      <w:r>
        <w:rPr>
          <w:lang w:val="en"/>
        </w:rPr>
        <w:t>-18)</w:t>
      </w:r>
      <w:bookmarkEnd w:id="131"/>
    </w:p>
    <w:p w14:paraId="75EBF98B" w14:textId="3E5AB7E9" w:rsidR="004D54F2" w:rsidRPr="00F317B7" w:rsidRDefault="004D54F2" w:rsidP="0027517F">
      <w:pPr>
        <w:jc w:val="both"/>
        <w:rPr>
          <w:color w:val="000000"/>
        </w:rPr>
      </w:pPr>
      <w:r w:rsidRPr="00F317B7">
        <w:rPr>
          <w:color w:val="000000"/>
        </w:rPr>
        <w:t>Apheresis is performed according to the standard practice of the institution, the goal is to deliver it to the preparation site with a minimum of 1 × 10</w:t>
      </w:r>
      <w:r w:rsidRPr="00F317B7">
        <w:rPr>
          <w:color w:val="000000"/>
          <w:vertAlign w:val="superscript"/>
        </w:rPr>
        <w:t>9</w:t>
      </w:r>
      <w:r w:rsidRPr="00F317B7">
        <w:rPr>
          <w:color w:val="000000"/>
        </w:rPr>
        <w:t xml:space="preserve"> PBMCs in an apheresis sample (to ensure success rate of cell product preparation, it is suggested to collect more than 2 × 10</w:t>
      </w:r>
      <w:r w:rsidRPr="00F317B7">
        <w:rPr>
          <w:color w:val="000000"/>
          <w:vertAlign w:val="superscript"/>
        </w:rPr>
        <w:t>9</w:t>
      </w:r>
      <w:r w:rsidRPr="00F317B7">
        <w:rPr>
          <w:color w:val="000000"/>
        </w:rPr>
        <w:t xml:space="preserve"> PBMCs), and </w:t>
      </w:r>
      <w:r w:rsidR="00EA599D">
        <w:rPr>
          <w:color w:val="000000"/>
        </w:rPr>
        <w:t>two</w:t>
      </w:r>
      <w:r w:rsidRPr="00F317B7">
        <w:rPr>
          <w:color w:val="000000"/>
        </w:rPr>
        <w:t xml:space="preserve"> times of </w:t>
      </w:r>
      <w:r w:rsidR="0032109D">
        <w:rPr>
          <w:color w:val="000000"/>
        </w:rPr>
        <w:t>apheresis</w:t>
      </w:r>
      <w:r w:rsidRPr="00F317B7">
        <w:rPr>
          <w:color w:val="000000"/>
        </w:rPr>
        <w:t xml:space="preserve"> may be arranged to achieve this target amount.</w:t>
      </w:r>
    </w:p>
    <w:p w14:paraId="78D1450D" w14:textId="14CB9BBB" w:rsidR="004D54F2" w:rsidRPr="00F317B7" w:rsidRDefault="004D54F2" w:rsidP="0027517F">
      <w:pPr>
        <w:jc w:val="both"/>
        <w:rPr>
          <w:color w:val="000000"/>
        </w:rPr>
      </w:pPr>
      <w:r w:rsidRPr="00F317B7">
        <w:rPr>
          <w:color w:val="000000"/>
        </w:rPr>
        <w:t xml:space="preserve">If disease progression occurs after PBMC collection, the investigator may decide whether to administer bridging therapy. </w:t>
      </w:r>
    </w:p>
    <w:p w14:paraId="0F52F1CC" w14:textId="1D458915" w:rsidR="004D54F2" w:rsidRPr="00F317B7" w:rsidRDefault="004D54F2" w:rsidP="0027517F">
      <w:pPr>
        <w:jc w:val="both"/>
        <w:rPr>
          <w:color w:val="000000"/>
        </w:rPr>
      </w:pPr>
      <w:r w:rsidRPr="00F317B7">
        <w:rPr>
          <w:color w:val="000000"/>
        </w:rPr>
        <w:t xml:space="preserve">The assessments </w:t>
      </w:r>
      <w:r w:rsidR="00EA599D">
        <w:rPr>
          <w:color w:val="000000"/>
        </w:rPr>
        <w:t>during</w:t>
      </w:r>
      <w:r w:rsidRPr="00F317B7">
        <w:rPr>
          <w:color w:val="000000"/>
        </w:rPr>
        <w:t xml:space="preserve"> the visit of </w:t>
      </w:r>
      <w:r w:rsidR="00EA599D">
        <w:rPr>
          <w:color w:val="000000"/>
        </w:rPr>
        <w:t xml:space="preserve">the </w:t>
      </w:r>
      <w:r w:rsidRPr="00F317B7">
        <w:rPr>
          <w:color w:val="000000"/>
        </w:rPr>
        <w:t>PBMC collection are as follows:</w:t>
      </w:r>
    </w:p>
    <w:p w14:paraId="7C12CC23" w14:textId="203AC626" w:rsidR="004D54F2" w:rsidRPr="0071326F" w:rsidRDefault="004D54F2" w:rsidP="0027517F">
      <w:pPr>
        <w:pStyle w:val="aff"/>
        <w:numPr>
          <w:ilvl w:val="3"/>
          <w:numId w:val="125"/>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71326F">
        <w:rPr>
          <w:rFonts w:ascii="Times New Roman" w:hAnsi="Times New Roman" w:cs="Times New Roman"/>
          <w:color w:val="000000"/>
          <w:sz w:val="24"/>
          <w:szCs w:val="24"/>
        </w:rPr>
        <w:t xml:space="preserve">Body height/weight/body surface </w:t>
      </w:r>
      <w:r w:rsidR="00F076D5" w:rsidRPr="0071326F">
        <w:rPr>
          <w:rFonts w:ascii="Times New Roman" w:hAnsi="Times New Roman" w:cs="Times New Roman"/>
          <w:color w:val="000000"/>
          <w:sz w:val="24"/>
          <w:szCs w:val="24"/>
        </w:rPr>
        <w:t>area.</w:t>
      </w:r>
    </w:p>
    <w:p w14:paraId="782E6148" w14:textId="09D067D0" w:rsidR="004D54F2" w:rsidRPr="0071326F" w:rsidRDefault="004D54F2" w:rsidP="0027517F">
      <w:pPr>
        <w:pStyle w:val="aff"/>
        <w:numPr>
          <w:ilvl w:val="3"/>
          <w:numId w:val="125"/>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71326F">
        <w:rPr>
          <w:rFonts w:ascii="Times New Roman" w:hAnsi="Times New Roman" w:cs="Times New Roman"/>
          <w:color w:val="000000"/>
          <w:sz w:val="24"/>
          <w:szCs w:val="24"/>
        </w:rPr>
        <w:t xml:space="preserve">Vital signs: include heart rate, blood pressure, respiratory rate, and axillary </w:t>
      </w:r>
      <w:r w:rsidR="00F076D5" w:rsidRPr="0071326F">
        <w:rPr>
          <w:rFonts w:ascii="Times New Roman" w:hAnsi="Times New Roman" w:cs="Times New Roman"/>
          <w:color w:val="000000"/>
          <w:sz w:val="24"/>
          <w:szCs w:val="24"/>
        </w:rPr>
        <w:t>temperature.</w:t>
      </w:r>
    </w:p>
    <w:p w14:paraId="2657100D" w14:textId="43BE5010" w:rsidR="004D54F2" w:rsidRPr="0071326F" w:rsidRDefault="00F26339" w:rsidP="0027517F">
      <w:pPr>
        <w:pStyle w:val="aff"/>
        <w:numPr>
          <w:ilvl w:val="3"/>
          <w:numId w:val="125"/>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t>CBC</w:t>
      </w:r>
      <w:r w:rsidR="00F076D5" w:rsidRPr="0071326F">
        <w:rPr>
          <w:rFonts w:ascii="Times New Roman" w:hAnsi="Times New Roman" w:cs="Times New Roman"/>
          <w:color w:val="000000"/>
          <w:sz w:val="24"/>
          <w:szCs w:val="24"/>
        </w:rPr>
        <w:t>.</w:t>
      </w:r>
    </w:p>
    <w:p w14:paraId="750F972A" w14:textId="771260BB" w:rsidR="004D54F2" w:rsidRPr="0071326F" w:rsidRDefault="004D54F2" w:rsidP="0027517F">
      <w:pPr>
        <w:pStyle w:val="aff"/>
        <w:numPr>
          <w:ilvl w:val="3"/>
          <w:numId w:val="125"/>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71326F">
        <w:rPr>
          <w:rFonts w:ascii="Times New Roman" w:hAnsi="Times New Roman" w:cs="Times New Roman"/>
          <w:color w:val="000000"/>
          <w:sz w:val="24"/>
          <w:szCs w:val="24"/>
        </w:rPr>
        <w:lastRenderedPageBreak/>
        <w:t>Laboratory tests (</w:t>
      </w:r>
      <w:r w:rsidR="00A324D3">
        <w:rPr>
          <w:rFonts w:ascii="Times New Roman" w:hAnsi="Times New Roman" w:cs="Times New Roman"/>
          <w:color w:val="000000"/>
          <w:sz w:val="24"/>
          <w:szCs w:val="24"/>
        </w:rPr>
        <w:t>blood biochemical indexes</w:t>
      </w:r>
      <w:r w:rsidRPr="0071326F">
        <w:rPr>
          <w:rFonts w:ascii="Times New Roman" w:hAnsi="Times New Roman" w:cs="Times New Roman"/>
          <w:color w:val="000000"/>
          <w:sz w:val="24"/>
          <w:szCs w:val="24"/>
        </w:rPr>
        <w:t xml:space="preserve"> [fasting], coagulation, and urinalysis</w:t>
      </w:r>
      <w:r w:rsidR="00F076D5" w:rsidRPr="0071326F">
        <w:rPr>
          <w:rFonts w:ascii="Times New Roman" w:hAnsi="Times New Roman" w:cs="Times New Roman"/>
          <w:color w:val="000000"/>
          <w:sz w:val="24"/>
          <w:szCs w:val="24"/>
        </w:rPr>
        <w:t>).</w:t>
      </w:r>
    </w:p>
    <w:p w14:paraId="72271B4B" w14:textId="5454F390" w:rsidR="004D54F2" w:rsidRPr="0071326F" w:rsidRDefault="004D54F2" w:rsidP="0027517F">
      <w:pPr>
        <w:pStyle w:val="aff"/>
        <w:numPr>
          <w:ilvl w:val="3"/>
          <w:numId w:val="125"/>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71326F">
        <w:rPr>
          <w:rFonts w:ascii="Times New Roman" w:hAnsi="Times New Roman" w:cs="Times New Roman"/>
          <w:color w:val="000000"/>
          <w:sz w:val="24"/>
          <w:szCs w:val="24"/>
        </w:rPr>
        <w:t xml:space="preserve">Review of apheresis </w:t>
      </w:r>
      <w:r w:rsidR="00F076D5" w:rsidRPr="0071326F">
        <w:rPr>
          <w:rFonts w:ascii="Times New Roman" w:hAnsi="Times New Roman" w:cs="Times New Roman"/>
          <w:color w:val="000000"/>
          <w:sz w:val="24"/>
          <w:szCs w:val="24"/>
        </w:rPr>
        <w:t>standard.</w:t>
      </w:r>
    </w:p>
    <w:p w14:paraId="614F01F5" w14:textId="5A10C795" w:rsidR="004D54F2" w:rsidRPr="0071326F" w:rsidRDefault="004D54F2" w:rsidP="0027517F">
      <w:pPr>
        <w:pStyle w:val="aff"/>
        <w:numPr>
          <w:ilvl w:val="3"/>
          <w:numId w:val="125"/>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71326F">
        <w:rPr>
          <w:rFonts w:ascii="Times New Roman" w:hAnsi="Times New Roman" w:cs="Times New Roman"/>
          <w:color w:val="000000"/>
          <w:sz w:val="24"/>
          <w:szCs w:val="24"/>
        </w:rPr>
        <w:t>PBMC collection (additional 3 mL is collected for exploratory studies</w:t>
      </w:r>
      <w:r w:rsidR="00F076D5" w:rsidRPr="0071326F">
        <w:rPr>
          <w:rFonts w:ascii="Times New Roman" w:hAnsi="Times New Roman" w:cs="Times New Roman"/>
          <w:color w:val="000000"/>
          <w:sz w:val="24"/>
          <w:szCs w:val="24"/>
        </w:rPr>
        <w:t>).</w:t>
      </w:r>
    </w:p>
    <w:p w14:paraId="2F0AFBA2" w14:textId="50C58B06" w:rsidR="004D54F2" w:rsidRPr="0071326F" w:rsidRDefault="004D54F2" w:rsidP="0027517F">
      <w:pPr>
        <w:pStyle w:val="aff"/>
        <w:numPr>
          <w:ilvl w:val="3"/>
          <w:numId w:val="125"/>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71326F">
        <w:rPr>
          <w:rFonts w:ascii="Times New Roman" w:hAnsi="Times New Roman" w:cs="Times New Roman"/>
          <w:color w:val="000000"/>
          <w:sz w:val="24"/>
          <w:szCs w:val="24"/>
        </w:rPr>
        <w:t xml:space="preserve">Record AEs and </w:t>
      </w:r>
      <w:r w:rsidR="00F076D5" w:rsidRPr="0071326F">
        <w:rPr>
          <w:rFonts w:ascii="Times New Roman" w:hAnsi="Times New Roman" w:cs="Times New Roman"/>
          <w:color w:val="000000"/>
          <w:sz w:val="24"/>
          <w:szCs w:val="24"/>
        </w:rPr>
        <w:t>SAEs.</w:t>
      </w:r>
    </w:p>
    <w:p w14:paraId="53643158" w14:textId="165A5870" w:rsidR="004D54F2" w:rsidRPr="0071326F" w:rsidRDefault="004D54F2" w:rsidP="0027517F">
      <w:pPr>
        <w:pStyle w:val="aff"/>
        <w:numPr>
          <w:ilvl w:val="3"/>
          <w:numId w:val="125"/>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71326F">
        <w:rPr>
          <w:rFonts w:ascii="Times New Roman" w:hAnsi="Times New Roman" w:cs="Times New Roman"/>
          <w:color w:val="000000"/>
          <w:sz w:val="24"/>
          <w:szCs w:val="24"/>
        </w:rPr>
        <w:t>Record concomitant treatment and bridging therapy.</w:t>
      </w:r>
    </w:p>
    <w:p w14:paraId="53164621" w14:textId="77777777" w:rsidR="004D54F2" w:rsidRPr="0071326F" w:rsidRDefault="004D54F2" w:rsidP="0027517F">
      <w:pPr>
        <w:jc w:val="both"/>
        <w:rPr>
          <w:b/>
          <w:bCs/>
          <w:kern w:val="44"/>
        </w:rPr>
      </w:pPr>
      <w:r w:rsidRPr="0071326F">
        <w:rPr>
          <w:b/>
          <w:bCs/>
        </w:rPr>
        <w:t>Secondary Apheresis</w:t>
      </w:r>
    </w:p>
    <w:p w14:paraId="188D2FF1" w14:textId="66B6B7FD" w:rsidR="004D54F2" w:rsidRDefault="004D54F2" w:rsidP="0027517F">
      <w:pPr>
        <w:jc w:val="both"/>
        <w:rPr>
          <w:kern w:val="44"/>
        </w:rPr>
      </w:pPr>
      <w:r>
        <w:t>Secondary apheresis is allowed before the baseline assessment</w:t>
      </w:r>
      <w:r w:rsidR="00EA599D">
        <w:t>. T</w:t>
      </w:r>
      <w:r>
        <w:t>o ensure a minimum of 1×10</w:t>
      </w:r>
      <w:r>
        <w:rPr>
          <w:vertAlign w:val="superscript"/>
        </w:rPr>
        <w:t>9</w:t>
      </w:r>
      <w:r>
        <w:t xml:space="preserve"> PBMC in the apheresis specimen, </w:t>
      </w:r>
      <w:r w:rsidR="00EA599D">
        <w:t>two</w:t>
      </w:r>
      <w:r>
        <w:t xml:space="preserve"> times of apheresis will be arranged. The standard of apheresis should be reviewed again before the secondary apheresis to assess whether it is suitable for secondary apheresis. Secondary apheresis cannot be performed under the following situation:</w:t>
      </w:r>
    </w:p>
    <w:p w14:paraId="7B74DCC1" w14:textId="0ABD4D70" w:rsidR="004D54F2" w:rsidRPr="0071326F" w:rsidRDefault="004D54F2" w:rsidP="0027517F">
      <w:pPr>
        <w:pStyle w:val="Bullet1"/>
        <w:jc w:val="both"/>
      </w:pPr>
      <w:r w:rsidRPr="0071326F">
        <w:t xml:space="preserve">The quality problems of mononuclear cells of the patients themselves lead to unsuccessful CAR-T cell </w:t>
      </w:r>
      <w:r w:rsidR="00F076D5" w:rsidRPr="0071326F">
        <w:t>preparation.</w:t>
      </w:r>
    </w:p>
    <w:p w14:paraId="4D45DEC2" w14:textId="74814F3D" w:rsidR="004D54F2" w:rsidRPr="0071326F" w:rsidRDefault="004D54F2" w:rsidP="0027517F">
      <w:pPr>
        <w:pStyle w:val="Bullet1"/>
        <w:jc w:val="both"/>
      </w:pPr>
      <w:r w:rsidRPr="0071326F">
        <w:t xml:space="preserve">Unsuccessful CAR-T cell preparation due to non-compliance with the standard of </w:t>
      </w:r>
      <w:r w:rsidR="00F076D5" w:rsidRPr="0071326F">
        <w:t>apheresis.</w:t>
      </w:r>
    </w:p>
    <w:p w14:paraId="0C7FA20E" w14:textId="04045490" w:rsidR="004D54F2" w:rsidRPr="0071326F" w:rsidRDefault="004D54F2" w:rsidP="0027517F">
      <w:pPr>
        <w:pStyle w:val="Bullet1"/>
        <w:jc w:val="both"/>
      </w:pPr>
      <w:r w:rsidRPr="0071326F">
        <w:t>The investigator’s comprehensive assessment is not appropriate for secondary apheresis.</w:t>
      </w:r>
    </w:p>
    <w:p w14:paraId="0A361884" w14:textId="5D25311B" w:rsidR="004D54F2" w:rsidRDefault="004D54F2" w:rsidP="0027517F">
      <w:pPr>
        <w:pStyle w:val="20"/>
        <w:jc w:val="both"/>
        <w:rPr>
          <w:lang w:val="en"/>
        </w:rPr>
      </w:pPr>
      <w:bookmarkStart w:id="132" w:name="_Toc112064865"/>
      <w:r>
        <w:rPr>
          <w:lang w:val="en"/>
        </w:rPr>
        <w:t xml:space="preserve">Baseline Assessments (within 7 d before </w:t>
      </w:r>
      <w:r w:rsidR="003857EE">
        <w:rPr>
          <w:lang w:val="en"/>
        </w:rPr>
        <w:t>L</w:t>
      </w:r>
      <w:r w:rsidR="003857EE" w:rsidRPr="008B5030">
        <w:rPr>
          <w:lang w:val="en"/>
        </w:rPr>
        <w:t xml:space="preserve">ymphodepleting </w:t>
      </w:r>
      <w:r w:rsidR="003857EE">
        <w:rPr>
          <w:lang w:val="en"/>
        </w:rPr>
        <w:t>C</w:t>
      </w:r>
      <w:r w:rsidR="003857EE" w:rsidRPr="008B5030">
        <w:rPr>
          <w:lang w:val="en"/>
        </w:rPr>
        <w:t>onditioning</w:t>
      </w:r>
      <w:r>
        <w:rPr>
          <w:lang w:val="en"/>
        </w:rPr>
        <w:t>)</w:t>
      </w:r>
      <w:bookmarkEnd w:id="132"/>
    </w:p>
    <w:p w14:paraId="585729C3" w14:textId="39D3F816" w:rsidR="004D54F2" w:rsidRPr="00014392" w:rsidRDefault="004D54F2" w:rsidP="0027517F">
      <w:pPr>
        <w:jc w:val="both"/>
        <w:rPr>
          <w:lang w:val="en-GB"/>
        </w:rPr>
      </w:pPr>
      <w:r w:rsidRPr="004D54F2">
        <w:rPr>
          <w:lang w:val="en-GB"/>
        </w:rPr>
        <w:t>The baseline assess</w:t>
      </w:r>
      <w:r>
        <w:rPr>
          <w:lang w:val="en-GB"/>
        </w:rPr>
        <w:t>ments</w:t>
      </w:r>
      <w:r w:rsidRPr="004D54F2">
        <w:rPr>
          <w:lang w:val="en-GB"/>
        </w:rPr>
        <w:t xml:space="preserve"> will be completed within </w:t>
      </w:r>
      <w:r w:rsidR="00EA599D">
        <w:rPr>
          <w:lang w:val="en-GB"/>
        </w:rPr>
        <w:t>seven</w:t>
      </w:r>
      <w:r w:rsidRPr="004D54F2">
        <w:rPr>
          <w:lang w:val="en-GB"/>
        </w:rPr>
        <w:t xml:space="preserve"> days before the lymphodepletion conditioning (vital signs and physical examination will be conducted within </w:t>
      </w:r>
      <w:r w:rsidR="00EA599D">
        <w:rPr>
          <w:lang w:val="en-GB"/>
        </w:rPr>
        <w:t>one</w:t>
      </w:r>
      <w:r w:rsidRPr="004D54F2">
        <w:rPr>
          <w:lang w:val="en-GB"/>
        </w:rPr>
        <w:t xml:space="preserve"> day before the lymphodepletion preconditioning). Lymphodepletion conditioning can be conducted when the results of each test meet the criteria of lymphodepletion treatment. The results of the baseline assessments within 14 days before the lymphodepletion conditioning are acceptable if lymphodepletion conditioning delays. For bone marrow aspiration/biopsy-related tests at baseline, the results are acceptable within </w:t>
      </w:r>
      <w:r w:rsidR="00EA599D">
        <w:rPr>
          <w:lang w:val="en-GB"/>
        </w:rPr>
        <w:t>four</w:t>
      </w:r>
      <w:r w:rsidRPr="004D54F2">
        <w:rPr>
          <w:lang w:val="en-GB"/>
        </w:rPr>
        <w:t xml:space="preserve"> weeks for non-secretory patients</w:t>
      </w:r>
      <w:r w:rsidR="00EA599D">
        <w:rPr>
          <w:lang w:val="en-GB"/>
        </w:rPr>
        <w:t>,</w:t>
      </w:r>
      <w:r w:rsidRPr="004D54F2">
        <w:rPr>
          <w:lang w:val="en-GB"/>
        </w:rPr>
        <w:t xml:space="preserve"> and the investigator will assess whether a re-test is required for secretory patients. Before lymphodepletion conditioning, related-examination results should be confirmed again to ensure that patients meet the criteria of lymphodepletion conditioning. </w:t>
      </w:r>
    </w:p>
    <w:p w14:paraId="06DAC859" w14:textId="3F0D6459" w:rsidR="004D54F2" w:rsidRDefault="004D54F2" w:rsidP="0027517F">
      <w:pPr>
        <w:snapToGrid w:val="0"/>
        <w:spacing w:afterLines="50" w:line="360" w:lineRule="auto"/>
        <w:jc w:val="both"/>
        <w:rPr>
          <w:kern w:val="44"/>
        </w:rPr>
      </w:pPr>
      <w:r>
        <w:t>The assessments during the Baseline are as follows:</w:t>
      </w:r>
    </w:p>
    <w:p w14:paraId="1244C298" w14:textId="1FC9D950" w:rsidR="004D54F2" w:rsidRPr="0071326F" w:rsidRDefault="004D54F2" w:rsidP="0027517F">
      <w:pPr>
        <w:pStyle w:val="aff"/>
        <w:numPr>
          <w:ilvl w:val="3"/>
          <w:numId w:val="127"/>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71326F">
        <w:rPr>
          <w:rFonts w:ascii="Times New Roman" w:hAnsi="Times New Roman" w:cs="Times New Roman"/>
          <w:color w:val="000000"/>
          <w:sz w:val="24"/>
          <w:szCs w:val="24"/>
        </w:rPr>
        <w:t xml:space="preserve">Physical </w:t>
      </w:r>
      <w:r w:rsidR="00F076D5" w:rsidRPr="0071326F">
        <w:rPr>
          <w:rFonts w:ascii="Times New Roman" w:hAnsi="Times New Roman" w:cs="Times New Roman"/>
          <w:color w:val="000000"/>
          <w:sz w:val="24"/>
          <w:szCs w:val="24"/>
        </w:rPr>
        <w:t>examination.</w:t>
      </w:r>
    </w:p>
    <w:p w14:paraId="72EA06E6" w14:textId="1DA2992C" w:rsidR="004D54F2" w:rsidRPr="0071326F" w:rsidRDefault="004D54F2" w:rsidP="0027517F">
      <w:pPr>
        <w:pStyle w:val="aff"/>
        <w:numPr>
          <w:ilvl w:val="3"/>
          <w:numId w:val="127"/>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71326F">
        <w:rPr>
          <w:rFonts w:ascii="Times New Roman" w:hAnsi="Times New Roman" w:cs="Times New Roman"/>
          <w:color w:val="000000"/>
          <w:sz w:val="24"/>
          <w:szCs w:val="24"/>
        </w:rPr>
        <w:t xml:space="preserve">Vital signs: include heart rate, blood pressure, axillary temperature, and respiratory rate; ECOG </w:t>
      </w:r>
      <w:r w:rsidR="00F076D5" w:rsidRPr="0071326F">
        <w:rPr>
          <w:rFonts w:ascii="Times New Roman" w:hAnsi="Times New Roman" w:cs="Times New Roman"/>
          <w:color w:val="000000"/>
          <w:sz w:val="24"/>
          <w:szCs w:val="24"/>
        </w:rPr>
        <w:t>score.</w:t>
      </w:r>
    </w:p>
    <w:p w14:paraId="1717A2EA" w14:textId="01DAEEED" w:rsidR="004D54F2" w:rsidRPr="0071326F" w:rsidRDefault="004D54F2" w:rsidP="0027517F">
      <w:pPr>
        <w:pStyle w:val="aff"/>
        <w:numPr>
          <w:ilvl w:val="3"/>
          <w:numId w:val="127"/>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71326F">
        <w:rPr>
          <w:rFonts w:ascii="Times New Roman" w:hAnsi="Times New Roman" w:cs="Times New Roman"/>
          <w:color w:val="000000"/>
          <w:sz w:val="24"/>
          <w:szCs w:val="24"/>
        </w:rPr>
        <w:t>12-</w:t>
      </w:r>
      <w:r w:rsidR="00F317B7">
        <w:rPr>
          <w:rFonts w:ascii="Times New Roman" w:hAnsi="Times New Roman" w:cs="Times New Roman"/>
          <w:color w:val="000000"/>
          <w:sz w:val="24"/>
          <w:szCs w:val="24"/>
        </w:rPr>
        <w:t>l</w:t>
      </w:r>
      <w:r w:rsidRPr="0071326F">
        <w:rPr>
          <w:rFonts w:ascii="Times New Roman" w:hAnsi="Times New Roman" w:cs="Times New Roman"/>
          <w:color w:val="000000"/>
          <w:sz w:val="24"/>
          <w:szCs w:val="24"/>
        </w:rPr>
        <w:t xml:space="preserve">ead </w:t>
      </w:r>
      <w:r w:rsidR="0048556E">
        <w:rPr>
          <w:rFonts w:ascii="Times New Roman" w:hAnsi="Times New Roman" w:cs="Times New Roman"/>
          <w:color w:val="000000"/>
          <w:sz w:val="24"/>
          <w:szCs w:val="24"/>
        </w:rPr>
        <w:t>ECG</w:t>
      </w:r>
      <w:r w:rsidR="0048556E" w:rsidRPr="0071326F">
        <w:rPr>
          <w:rFonts w:ascii="Times New Roman" w:hAnsi="Times New Roman" w:cs="Times New Roman"/>
          <w:color w:val="000000"/>
          <w:sz w:val="24"/>
          <w:szCs w:val="24"/>
        </w:rPr>
        <w:t xml:space="preserve"> </w:t>
      </w:r>
      <w:r w:rsidR="00F076D5" w:rsidRPr="0071326F">
        <w:rPr>
          <w:rFonts w:ascii="Times New Roman" w:hAnsi="Times New Roman" w:cs="Times New Roman"/>
          <w:color w:val="000000"/>
          <w:sz w:val="24"/>
          <w:szCs w:val="24"/>
        </w:rPr>
        <w:t>examination.</w:t>
      </w:r>
    </w:p>
    <w:p w14:paraId="00D19A24" w14:textId="470CA794" w:rsidR="004D54F2" w:rsidRPr="0071326F" w:rsidRDefault="004D54F2" w:rsidP="0027517F">
      <w:pPr>
        <w:pStyle w:val="aff"/>
        <w:numPr>
          <w:ilvl w:val="3"/>
          <w:numId w:val="127"/>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71326F">
        <w:rPr>
          <w:rFonts w:ascii="Times New Roman" w:hAnsi="Times New Roman" w:cs="Times New Roman"/>
          <w:color w:val="000000"/>
          <w:sz w:val="24"/>
          <w:szCs w:val="24"/>
        </w:rPr>
        <w:lastRenderedPageBreak/>
        <w:t xml:space="preserve">Echocardiography </w:t>
      </w:r>
      <w:r w:rsidR="00F076D5" w:rsidRPr="0071326F">
        <w:rPr>
          <w:rFonts w:ascii="Times New Roman" w:hAnsi="Times New Roman" w:cs="Times New Roman"/>
          <w:color w:val="000000"/>
          <w:sz w:val="24"/>
          <w:szCs w:val="24"/>
        </w:rPr>
        <w:t>examination.</w:t>
      </w:r>
    </w:p>
    <w:p w14:paraId="04131439" w14:textId="4B85BC6C" w:rsidR="004D54F2" w:rsidRPr="0071326F" w:rsidRDefault="004D54F2" w:rsidP="0027517F">
      <w:pPr>
        <w:pStyle w:val="aff"/>
        <w:numPr>
          <w:ilvl w:val="3"/>
          <w:numId w:val="127"/>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71326F">
        <w:rPr>
          <w:rFonts w:ascii="Times New Roman" w:hAnsi="Times New Roman" w:cs="Times New Roman"/>
          <w:color w:val="000000"/>
          <w:sz w:val="24"/>
          <w:szCs w:val="24"/>
        </w:rPr>
        <w:t xml:space="preserve">Oxygen saturation </w:t>
      </w:r>
      <w:r w:rsidR="00F076D5" w:rsidRPr="0071326F">
        <w:rPr>
          <w:rFonts w:ascii="Times New Roman" w:hAnsi="Times New Roman" w:cs="Times New Roman"/>
          <w:color w:val="000000"/>
          <w:sz w:val="24"/>
          <w:szCs w:val="24"/>
        </w:rPr>
        <w:t>test.</w:t>
      </w:r>
    </w:p>
    <w:p w14:paraId="6AFB8A93" w14:textId="3F52B137" w:rsidR="004D54F2" w:rsidRPr="0071326F" w:rsidRDefault="004D54F2" w:rsidP="0027517F">
      <w:pPr>
        <w:pStyle w:val="aff"/>
        <w:numPr>
          <w:ilvl w:val="3"/>
          <w:numId w:val="127"/>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71326F">
        <w:rPr>
          <w:rFonts w:ascii="Times New Roman" w:hAnsi="Times New Roman" w:cs="Times New Roman"/>
          <w:color w:val="000000"/>
          <w:sz w:val="24"/>
          <w:szCs w:val="24"/>
        </w:rPr>
        <w:t>Laboratory tests (</w:t>
      </w:r>
      <w:r w:rsidR="00A324D3">
        <w:rPr>
          <w:rFonts w:ascii="Times New Roman" w:hAnsi="Times New Roman" w:cs="Times New Roman"/>
          <w:color w:val="000000"/>
          <w:sz w:val="24"/>
          <w:szCs w:val="24"/>
        </w:rPr>
        <w:t>CBC</w:t>
      </w:r>
      <w:r w:rsidR="00A324D3" w:rsidRPr="0071326F">
        <w:rPr>
          <w:rFonts w:ascii="Times New Roman" w:hAnsi="Times New Roman" w:cs="Times New Roman"/>
          <w:color w:val="000000"/>
          <w:sz w:val="24"/>
          <w:szCs w:val="24"/>
        </w:rPr>
        <w:t xml:space="preserve"> </w:t>
      </w:r>
      <w:r w:rsidRPr="0071326F">
        <w:rPr>
          <w:rFonts w:ascii="Times New Roman" w:hAnsi="Times New Roman" w:cs="Times New Roman"/>
          <w:color w:val="000000"/>
          <w:sz w:val="24"/>
          <w:szCs w:val="24"/>
        </w:rPr>
        <w:t xml:space="preserve">[collected with PK blood at the same time, with a maximum time difference of 24 hours], </w:t>
      </w:r>
      <w:r w:rsidR="00A324D3">
        <w:rPr>
          <w:rFonts w:ascii="Times New Roman" w:hAnsi="Times New Roman" w:cs="Times New Roman"/>
          <w:color w:val="000000"/>
          <w:sz w:val="24"/>
          <w:szCs w:val="24"/>
        </w:rPr>
        <w:t>blood biochemical indexes</w:t>
      </w:r>
      <w:r w:rsidRPr="0071326F">
        <w:rPr>
          <w:rFonts w:ascii="Times New Roman" w:hAnsi="Times New Roman" w:cs="Times New Roman"/>
          <w:color w:val="000000"/>
          <w:sz w:val="24"/>
          <w:szCs w:val="24"/>
        </w:rPr>
        <w:t xml:space="preserve"> [fasting], coagulation, and urinalysis</w:t>
      </w:r>
      <w:r w:rsidR="00F076D5" w:rsidRPr="0071326F">
        <w:rPr>
          <w:rFonts w:ascii="Times New Roman" w:hAnsi="Times New Roman" w:cs="Times New Roman"/>
          <w:color w:val="000000"/>
          <w:sz w:val="24"/>
          <w:szCs w:val="24"/>
        </w:rPr>
        <w:t>).</w:t>
      </w:r>
    </w:p>
    <w:p w14:paraId="4F0013C2" w14:textId="10C9DF8D" w:rsidR="004D54F2" w:rsidRPr="0071326F" w:rsidRDefault="004D54F2" w:rsidP="0027517F">
      <w:pPr>
        <w:pStyle w:val="aff"/>
        <w:numPr>
          <w:ilvl w:val="3"/>
          <w:numId w:val="127"/>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71326F">
        <w:rPr>
          <w:rFonts w:ascii="Times New Roman" w:hAnsi="Times New Roman" w:cs="Times New Roman"/>
          <w:color w:val="000000"/>
          <w:sz w:val="24"/>
          <w:szCs w:val="24"/>
        </w:rPr>
        <w:t xml:space="preserve">Inflammatory </w:t>
      </w:r>
      <w:r w:rsidR="00F076D5" w:rsidRPr="0071326F">
        <w:rPr>
          <w:rFonts w:ascii="Times New Roman" w:hAnsi="Times New Roman" w:cs="Times New Roman"/>
          <w:color w:val="000000"/>
          <w:sz w:val="24"/>
          <w:szCs w:val="24"/>
        </w:rPr>
        <w:t>factors.</w:t>
      </w:r>
    </w:p>
    <w:p w14:paraId="5102D8B6" w14:textId="2B91D7A0" w:rsidR="004D54F2" w:rsidRPr="0071326F" w:rsidRDefault="004D54F2" w:rsidP="0027517F">
      <w:pPr>
        <w:pStyle w:val="aff"/>
        <w:numPr>
          <w:ilvl w:val="3"/>
          <w:numId w:val="127"/>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71326F">
        <w:rPr>
          <w:rFonts w:ascii="Times New Roman" w:hAnsi="Times New Roman" w:cs="Times New Roman"/>
          <w:color w:val="000000"/>
          <w:sz w:val="24"/>
          <w:szCs w:val="24"/>
        </w:rPr>
        <w:t xml:space="preserve">Peripheral blood smear </w:t>
      </w:r>
      <w:r w:rsidR="00F076D5" w:rsidRPr="0071326F">
        <w:rPr>
          <w:rFonts w:ascii="Times New Roman" w:hAnsi="Times New Roman" w:cs="Times New Roman"/>
          <w:color w:val="000000"/>
          <w:sz w:val="24"/>
          <w:szCs w:val="24"/>
        </w:rPr>
        <w:t>test.</w:t>
      </w:r>
    </w:p>
    <w:p w14:paraId="754092C9" w14:textId="1509DFD5" w:rsidR="004D54F2" w:rsidRPr="0071326F" w:rsidRDefault="004D54F2" w:rsidP="0027517F">
      <w:pPr>
        <w:pStyle w:val="aff"/>
        <w:numPr>
          <w:ilvl w:val="3"/>
          <w:numId w:val="127"/>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71326F">
        <w:rPr>
          <w:rFonts w:ascii="Times New Roman" w:hAnsi="Times New Roman" w:cs="Times New Roman"/>
          <w:color w:val="000000"/>
          <w:sz w:val="24"/>
          <w:szCs w:val="24"/>
        </w:rPr>
        <w:t xml:space="preserve">Serum calcium and albumin corrected </w:t>
      </w:r>
      <w:r w:rsidR="00F076D5" w:rsidRPr="0071326F">
        <w:rPr>
          <w:rFonts w:ascii="Times New Roman" w:hAnsi="Times New Roman" w:cs="Times New Roman"/>
          <w:color w:val="000000"/>
          <w:sz w:val="24"/>
          <w:szCs w:val="24"/>
        </w:rPr>
        <w:t>calcium.</w:t>
      </w:r>
    </w:p>
    <w:p w14:paraId="494C0C99" w14:textId="36DCA587" w:rsidR="004D54F2" w:rsidRPr="0071326F" w:rsidRDefault="004D54F2" w:rsidP="0027517F">
      <w:pPr>
        <w:pStyle w:val="aff"/>
        <w:numPr>
          <w:ilvl w:val="3"/>
          <w:numId w:val="127"/>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71326F">
        <w:rPr>
          <w:rFonts w:ascii="Times New Roman" w:hAnsi="Times New Roman" w:cs="Times New Roman"/>
          <w:color w:val="000000"/>
          <w:sz w:val="24"/>
          <w:szCs w:val="24"/>
        </w:rPr>
        <w:t xml:space="preserve">β2-microglobulin </w:t>
      </w:r>
      <w:r w:rsidR="00F076D5" w:rsidRPr="0071326F">
        <w:rPr>
          <w:rFonts w:ascii="Times New Roman" w:hAnsi="Times New Roman" w:cs="Times New Roman"/>
          <w:color w:val="000000"/>
          <w:sz w:val="24"/>
          <w:szCs w:val="24"/>
        </w:rPr>
        <w:t>test.</w:t>
      </w:r>
    </w:p>
    <w:p w14:paraId="058C32DC" w14:textId="49C6F9E5" w:rsidR="004D54F2" w:rsidRPr="0071326F" w:rsidRDefault="004D54F2" w:rsidP="0027517F">
      <w:pPr>
        <w:pStyle w:val="aff"/>
        <w:numPr>
          <w:ilvl w:val="3"/>
          <w:numId w:val="127"/>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71326F">
        <w:rPr>
          <w:rFonts w:ascii="Times New Roman" w:hAnsi="Times New Roman" w:cs="Times New Roman"/>
          <w:color w:val="000000"/>
          <w:sz w:val="24"/>
          <w:szCs w:val="24"/>
        </w:rPr>
        <w:t xml:space="preserve">Quantification of serum </w:t>
      </w:r>
      <w:r w:rsidR="00F076D5" w:rsidRPr="0071326F">
        <w:rPr>
          <w:rFonts w:ascii="Times New Roman" w:hAnsi="Times New Roman" w:cs="Times New Roman"/>
          <w:color w:val="000000"/>
          <w:sz w:val="24"/>
          <w:szCs w:val="24"/>
        </w:rPr>
        <w:t>immunoglobulin.</w:t>
      </w:r>
    </w:p>
    <w:p w14:paraId="6E87DD43" w14:textId="716D9576" w:rsidR="004D54F2" w:rsidRPr="0071326F" w:rsidRDefault="004D54F2" w:rsidP="0027517F">
      <w:pPr>
        <w:pStyle w:val="aff"/>
        <w:numPr>
          <w:ilvl w:val="3"/>
          <w:numId w:val="127"/>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71326F">
        <w:rPr>
          <w:rFonts w:ascii="Times New Roman" w:hAnsi="Times New Roman" w:cs="Times New Roman"/>
          <w:color w:val="000000"/>
          <w:sz w:val="24"/>
          <w:szCs w:val="24"/>
        </w:rPr>
        <w:t xml:space="preserve">Quantification of serum free light </w:t>
      </w:r>
      <w:r w:rsidR="00F076D5" w:rsidRPr="0071326F">
        <w:rPr>
          <w:rFonts w:ascii="Times New Roman" w:hAnsi="Times New Roman" w:cs="Times New Roman"/>
          <w:color w:val="000000"/>
          <w:sz w:val="24"/>
          <w:szCs w:val="24"/>
        </w:rPr>
        <w:t>chain.</w:t>
      </w:r>
    </w:p>
    <w:p w14:paraId="6D404E25" w14:textId="140BD6D1" w:rsidR="004D54F2" w:rsidRPr="0071326F" w:rsidRDefault="004D54F2" w:rsidP="0027517F">
      <w:pPr>
        <w:pStyle w:val="aff"/>
        <w:numPr>
          <w:ilvl w:val="3"/>
          <w:numId w:val="127"/>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71326F">
        <w:rPr>
          <w:rFonts w:ascii="Times New Roman" w:hAnsi="Times New Roman" w:cs="Times New Roman"/>
          <w:color w:val="000000"/>
          <w:sz w:val="24"/>
          <w:szCs w:val="24"/>
        </w:rPr>
        <w:t xml:space="preserve">Serum protein </w:t>
      </w:r>
      <w:r w:rsidR="00F076D5" w:rsidRPr="0071326F">
        <w:rPr>
          <w:rFonts w:ascii="Times New Roman" w:hAnsi="Times New Roman" w:cs="Times New Roman"/>
          <w:color w:val="000000"/>
          <w:sz w:val="24"/>
          <w:szCs w:val="24"/>
        </w:rPr>
        <w:t>electrophoresis.</w:t>
      </w:r>
    </w:p>
    <w:p w14:paraId="5702D68E" w14:textId="253CC8A6" w:rsidR="004D54F2" w:rsidRPr="0071326F" w:rsidRDefault="004D54F2" w:rsidP="0027517F">
      <w:pPr>
        <w:pStyle w:val="aff"/>
        <w:numPr>
          <w:ilvl w:val="3"/>
          <w:numId w:val="127"/>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71326F">
        <w:rPr>
          <w:rFonts w:ascii="Times New Roman" w:hAnsi="Times New Roman" w:cs="Times New Roman"/>
          <w:color w:val="000000"/>
          <w:sz w:val="24"/>
          <w:szCs w:val="24"/>
        </w:rPr>
        <w:t xml:space="preserve">Serum immunofixation </w:t>
      </w:r>
      <w:r w:rsidR="00F076D5" w:rsidRPr="0071326F">
        <w:rPr>
          <w:rFonts w:ascii="Times New Roman" w:hAnsi="Times New Roman" w:cs="Times New Roman"/>
          <w:color w:val="000000"/>
          <w:sz w:val="24"/>
          <w:szCs w:val="24"/>
        </w:rPr>
        <w:t>electrophoresis.</w:t>
      </w:r>
    </w:p>
    <w:p w14:paraId="22EDDBD5" w14:textId="27EA4F0A" w:rsidR="004D54F2" w:rsidRPr="0071326F" w:rsidRDefault="004D54F2" w:rsidP="0027517F">
      <w:pPr>
        <w:pStyle w:val="aff"/>
        <w:numPr>
          <w:ilvl w:val="3"/>
          <w:numId w:val="127"/>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71326F">
        <w:rPr>
          <w:rFonts w:ascii="Times New Roman" w:hAnsi="Times New Roman" w:cs="Times New Roman"/>
          <w:color w:val="000000"/>
          <w:sz w:val="24"/>
          <w:szCs w:val="24"/>
        </w:rPr>
        <w:t xml:space="preserve">Quantification of 24 h urine M </w:t>
      </w:r>
      <w:r w:rsidR="00396742" w:rsidRPr="0071326F">
        <w:rPr>
          <w:rFonts w:ascii="Times New Roman" w:hAnsi="Times New Roman" w:cs="Times New Roman"/>
          <w:color w:val="000000"/>
          <w:sz w:val="24"/>
          <w:szCs w:val="24"/>
        </w:rPr>
        <w:t>protein.</w:t>
      </w:r>
    </w:p>
    <w:p w14:paraId="1A17307B" w14:textId="62E6F817" w:rsidR="004D54F2" w:rsidRPr="0071326F" w:rsidRDefault="004D54F2" w:rsidP="0027517F">
      <w:pPr>
        <w:pStyle w:val="aff"/>
        <w:numPr>
          <w:ilvl w:val="3"/>
          <w:numId w:val="127"/>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71326F">
        <w:rPr>
          <w:rFonts w:ascii="Times New Roman" w:hAnsi="Times New Roman" w:cs="Times New Roman"/>
          <w:color w:val="000000"/>
          <w:sz w:val="24"/>
          <w:szCs w:val="24"/>
        </w:rPr>
        <w:t>Quantification of 24 h urine light chain</w:t>
      </w:r>
      <w:r w:rsidR="00396742">
        <w:rPr>
          <w:rFonts w:ascii="Times New Roman" w:hAnsi="Times New Roman" w:cs="Times New Roman"/>
          <w:color w:val="000000"/>
          <w:sz w:val="24"/>
          <w:szCs w:val="24"/>
        </w:rPr>
        <w:t>.</w:t>
      </w:r>
    </w:p>
    <w:p w14:paraId="06AB97B5" w14:textId="51C872CE" w:rsidR="004D54F2" w:rsidRPr="0071326F" w:rsidRDefault="004D54F2" w:rsidP="0027517F">
      <w:pPr>
        <w:pStyle w:val="aff"/>
        <w:numPr>
          <w:ilvl w:val="3"/>
          <w:numId w:val="127"/>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71326F">
        <w:rPr>
          <w:rFonts w:ascii="Times New Roman" w:hAnsi="Times New Roman" w:cs="Times New Roman"/>
          <w:color w:val="000000"/>
          <w:sz w:val="24"/>
          <w:szCs w:val="24"/>
        </w:rPr>
        <w:t xml:space="preserve">Urine protein </w:t>
      </w:r>
      <w:r w:rsidR="00396742" w:rsidRPr="0071326F">
        <w:rPr>
          <w:rFonts w:ascii="Times New Roman" w:hAnsi="Times New Roman" w:cs="Times New Roman"/>
          <w:color w:val="000000"/>
          <w:sz w:val="24"/>
          <w:szCs w:val="24"/>
        </w:rPr>
        <w:t>electrophoresis.</w:t>
      </w:r>
    </w:p>
    <w:p w14:paraId="7FE7B6FE" w14:textId="11E92A9F" w:rsidR="004D54F2" w:rsidRPr="0071326F" w:rsidRDefault="004D54F2" w:rsidP="0027517F">
      <w:pPr>
        <w:pStyle w:val="aff"/>
        <w:numPr>
          <w:ilvl w:val="3"/>
          <w:numId w:val="127"/>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71326F">
        <w:rPr>
          <w:rFonts w:ascii="Times New Roman" w:hAnsi="Times New Roman" w:cs="Times New Roman"/>
          <w:color w:val="000000"/>
          <w:sz w:val="24"/>
          <w:szCs w:val="24"/>
        </w:rPr>
        <w:t xml:space="preserve">Urine protein immunofixation </w:t>
      </w:r>
      <w:r w:rsidR="00396742" w:rsidRPr="0071326F">
        <w:rPr>
          <w:rFonts w:ascii="Times New Roman" w:hAnsi="Times New Roman" w:cs="Times New Roman"/>
          <w:color w:val="000000"/>
          <w:sz w:val="24"/>
          <w:szCs w:val="24"/>
        </w:rPr>
        <w:t>electrophoresis.</w:t>
      </w:r>
    </w:p>
    <w:p w14:paraId="77642FF9" w14:textId="4898DA19" w:rsidR="004D54F2" w:rsidRDefault="004D54F2" w:rsidP="0027517F">
      <w:pPr>
        <w:pStyle w:val="aff"/>
        <w:numPr>
          <w:ilvl w:val="3"/>
          <w:numId w:val="127"/>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eastAsia="宋体" w:hAnsi="Times New Roman" w:cs="Times New Roman"/>
          <w:kern w:val="44"/>
          <w:sz w:val="24"/>
          <w:szCs w:val="24"/>
        </w:rPr>
      </w:pPr>
      <w:r w:rsidRPr="0071326F">
        <w:rPr>
          <w:rFonts w:ascii="Times New Roman" w:hAnsi="Times New Roman" w:cs="Times New Roman"/>
          <w:color w:val="000000"/>
          <w:sz w:val="24"/>
          <w:szCs w:val="24"/>
        </w:rPr>
        <w:t xml:space="preserve">Bone marrow aspiration includes cell smear morphology, bone marrow biopsy pathology + immunohistochemistry (decided by the investigator), </w:t>
      </w:r>
      <w:r w:rsidR="00EA599D">
        <w:rPr>
          <w:rFonts w:ascii="Times New Roman" w:hAnsi="Times New Roman" w:cs="Times New Roman"/>
          <w:color w:val="000000"/>
          <w:sz w:val="24"/>
          <w:szCs w:val="24"/>
        </w:rPr>
        <w:t xml:space="preserve">and </w:t>
      </w:r>
      <w:r w:rsidRPr="0071326F">
        <w:rPr>
          <w:rFonts w:ascii="Times New Roman" w:hAnsi="Times New Roman" w:cs="Times New Roman"/>
          <w:color w:val="000000"/>
          <w:sz w:val="24"/>
          <w:szCs w:val="24"/>
        </w:rPr>
        <w:t>bone marrow flow immunophenotyping tests</w:t>
      </w:r>
      <w:r w:rsidR="00EA599D">
        <w:rPr>
          <w:rFonts w:ascii="Times New Roman" w:hAnsi="Times New Roman" w:cs="Times New Roman"/>
          <w:color w:val="000000"/>
          <w:sz w:val="24"/>
          <w:szCs w:val="24"/>
        </w:rPr>
        <w:t>,</w:t>
      </w:r>
      <w:r w:rsidRPr="0071326F">
        <w:rPr>
          <w:rFonts w:ascii="Times New Roman" w:hAnsi="Times New Roman" w:cs="Times New Roman"/>
          <w:color w:val="000000"/>
          <w:sz w:val="24"/>
          <w:szCs w:val="24"/>
        </w:rPr>
        <w:t xml:space="preserve"> including MRD; the results within </w:t>
      </w:r>
      <w:r w:rsidR="00EA599D">
        <w:rPr>
          <w:rFonts w:ascii="Times New Roman" w:hAnsi="Times New Roman" w:cs="Times New Roman"/>
          <w:color w:val="000000"/>
          <w:sz w:val="24"/>
          <w:szCs w:val="24"/>
        </w:rPr>
        <w:t>two</w:t>
      </w:r>
      <w:r w:rsidRPr="0071326F">
        <w:rPr>
          <w:rFonts w:ascii="Times New Roman" w:hAnsi="Times New Roman" w:cs="Times New Roman"/>
          <w:color w:val="000000"/>
          <w:sz w:val="24"/>
          <w:szCs w:val="24"/>
        </w:rPr>
        <w:t xml:space="preserve"> weeks before the baseline assessments are acceptable. </w:t>
      </w:r>
      <w:r w:rsidR="00EA599D">
        <w:rPr>
          <w:rFonts w:ascii="Times New Roman" w:hAnsi="Times New Roman" w:cs="Times New Roman"/>
          <w:color w:val="000000"/>
          <w:sz w:val="24"/>
          <w:szCs w:val="24"/>
        </w:rPr>
        <w:t>A c</w:t>
      </w:r>
      <w:r w:rsidRPr="0071326F">
        <w:rPr>
          <w:rFonts w:ascii="Times New Roman" w:hAnsi="Times New Roman" w:cs="Times New Roman"/>
          <w:color w:val="000000"/>
          <w:sz w:val="24"/>
          <w:szCs w:val="24"/>
        </w:rPr>
        <w:t>ytogenetic examination is only required during the screening period. If the screening test fails or is not performed, it can be tested again at the baseline assessments.</w:t>
      </w:r>
      <w:r>
        <w:rPr>
          <w:rFonts w:ascii="Times New Roman" w:hAnsi="Times New Roman" w:cs="Times New Roman"/>
          <w:color w:val="000000"/>
        </w:rPr>
        <w:t xml:space="preserve"> </w:t>
      </w:r>
    </w:p>
    <w:p w14:paraId="59914D7B" w14:textId="0C86BE86" w:rsidR="004D54F2" w:rsidRPr="0071326F" w:rsidRDefault="004D54F2" w:rsidP="0027517F">
      <w:pPr>
        <w:pStyle w:val="aff"/>
        <w:numPr>
          <w:ilvl w:val="3"/>
          <w:numId w:val="127"/>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71326F">
        <w:rPr>
          <w:rFonts w:ascii="Times New Roman" w:hAnsi="Times New Roman" w:cs="Times New Roman"/>
          <w:color w:val="000000"/>
          <w:sz w:val="24"/>
          <w:szCs w:val="24"/>
        </w:rPr>
        <w:t>Imaging evaluation: the assessment method is determined by the investigator according to the clinical indications of the patient.</w:t>
      </w:r>
    </w:p>
    <w:p w14:paraId="3656426C" w14:textId="68549388" w:rsidR="004D54F2" w:rsidRPr="0071326F" w:rsidRDefault="004D54F2" w:rsidP="0027517F">
      <w:pPr>
        <w:pStyle w:val="aff"/>
        <w:numPr>
          <w:ilvl w:val="3"/>
          <w:numId w:val="127"/>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71326F">
        <w:rPr>
          <w:rFonts w:ascii="Times New Roman" w:hAnsi="Times New Roman" w:cs="Times New Roman"/>
          <w:color w:val="000000"/>
          <w:sz w:val="24"/>
          <w:szCs w:val="24"/>
        </w:rPr>
        <w:t xml:space="preserve">Blood pregnancy test (only for women of childbearing potential): based on clinical indications, </w:t>
      </w:r>
      <w:bookmarkStart w:id="133" w:name="_Hlk111825992"/>
      <w:r w:rsidRPr="0071326F">
        <w:rPr>
          <w:rFonts w:ascii="Times New Roman" w:hAnsi="Times New Roman" w:cs="Times New Roman"/>
          <w:color w:val="000000"/>
          <w:sz w:val="24"/>
          <w:szCs w:val="24"/>
        </w:rPr>
        <w:t xml:space="preserve">women of </w:t>
      </w:r>
      <w:r w:rsidR="00396742" w:rsidRPr="0071326F">
        <w:rPr>
          <w:rFonts w:ascii="Times New Roman" w:hAnsi="Times New Roman" w:cs="Times New Roman"/>
          <w:color w:val="000000"/>
          <w:sz w:val="24"/>
          <w:szCs w:val="24"/>
        </w:rPr>
        <w:t>childbearing</w:t>
      </w:r>
      <w:r w:rsidRPr="0071326F">
        <w:rPr>
          <w:rFonts w:ascii="Times New Roman" w:hAnsi="Times New Roman" w:cs="Times New Roman"/>
          <w:color w:val="000000"/>
          <w:sz w:val="24"/>
          <w:szCs w:val="24"/>
        </w:rPr>
        <w:t xml:space="preserve"> potential</w:t>
      </w:r>
      <w:bookmarkEnd w:id="133"/>
      <w:r w:rsidRPr="0071326F">
        <w:rPr>
          <w:rFonts w:ascii="Times New Roman" w:hAnsi="Times New Roman" w:cs="Times New Roman"/>
          <w:color w:val="000000"/>
          <w:sz w:val="24"/>
          <w:szCs w:val="24"/>
        </w:rPr>
        <w:t xml:space="preserve"> should have a repeat test promptly if they are suspected </w:t>
      </w:r>
      <w:r w:rsidR="00EA599D">
        <w:rPr>
          <w:rFonts w:ascii="Times New Roman" w:hAnsi="Times New Roman" w:cs="Times New Roman"/>
          <w:color w:val="000000"/>
          <w:sz w:val="24"/>
          <w:szCs w:val="24"/>
        </w:rPr>
        <w:t>of</w:t>
      </w:r>
      <w:r w:rsidRPr="0071326F">
        <w:rPr>
          <w:rFonts w:ascii="Times New Roman" w:hAnsi="Times New Roman" w:cs="Times New Roman"/>
          <w:color w:val="000000"/>
          <w:sz w:val="24"/>
          <w:szCs w:val="24"/>
        </w:rPr>
        <w:t xml:space="preserve"> pregnancy, such as menopause, vomiting, abdominal pain, or vaginal </w:t>
      </w:r>
      <w:r w:rsidR="003857EE" w:rsidRPr="0071326F">
        <w:rPr>
          <w:rFonts w:ascii="Times New Roman" w:hAnsi="Times New Roman" w:cs="Times New Roman"/>
          <w:color w:val="000000"/>
          <w:sz w:val="24"/>
          <w:szCs w:val="24"/>
        </w:rPr>
        <w:t>bleeding.</w:t>
      </w:r>
    </w:p>
    <w:p w14:paraId="263F01CD" w14:textId="0FACA8EB" w:rsidR="004D54F2" w:rsidRPr="0071326F" w:rsidRDefault="004D54F2" w:rsidP="0027517F">
      <w:pPr>
        <w:pStyle w:val="aff"/>
        <w:numPr>
          <w:ilvl w:val="3"/>
          <w:numId w:val="127"/>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71326F">
        <w:rPr>
          <w:rFonts w:ascii="Times New Roman" w:hAnsi="Times New Roman" w:cs="Times New Roman"/>
          <w:color w:val="000000"/>
          <w:sz w:val="24"/>
          <w:szCs w:val="24"/>
        </w:rPr>
        <w:t>PK blood collection (</w:t>
      </w:r>
      <w:r w:rsidR="00EA599D">
        <w:rPr>
          <w:rFonts w:ascii="Times New Roman" w:hAnsi="Times New Roman" w:cs="Times New Roman"/>
          <w:color w:val="000000"/>
          <w:sz w:val="24"/>
          <w:szCs w:val="24"/>
        </w:rPr>
        <w:t xml:space="preserve">an </w:t>
      </w:r>
      <w:r w:rsidRPr="0071326F">
        <w:rPr>
          <w:rFonts w:ascii="Times New Roman" w:hAnsi="Times New Roman" w:cs="Times New Roman"/>
          <w:color w:val="000000"/>
          <w:sz w:val="24"/>
          <w:szCs w:val="24"/>
        </w:rPr>
        <w:t>additional 3 mL is collected for exploratory studies</w:t>
      </w:r>
      <w:r w:rsidR="003857EE" w:rsidRPr="0071326F">
        <w:rPr>
          <w:rFonts w:ascii="Times New Roman" w:hAnsi="Times New Roman" w:cs="Times New Roman"/>
          <w:color w:val="000000"/>
          <w:sz w:val="24"/>
          <w:szCs w:val="24"/>
        </w:rPr>
        <w:t>).</w:t>
      </w:r>
    </w:p>
    <w:p w14:paraId="5A34E3C5" w14:textId="15A75518" w:rsidR="004D54F2" w:rsidRPr="0071326F" w:rsidRDefault="004D54F2" w:rsidP="0027517F">
      <w:pPr>
        <w:pStyle w:val="aff"/>
        <w:numPr>
          <w:ilvl w:val="3"/>
          <w:numId w:val="127"/>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71326F">
        <w:rPr>
          <w:rFonts w:ascii="Times New Roman" w:hAnsi="Times New Roman" w:cs="Times New Roman"/>
          <w:color w:val="000000"/>
          <w:sz w:val="24"/>
          <w:szCs w:val="24"/>
        </w:rPr>
        <w:t>VCN test:</w:t>
      </w:r>
    </w:p>
    <w:p w14:paraId="3A12F5A7" w14:textId="6DB5581D" w:rsidR="004D54F2" w:rsidRPr="0071326F" w:rsidRDefault="004D54F2" w:rsidP="0027517F">
      <w:pPr>
        <w:pStyle w:val="aff"/>
        <w:numPr>
          <w:ilvl w:val="3"/>
          <w:numId w:val="127"/>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71326F">
        <w:rPr>
          <w:rFonts w:ascii="Times New Roman" w:hAnsi="Times New Roman" w:cs="Times New Roman"/>
          <w:color w:val="000000"/>
          <w:sz w:val="24"/>
          <w:szCs w:val="24"/>
        </w:rPr>
        <w:t xml:space="preserve">Peripheral blood CT103A cell </w:t>
      </w:r>
      <w:r w:rsidR="00396742" w:rsidRPr="0071326F">
        <w:rPr>
          <w:rFonts w:ascii="Times New Roman" w:hAnsi="Times New Roman" w:cs="Times New Roman"/>
          <w:color w:val="000000"/>
          <w:sz w:val="24"/>
          <w:szCs w:val="24"/>
        </w:rPr>
        <w:t>test.</w:t>
      </w:r>
    </w:p>
    <w:p w14:paraId="0466CF87" w14:textId="61024678" w:rsidR="004D54F2" w:rsidRPr="0071326F" w:rsidRDefault="004D54F2" w:rsidP="0027517F">
      <w:pPr>
        <w:pStyle w:val="aff"/>
        <w:numPr>
          <w:ilvl w:val="3"/>
          <w:numId w:val="127"/>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71326F">
        <w:rPr>
          <w:rFonts w:ascii="Times New Roman" w:hAnsi="Times New Roman" w:cs="Times New Roman"/>
          <w:color w:val="000000"/>
          <w:sz w:val="24"/>
          <w:szCs w:val="24"/>
        </w:rPr>
        <w:lastRenderedPageBreak/>
        <w:t>Record concomitant treatment/AE/</w:t>
      </w:r>
      <w:r w:rsidR="00396742" w:rsidRPr="0071326F">
        <w:rPr>
          <w:rFonts w:ascii="Times New Roman" w:hAnsi="Times New Roman" w:cs="Times New Roman"/>
          <w:color w:val="000000"/>
          <w:sz w:val="24"/>
          <w:szCs w:val="24"/>
        </w:rPr>
        <w:t>SAE.</w:t>
      </w:r>
    </w:p>
    <w:p w14:paraId="773428EF" w14:textId="2F566633" w:rsidR="004D54F2" w:rsidRPr="0071326F" w:rsidRDefault="004D54F2" w:rsidP="0027517F">
      <w:pPr>
        <w:pStyle w:val="aff"/>
        <w:numPr>
          <w:ilvl w:val="3"/>
          <w:numId w:val="127"/>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71326F">
        <w:rPr>
          <w:rFonts w:ascii="Times New Roman" w:hAnsi="Times New Roman" w:cs="Times New Roman"/>
          <w:color w:val="000000"/>
          <w:sz w:val="24"/>
          <w:szCs w:val="24"/>
        </w:rPr>
        <w:t xml:space="preserve">IMWG efficacy </w:t>
      </w:r>
      <w:r w:rsidR="00396742" w:rsidRPr="0071326F">
        <w:rPr>
          <w:rFonts w:ascii="Times New Roman" w:hAnsi="Times New Roman" w:cs="Times New Roman"/>
          <w:color w:val="000000"/>
          <w:sz w:val="24"/>
          <w:szCs w:val="24"/>
        </w:rPr>
        <w:t>evaluation.</w:t>
      </w:r>
    </w:p>
    <w:p w14:paraId="27135030" w14:textId="77777777" w:rsidR="004D54F2" w:rsidRPr="0071326F" w:rsidRDefault="004D54F2" w:rsidP="0027517F">
      <w:pPr>
        <w:pStyle w:val="aff"/>
        <w:numPr>
          <w:ilvl w:val="3"/>
          <w:numId w:val="127"/>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71326F">
        <w:rPr>
          <w:rFonts w:ascii="Times New Roman" w:hAnsi="Times New Roman" w:cs="Times New Roman"/>
          <w:color w:val="000000"/>
          <w:sz w:val="24"/>
          <w:szCs w:val="24"/>
        </w:rPr>
        <w:t>Quality of life assessment.</w:t>
      </w:r>
    </w:p>
    <w:p w14:paraId="0786AF25" w14:textId="13D33B19" w:rsidR="004D54F2" w:rsidRDefault="004D54F2" w:rsidP="0027517F">
      <w:pPr>
        <w:pStyle w:val="20"/>
        <w:jc w:val="both"/>
        <w:rPr>
          <w:lang w:val="en"/>
        </w:rPr>
      </w:pPr>
      <w:bookmarkStart w:id="134" w:name="_Toc112064866"/>
      <w:r>
        <w:rPr>
          <w:lang w:val="en"/>
        </w:rPr>
        <w:t>L</w:t>
      </w:r>
      <w:r w:rsidRPr="008B5030">
        <w:rPr>
          <w:lang w:val="en"/>
        </w:rPr>
        <w:t xml:space="preserve">ymphodepleting </w:t>
      </w:r>
      <w:r w:rsidR="0068329D">
        <w:rPr>
          <w:lang w:val="en"/>
        </w:rPr>
        <w:t>C</w:t>
      </w:r>
      <w:r w:rsidRPr="008B5030">
        <w:rPr>
          <w:lang w:val="en"/>
        </w:rPr>
        <w:t>onditioning</w:t>
      </w:r>
      <w:r>
        <w:rPr>
          <w:lang w:val="en"/>
        </w:rPr>
        <w:t>（</w:t>
      </w:r>
      <w:r w:rsidR="003857EE">
        <w:rPr>
          <w:rFonts w:hint="eastAsia"/>
          <w:lang w:val="en" w:eastAsia="zh-CN"/>
        </w:rPr>
        <w:t>d</w:t>
      </w:r>
      <w:r w:rsidR="003857EE">
        <w:rPr>
          <w:lang w:val="en" w:eastAsia="zh-CN"/>
        </w:rPr>
        <w:t xml:space="preserve">ay </w:t>
      </w:r>
      <w:r>
        <w:rPr>
          <w:lang w:val="en"/>
        </w:rPr>
        <w:t xml:space="preserve">-7 to </w:t>
      </w:r>
      <w:r w:rsidR="003857EE">
        <w:rPr>
          <w:lang w:val="en"/>
        </w:rPr>
        <w:t xml:space="preserve">day </w:t>
      </w:r>
      <w:r>
        <w:rPr>
          <w:lang w:val="en"/>
        </w:rPr>
        <w:t>-2</w:t>
      </w:r>
      <w:r>
        <w:rPr>
          <w:lang w:val="en"/>
        </w:rPr>
        <w:t>）</w:t>
      </w:r>
      <w:bookmarkEnd w:id="134"/>
    </w:p>
    <w:p w14:paraId="54F9E2B3" w14:textId="7EDCBCB6" w:rsidR="004D54F2" w:rsidRDefault="004D54F2" w:rsidP="0027517F">
      <w:pPr>
        <w:jc w:val="both"/>
      </w:pPr>
      <w:r>
        <w:t xml:space="preserve">The visit for </w:t>
      </w:r>
      <w:r w:rsidRPr="002B2297">
        <w:t>lymphodepleting conditioning</w:t>
      </w:r>
      <w:r>
        <w:t xml:space="preserve"> should be performed within </w:t>
      </w:r>
      <w:r w:rsidR="00EA599D">
        <w:t>one</w:t>
      </w:r>
      <w:r>
        <w:t xml:space="preserve"> week before the cell infusion, CT103A should be frozen after preparation, </w:t>
      </w:r>
      <w:r w:rsidR="00EA599D">
        <w:t xml:space="preserve">and </w:t>
      </w:r>
      <w:r>
        <w:t xml:space="preserve">the investigator will perform </w:t>
      </w:r>
      <w:r w:rsidRPr="002B2297">
        <w:t>lymphodepleting conditioning</w:t>
      </w:r>
      <w:r>
        <w:t xml:space="preserve"> according to the patient s condition. Height, weight, and body surface area will be measured before the </w:t>
      </w:r>
      <w:bookmarkStart w:id="135" w:name="_Hlk111826214"/>
      <w:r w:rsidRPr="002B2297">
        <w:t>lymphodepleting conditioning</w:t>
      </w:r>
      <w:bookmarkEnd w:id="135"/>
      <w:r>
        <w:t>.</w:t>
      </w:r>
    </w:p>
    <w:p w14:paraId="117AD914" w14:textId="44495267" w:rsidR="004D54F2" w:rsidRPr="004D54F2" w:rsidRDefault="004D54F2" w:rsidP="0027517F">
      <w:pPr>
        <w:snapToGrid w:val="0"/>
        <w:jc w:val="both"/>
        <w:rPr>
          <w:kern w:val="44"/>
        </w:rPr>
      </w:pPr>
      <w:r w:rsidRPr="004D54F2">
        <w:t xml:space="preserve">The assessments during the </w:t>
      </w:r>
      <w:r w:rsidRPr="002B2297">
        <w:t>lymphodepleting conditioning</w:t>
      </w:r>
      <w:r>
        <w:t xml:space="preserve"> visit are</w:t>
      </w:r>
      <w:r w:rsidRPr="004D54F2">
        <w:t xml:space="preserve"> as follows:</w:t>
      </w:r>
    </w:p>
    <w:p w14:paraId="16851A9D" w14:textId="0AC95F4C" w:rsidR="004D54F2" w:rsidRPr="00E30C48" w:rsidRDefault="004D54F2" w:rsidP="0027517F">
      <w:pPr>
        <w:pStyle w:val="aff"/>
        <w:numPr>
          <w:ilvl w:val="3"/>
          <w:numId w:val="128"/>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E30C48">
        <w:rPr>
          <w:rFonts w:ascii="Times New Roman" w:hAnsi="Times New Roman" w:cs="Times New Roman"/>
          <w:color w:val="000000"/>
          <w:sz w:val="24"/>
          <w:szCs w:val="24"/>
        </w:rPr>
        <w:t xml:space="preserve">Review the lymphodepleting conditioning </w:t>
      </w:r>
      <w:r w:rsidR="00396742" w:rsidRPr="00E30C48">
        <w:rPr>
          <w:rFonts w:ascii="Times New Roman" w:hAnsi="Times New Roman" w:cs="Times New Roman"/>
          <w:color w:val="000000"/>
          <w:sz w:val="24"/>
          <w:szCs w:val="24"/>
        </w:rPr>
        <w:t>criteria</w:t>
      </w:r>
      <w:r w:rsidR="00396742">
        <w:rPr>
          <w:rFonts w:ascii="Times New Roman" w:hAnsi="Times New Roman" w:cs="Times New Roman"/>
          <w:color w:val="000000"/>
          <w:sz w:val="24"/>
          <w:szCs w:val="24"/>
        </w:rPr>
        <w:t>.</w:t>
      </w:r>
    </w:p>
    <w:p w14:paraId="0B5AAF36" w14:textId="6A59A2D9" w:rsidR="004D54F2" w:rsidRPr="00E30C48" w:rsidRDefault="004D54F2" w:rsidP="0027517F">
      <w:pPr>
        <w:pStyle w:val="aff"/>
        <w:numPr>
          <w:ilvl w:val="3"/>
          <w:numId w:val="128"/>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E30C48">
        <w:rPr>
          <w:rFonts w:ascii="Times New Roman" w:hAnsi="Times New Roman" w:cs="Times New Roman"/>
          <w:color w:val="000000"/>
          <w:sz w:val="24"/>
          <w:szCs w:val="24"/>
        </w:rPr>
        <w:t xml:space="preserve">Height, weight, body surface area: measure the height and weight again, and calculate the body surface </w:t>
      </w:r>
      <w:r w:rsidR="00396742" w:rsidRPr="00E30C48">
        <w:rPr>
          <w:rFonts w:ascii="Times New Roman" w:hAnsi="Times New Roman" w:cs="Times New Roman"/>
          <w:color w:val="000000"/>
          <w:sz w:val="24"/>
          <w:szCs w:val="24"/>
        </w:rPr>
        <w:t>area.</w:t>
      </w:r>
    </w:p>
    <w:p w14:paraId="31006A9B" w14:textId="0BC96089" w:rsidR="004D54F2" w:rsidRPr="00E30C48" w:rsidRDefault="004D54F2" w:rsidP="0027517F">
      <w:pPr>
        <w:pStyle w:val="aff"/>
        <w:numPr>
          <w:ilvl w:val="3"/>
          <w:numId w:val="128"/>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E30C48">
        <w:rPr>
          <w:rFonts w:ascii="Times New Roman" w:hAnsi="Times New Roman" w:cs="Times New Roman"/>
          <w:color w:val="000000"/>
          <w:sz w:val="24"/>
          <w:szCs w:val="24"/>
        </w:rPr>
        <w:t xml:space="preserve">Administration of lymphocyte clearance </w:t>
      </w:r>
      <w:r w:rsidR="00396742" w:rsidRPr="00E30C48">
        <w:rPr>
          <w:rFonts w:ascii="Times New Roman" w:hAnsi="Times New Roman" w:cs="Times New Roman"/>
          <w:color w:val="000000"/>
          <w:sz w:val="24"/>
          <w:szCs w:val="24"/>
        </w:rPr>
        <w:t>pretreatment.</w:t>
      </w:r>
    </w:p>
    <w:p w14:paraId="78069ACA" w14:textId="6D8FF1AF" w:rsidR="004D54F2" w:rsidRPr="00E30C48" w:rsidRDefault="004D54F2" w:rsidP="0027517F">
      <w:pPr>
        <w:pStyle w:val="aff"/>
        <w:numPr>
          <w:ilvl w:val="3"/>
          <w:numId w:val="128"/>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E30C48">
        <w:rPr>
          <w:rFonts w:ascii="Times New Roman" w:hAnsi="Times New Roman" w:cs="Times New Roman"/>
          <w:color w:val="000000"/>
          <w:sz w:val="24"/>
          <w:szCs w:val="24"/>
        </w:rPr>
        <w:t>Record concomitant treatment, AEs, and SAEs.</w:t>
      </w:r>
    </w:p>
    <w:p w14:paraId="694223EE" w14:textId="6D60EF3A" w:rsidR="004D54F2" w:rsidRDefault="004D54F2" w:rsidP="0027517F">
      <w:pPr>
        <w:pStyle w:val="20"/>
        <w:jc w:val="both"/>
        <w:rPr>
          <w:lang w:val="en"/>
        </w:rPr>
      </w:pPr>
      <w:bookmarkStart w:id="136" w:name="_Toc112064867"/>
      <w:r>
        <w:rPr>
          <w:lang w:val="en"/>
        </w:rPr>
        <w:t>Rest</w:t>
      </w:r>
      <w:r>
        <w:t xml:space="preserve"> </w:t>
      </w:r>
      <w:r>
        <w:rPr>
          <w:lang w:val="en"/>
        </w:rPr>
        <w:t>Assessment</w:t>
      </w:r>
      <w:r>
        <w:t xml:space="preserve"> </w:t>
      </w:r>
      <w:r>
        <w:rPr>
          <w:lang w:val="en"/>
        </w:rPr>
        <w:t>Before</w:t>
      </w:r>
      <w:r>
        <w:t xml:space="preserve"> </w:t>
      </w:r>
      <w:r>
        <w:rPr>
          <w:lang w:val="en"/>
        </w:rPr>
        <w:t>Treatment</w:t>
      </w:r>
      <w:r w:rsidR="00951F13">
        <w:rPr>
          <w:lang w:val="en"/>
        </w:rPr>
        <w:t xml:space="preserve"> </w:t>
      </w:r>
      <w:r>
        <w:rPr>
          <w:lang w:val="en"/>
        </w:rPr>
        <w:t>(</w:t>
      </w:r>
      <w:r w:rsidR="003857EE">
        <w:rPr>
          <w:lang w:val="en"/>
        </w:rPr>
        <w:t xml:space="preserve">day </w:t>
      </w:r>
      <w:r>
        <w:rPr>
          <w:lang w:val="en"/>
        </w:rPr>
        <w:t>-1)</w:t>
      </w:r>
      <w:bookmarkEnd w:id="136"/>
    </w:p>
    <w:p w14:paraId="296946EA" w14:textId="470C7EA0" w:rsidR="004D54F2" w:rsidRDefault="004D54F2" w:rsidP="0027517F">
      <w:pPr>
        <w:jc w:val="both"/>
      </w:pPr>
      <w:r>
        <w:t xml:space="preserve">If the patient's state does not meet the criteria of infusion during the rest assessment, the investigator can provide symptomatic treatment until his/her state can be treated with cell infusion. The delayed infusion should not exceed </w:t>
      </w:r>
      <w:r w:rsidR="00EA599D">
        <w:t>two</w:t>
      </w:r>
      <w:r>
        <w:t xml:space="preserve"> weeks. </w:t>
      </w:r>
    </w:p>
    <w:p w14:paraId="46D25699" w14:textId="7C755649" w:rsidR="004D54F2" w:rsidRPr="00E30C48" w:rsidRDefault="004D54F2" w:rsidP="0027517F">
      <w:pPr>
        <w:jc w:val="both"/>
      </w:pPr>
      <w:r>
        <w:t>The rest assessments are as follows:</w:t>
      </w:r>
    </w:p>
    <w:p w14:paraId="0E511263" w14:textId="47892B5B" w:rsidR="004D54F2" w:rsidRPr="00E30C48" w:rsidRDefault="00396742" w:rsidP="0027517F">
      <w:pPr>
        <w:pStyle w:val="aff"/>
        <w:numPr>
          <w:ilvl w:val="3"/>
          <w:numId w:val="129"/>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E30C48">
        <w:rPr>
          <w:rFonts w:ascii="Times New Roman" w:hAnsi="Times New Roman" w:cs="Times New Roman"/>
          <w:color w:val="000000"/>
          <w:sz w:val="24"/>
          <w:szCs w:val="24"/>
        </w:rPr>
        <w:t>Weight.</w:t>
      </w:r>
    </w:p>
    <w:p w14:paraId="573B1B88" w14:textId="745115C0" w:rsidR="004D54F2" w:rsidRPr="00E30C48" w:rsidRDefault="004D54F2" w:rsidP="0027517F">
      <w:pPr>
        <w:pStyle w:val="aff"/>
        <w:numPr>
          <w:ilvl w:val="3"/>
          <w:numId w:val="129"/>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E30C48">
        <w:rPr>
          <w:rFonts w:ascii="Times New Roman" w:hAnsi="Times New Roman" w:cs="Times New Roman"/>
          <w:color w:val="000000"/>
          <w:sz w:val="24"/>
          <w:szCs w:val="24"/>
        </w:rPr>
        <w:t xml:space="preserve">Physical </w:t>
      </w:r>
      <w:r w:rsidR="00396742" w:rsidRPr="00E30C48">
        <w:rPr>
          <w:rFonts w:ascii="Times New Roman" w:hAnsi="Times New Roman" w:cs="Times New Roman"/>
          <w:color w:val="000000"/>
          <w:sz w:val="24"/>
          <w:szCs w:val="24"/>
        </w:rPr>
        <w:t>examination.</w:t>
      </w:r>
    </w:p>
    <w:p w14:paraId="119C19C2" w14:textId="65BC62D4" w:rsidR="004D54F2" w:rsidRPr="00E30C48" w:rsidRDefault="004D54F2" w:rsidP="0027517F">
      <w:pPr>
        <w:pStyle w:val="aff"/>
        <w:numPr>
          <w:ilvl w:val="3"/>
          <w:numId w:val="129"/>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E30C48">
        <w:rPr>
          <w:rFonts w:ascii="Times New Roman" w:hAnsi="Times New Roman" w:cs="Times New Roman"/>
          <w:color w:val="000000"/>
          <w:sz w:val="24"/>
          <w:szCs w:val="24"/>
        </w:rPr>
        <w:t xml:space="preserve">Vital signs: include heart rate, blood pressure, axillary temperature, and respiratory rate; ECOG </w:t>
      </w:r>
      <w:r w:rsidR="00396742" w:rsidRPr="00E30C48">
        <w:rPr>
          <w:rFonts w:ascii="Times New Roman" w:hAnsi="Times New Roman" w:cs="Times New Roman"/>
          <w:color w:val="000000"/>
          <w:sz w:val="24"/>
          <w:szCs w:val="24"/>
        </w:rPr>
        <w:t>score.</w:t>
      </w:r>
    </w:p>
    <w:p w14:paraId="2C94E9CA" w14:textId="72CAA9A0" w:rsidR="004D54F2" w:rsidRPr="00E30C48" w:rsidRDefault="004D54F2" w:rsidP="0027517F">
      <w:pPr>
        <w:pStyle w:val="aff"/>
        <w:numPr>
          <w:ilvl w:val="3"/>
          <w:numId w:val="129"/>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E30C48">
        <w:rPr>
          <w:rFonts w:ascii="Times New Roman" w:hAnsi="Times New Roman" w:cs="Times New Roman"/>
          <w:color w:val="000000"/>
          <w:sz w:val="24"/>
          <w:szCs w:val="24"/>
        </w:rPr>
        <w:t xml:space="preserve">12-lead </w:t>
      </w:r>
      <w:r w:rsidR="0048556E">
        <w:rPr>
          <w:rFonts w:ascii="Times New Roman" w:hAnsi="Times New Roman" w:cs="Times New Roman"/>
          <w:color w:val="000000"/>
          <w:sz w:val="24"/>
          <w:szCs w:val="24"/>
        </w:rPr>
        <w:t>ECG</w:t>
      </w:r>
      <w:r w:rsidRPr="00E30C48">
        <w:rPr>
          <w:rFonts w:ascii="Times New Roman" w:hAnsi="Times New Roman" w:cs="Times New Roman"/>
          <w:color w:val="000000"/>
          <w:sz w:val="24"/>
          <w:szCs w:val="24"/>
        </w:rPr>
        <w:t xml:space="preserve">: if there is suspected abnormal cardiac function, </w:t>
      </w:r>
      <w:r w:rsidR="00EA599D">
        <w:rPr>
          <w:rFonts w:ascii="Times New Roman" w:hAnsi="Times New Roman" w:cs="Times New Roman"/>
          <w:color w:val="000000"/>
          <w:sz w:val="24"/>
          <w:szCs w:val="24"/>
        </w:rPr>
        <w:t xml:space="preserve">an </w:t>
      </w:r>
      <w:r w:rsidRPr="00E30C48">
        <w:rPr>
          <w:rFonts w:ascii="Times New Roman" w:hAnsi="Times New Roman" w:cs="Times New Roman"/>
          <w:color w:val="000000"/>
          <w:sz w:val="24"/>
          <w:szCs w:val="24"/>
        </w:rPr>
        <w:t xml:space="preserve">additional examination will be performed according to </w:t>
      </w:r>
      <w:r w:rsidR="00EA599D">
        <w:rPr>
          <w:rFonts w:ascii="Times New Roman" w:hAnsi="Times New Roman" w:cs="Times New Roman"/>
          <w:color w:val="000000"/>
          <w:sz w:val="24"/>
          <w:szCs w:val="24"/>
        </w:rPr>
        <w:t xml:space="preserve">the </w:t>
      </w:r>
      <w:r w:rsidRPr="00E30C48">
        <w:rPr>
          <w:rFonts w:ascii="Times New Roman" w:hAnsi="Times New Roman" w:cs="Times New Roman"/>
          <w:color w:val="000000"/>
          <w:sz w:val="24"/>
          <w:szCs w:val="24"/>
        </w:rPr>
        <w:t xml:space="preserve">symptoms and signs of the </w:t>
      </w:r>
      <w:r w:rsidR="00396742" w:rsidRPr="00E30C48">
        <w:rPr>
          <w:rFonts w:ascii="Times New Roman" w:hAnsi="Times New Roman" w:cs="Times New Roman"/>
          <w:color w:val="000000"/>
          <w:sz w:val="24"/>
          <w:szCs w:val="24"/>
        </w:rPr>
        <w:t>patient.</w:t>
      </w:r>
    </w:p>
    <w:p w14:paraId="67D9BAB4" w14:textId="63DA4626" w:rsidR="004D54F2" w:rsidRPr="00E30C48" w:rsidRDefault="004D54F2" w:rsidP="0027517F">
      <w:pPr>
        <w:pStyle w:val="aff"/>
        <w:numPr>
          <w:ilvl w:val="3"/>
          <w:numId w:val="129"/>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E30C48">
        <w:rPr>
          <w:rFonts w:ascii="Times New Roman" w:hAnsi="Times New Roman" w:cs="Times New Roman"/>
          <w:color w:val="000000"/>
          <w:sz w:val="24"/>
          <w:szCs w:val="24"/>
        </w:rPr>
        <w:t xml:space="preserve">Echocardiogram examination: according to the clinical indications, the investigator will perform </w:t>
      </w:r>
      <w:r w:rsidR="00EA599D">
        <w:rPr>
          <w:rFonts w:ascii="Times New Roman" w:hAnsi="Times New Roman" w:cs="Times New Roman"/>
          <w:color w:val="000000"/>
          <w:sz w:val="24"/>
          <w:szCs w:val="24"/>
        </w:rPr>
        <w:t xml:space="preserve">an </w:t>
      </w:r>
      <w:r w:rsidRPr="00E30C48">
        <w:rPr>
          <w:rFonts w:ascii="Times New Roman" w:hAnsi="Times New Roman" w:cs="Times New Roman"/>
          <w:color w:val="000000"/>
          <w:sz w:val="24"/>
          <w:szCs w:val="24"/>
        </w:rPr>
        <w:t xml:space="preserve">echocardiogram examination appropriately if the patient has signs and symptoms, such as heart </w:t>
      </w:r>
      <w:r w:rsidR="00396742" w:rsidRPr="00E30C48">
        <w:rPr>
          <w:rFonts w:ascii="Times New Roman" w:hAnsi="Times New Roman" w:cs="Times New Roman"/>
          <w:color w:val="000000"/>
          <w:sz w:val="24"/>
          <w:szCs w:val="24"/>
        </w:rPr>
        <w:t>failure.</w:t>
      </w:r>
    </w:p>
    <w:p w14:paraId="26DC80CE" w14:textId="1900A337" w:rsidR="004D54F2" w:rsidRPr="00E30C48" w:rsidRDefault="004D54F2" w:rsidP="0027517F">
      <w:pPr>
        <w:pStyle w:val="aff"/>
        <w:numPr>
          <w:ilvl w:val="3"/>
          <w:numId w:val="129"/>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E30C48">
        <w:rPr>
          <w:rFonts w:ascii="Times New Roman" w:hAnsi="Times New Roman" w:cs="Times New Roman"/>
          <w:color w:val="000000"/>
          <w:sz w:val="24"/>
          <w:szCs w:val="24"/>
        </w:rPr>
        <w:t xml:space="preserve">Oxygen saturation </w:t>
      </w:r>
      <w:r w:rsidR="00396742" w:rsidRPr="00E30C48">
        <w:rPr>
          <w:rFonts w:ascii="Times New Roman" w:hAnsi="Times New Roman" w:cs="Times New Roman"/>
          <w:color w:val="000000"/>
          <w:sz w:val="24"/>
          <w:szCs w:val="24"/>
        </w:rPr>
        <w:t>test.</w:t>
      </w:r>
    </w:p>
    <w:p w14:paraId="74462A83" w14:textId="7BEE4E6E" w:rsidR="004D54F2" w:rsidRPr="00E30C48" w:rsidRDefault="004D54F2" w:rsidP="0027517F">
      <w:pPr>
        <w:pStyle w:val="aff"/>
        <w:numPr>
          <w:ilvl w:val="3"/>
          <w:numId w:val="129"/>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E30C48">
        <w:rPr>
          <w:rFonts w:ascii="Times New Roman" w:hAnsi="Times New Roman" w:cs="Times New Roman"/>
          <w:color w:val="000000"/>
          <w:sz w:val="24"/>
          <w:szCs w:val="24"/>
        </w:rPr>
        <w:t xml:space="preserve">Blood pregnancy test (only for women of childbearing potential): based on clinical indications, women of </w:t>
      </w:r>
      <w:r w:rsidR="00396742" w:rsidRPr="00E30C48">
        <w:rPr>
          <w:rFonts w:ascii="Times New Roman" w:hAnsi="Times New Roman" w:cs="Times New Roman"/>
          <w:color w:val="000000"/>
          <w:sz w:val="24"/>
          <w:szCs w:val="24"/>
        </w:rPr>
        <w:t>childbearing</w:t>
      </w:r>
      <w:r w:rsidRPr="00E30C48">
        <w:rPr>
          <w:rFonts w:ascii="Times New Roman" w:hAnsi="Times New Roman" w:cs="Times New Roman"/>
          <w:color w:val="000000"/>
          <w:sz w:val="24"/>
          <w:szCs w:val="24"/>
        </w:rPr>
        <w:t xml:space="preserve"> potential should have a repeat test promptly if they are suspected </w:t>
      </w:r>
      <w:r w:rsidR="00EA599D">
        <w:rPr>
          <w:rFonts w:ascii="Times New Roman" w:hAnsi="Times New Roman" w:cs="Times New Roman"/>
          <w:color w:val="000000"/>
          <w:sz w:val="24"/>
          <w:szCs w:val="24"/>
        </w:rPr>
        <w:t>of</w:t>
      </w:r>
      <w:r w:rsidRPr="00E30C48">
        <w:rPr>
          <w:rFonts w:ascii="Times New Roman" w:hAnsi="Times New Roman" w:cs="Times New Roman"/>
          <w:color w:val="000000"/>
          <w:sz w:val="24"/>
          <w:szCs w:val="24"/>
        </w:rPr>
        <w:t xml:space="preserve"> pregnancy, such as menopause, vomiting, abdominal pain, or vaginal </w:t>
      </w:r>
      <w:r w:rsidR="00396742" w:rsidRPr="00E30C48">
        <w:rPr>
          <w:rFonts w:ascii="Times New Roman" w:hAnsi="Times New Roman" w:cs="Times New Roman"/>
          <w:color w:val="000000"/>
          <w:sz w:val="24"/>
          <w:szCs w:val="24"/>
        </w:rPr>
        <w:t>bleeding.</w:t>
      </w:r>
    </w:p>
    <w:p w14:paraId="42D9CEF6" w14:textId="68802AF3" w:rsidR="004D54F2" w:rsidRPr="00E30C48" w:rsidRDefault="004D54F2" w:rsidP="0027517F">
      <w:pPr>
        <w:pStyle w:val="aff"/>
        <w:numPr>
          <w:ilvl w:val="3"/>
          <w:numId w:val="129"/>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E30C48">
        <w:rPr>
          <w:rFonts w:ascii="Times New Roman" w:hAnsi="Times New Roman" w:cs="Times New Roman"/>
          <w:color w:val="000000"/>
          <w:sz w:val="24"/>
          <w:szCs w:val="24"/>
        </w:rPr>
        <w:lastRenderedPageBreak/>
        <w:t>Laboratory tests (</w:t>
      </w:r>
      <w:r w:rsidR="00A324D3">
        <w:rPr>
          <w:rFonts w:ascii="Times New Roman" w:hAnsi="Times New Roman" w:cs="Times New Roman"/>
          <w:color w:val="000000"/>
          <w:sz w:val="24"/>
          <w:szCs w:val="24"/>
        </w:rPr>
        <w:t>CBC</w:t>
      </w:r>
      <w:r w:rsidRPr="00E30C48">
        <w:rPr>
          <w:rFonts w:ascii="Times New Roman" w:hAnsi="Times New Roman" w:cs="Times New Roman"/>
          <w:color w:val="000000"/>
          <w:sz w:val="24"/>
          <w:szCs w:val="24"/>
        </w:rPr>
        <w:t xml:space="preserve">, </w:t>
      </w:r>
      <w:r w:rsidR="00A324D3">
        <w:rPr>
          <w:rFonts w:ascii="Times New Roman" w:hAnsi="Times New Roman" w:cs="Times New Roman"/>
          <w:color w:val="000000"/>
          <w:sz w:val="24"/>
          <w:szCs w:val="24"/>
        </w:rPr>
        <w:t>blood biochemical indexes</w:t>
      </w:r>
      <w:r w:rsidRPr="00E30C48">
        <w:rPr>
          <w:rFonts w:ascii="Times New Roman" w:hAnsi="Times New Roman" w:cs="Times New Roman"/>
          <w:color w:val="000000"/>
          <w:sz w:val="24"/>
          <w:szCs w:val="24"/>
        </w:rPr>
        <w:t xml:space="preserve"> [fasting], coagulation, and urinalysis</w:t>
      </w:r>
      <w:r w:rsidR="00396742" w:rsidRPr="00E30C48">
        <w:rPr>
          <w:rFonts w:ascii="Times New Roman" w:hAnsi="Times New Roman" w:cs="Times New Roman"/>
          <w:color w:val="000000"/>
          <w:sz w:val="24"/>
          <w:szCs w:val="24"/>
        </w:rPr>
        <w:t>).</w:t>
      </w:r>
    </w:p>
    <w:p w14:paraId="38E59872" w14:textId="107B8F4D" w:rsidR="004D54F2" w:rsidRPr="00E30C48" w:rsidRDefault="004D54F2" w:rsidP="0027517F">
      <w:pPr>
        <w:pStyle w:val="aff"/>
        <w:numPr>
          <w:ilvl w:val="3"/>
          <w:numId w:val="129"/>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E30C48">
        <w:rPr>
          <w:rFonts w:ascii="Times New Roman" w:hAnsi="Times New Roman" w:cs="Times New Roman"/>
          <w:color w:val="000000"/>
          <w:sz w:val="24"/>
          <w:szCs w:val="24"/>
        </w:rPr>
        <w:t>Inflammatory factors: The test of inflammatory factors should include IL-6 and ferritin</w:t>
      </w:r>
      <w:r w:rsidR="00713120">
        <w:rPr>
          <w:rFonts w:ascii="Times New Roman" w:hAnsi="Times New Roman" w:cs="Times New Roman"/>
          <w:color w:val="000000"/>
          <w:sz w:val="24"/>
          <w:szCs w:val="24"/>
        </w:rPr>
        <w:t>,</w:t>
      </w:r>
      <w:r w:rsidRPr="00E30C48">
        <w:rPr>
          <w:rFonts w:ascii="Times New Roman" w:hAnsi="Times New Roman" w:cs="Times New Roman"/>
          <w:color w:val="000000"/>
          <w:sz w:val="24"/>
          <w:szCs w:val="24"/>
        </w:rPr>
        <w:t xml:space="preserve"> </w:t>
      </w:r>
      <w:r w:rsidR="00396742" w:rsidRPr="00E30C48">
        <w:rPr>
          <w:rFonts w:ascii="Times New Roman" w:hAnsi="Times New Roman" w:cs="Times New Roman"/>
          <w:color w:val="000000"/>
          <w:sz w:val="24"/>
          <w:szCs w:val="24"/>
        </w:rPr>
        <w:t>at least.</w:t>
      </w:r>
    </w:p>
    <w:p w14:paraId="5B162887" w14:textId="56FDD4BA" w:rsidR="004D54F2" w:rsidRPr="00E30C48" w:rsidRDefault="004D54F2" w:rsidP="0027517F">
      <w:pPr>
        <w:pStyle w:val="aff"/>
        <w:numPr>
          <w:ilvl w:val="3"/>
          <w:numId w:val="129"/>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E30C48">
        <w:rPr>
          <w:rFonts w:ascii="Times New Roman" w:hAnsi="Times New Roman" w:cs="Times New Roman"/>
          <w:color w:val="000000"/>
          <w:sz w:val="24"/>
          <w:szCs w:val="24"/>
        </w:rPr>
        <w:t>Record concomitant treatment, AEs, and SAE.</w:t>
      </w:r>
    </w:p>
    <w:p w14:paraId="7C1D9815" w14:textId="68AE5290" w:rsidR="004D54F2" w:rsidRDefault="004D54F2" w:rsidP="0027517F">
      <w:pPr>
        <w:pStyle w:val="20"/>
        <w:jc w:val="both"/>
        <w:rPr>
          <w:lang w:val="en"/>
        </w:rPr>
      </w:pPr>
      <w:bookmarkStart w:id="137" w:name="_Toc112064868"/>
      <w:r>
        <w:rPr>
          <w:lang w:val="en"/>
        </w:rPr>
        <w:t>CT103A</w:t>
      </w:r>
      <w:r>
        <w:t xml:space="preserve"> </w:t>
      </w:r>
      <w:r>
        <w:rPr>
          <w:lang w:val="en"/>
        </w:rPr>
        <w:t>Cell</w:t>
      </w:r>
      <w:r>
        <w:t xml:space="preserve"> I</w:t>
      </w:r>
      <w:proofErr w:type="spellStart"/>
      <w:r>
        <w:rPr>
          <w:lang w:val="en"/>
        </w:rPr>
        <w:t>nfusion</w:t>
      </w:r>
      <w:proofErr w:type="spellEnd"/>
      <w:r>
        <w:t xml:space="preserve"> </w:t>
      </w:r>
      <w:r>
        <w:rPr>
          <w:lang w:val="en"/>
        </w:rPr>
        <w:t>(</w:t>
      </w:r>
      <w:r w:rsidR="003857EE">
        <w:rPr>
          <w:lang w:val="en"/>
        </w:rPr>
        <w:t xml:space="preserve">day </w:t>
      </w:r>
      <w:r>
        <w:rPr>
          <w:lang w:val="en"/>
        </w:rPr>
        <w:t>0)</w:t>
      </w:r>
      <w:bookmarkEnd w:id="137"/>
    </w:p>
    <w:p w14:paraId="1660640E" w14:textId="77777777" w:rsidR="004D54F2" w:rsidRDefault="004D54F2" w:rsidP="0027517F">
      <w:pPr>
        <w:jc w:val="both"/>
      </w:pPr>
      <w:r>
        <w:t xml:space="preserve">Cell infusion visit should be completed under inpatient conditions. </w:t>
      </w:r>
    </w:p>
    <w:p w14:paraId="0AEB1B78" w14:textId="62F3B967" w:rsidR="004D54F2" w:rsidRPr="00886F53" w:rsidRDefault="004D54F2" w:rsidP="0027517F">
      <w:pPr>
        <w:jc w:val="both"/>
      </w:pPr>
      <w:r>
        <w:t>The assessments in this visit are as follows:</w:t>
      </w:r>
    </w:p>
    <w:p w14:paraId="78898EC6" w14:textId="7B4404FE" w:rsidR="004D54F2" w:rsidRPr="00886F53" w:rsidRDefault="004D54F2" w:rsidP="0027517F">
      <w:pPr>
        <w:pStyle w:val="aff"/>
        <w:numPr>
          <w:ilvl w:val="3"/>
          <w:numId w:val="130"/>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Review of infusion criteria before </w:t>
      </w:r>
      <w:r w:rsidR="00396742" w:rsidRPr="00886F53">
        <w:rPr>
          <w:rFonts w:ascii="Times New Roman" w:hAnsi="Times New Roman" w:cs="Times New Roman"/>
          <w:color w:val="000000"/>
          <w:sz w:val="24"/>
          <w:szCs w:val="24"/>
        </w:rPr>
        <w:t>infusion.</w:t>
      </w:r>
    </w:p>
    <w:p w14:paraId="50374D5F" w14:textId="7B808BAA" w:rsidR="004D54F2" w:rsidRPr="00886F53" w:rsidRDefault="004D54F2" w:rsidP="0027517F">
      <w:pPr>
        <w:pStyle w:val="aff"/>
        <w:numPr>
          <w:ilvl w:val="3"/>
          <w:numId w:val="130"/>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Vital signs: include heart rate, blood pressure, axillary temperature, and respiratory </w:t>
      </w:r>
      <w:r w:rsidR="00396742" w:rsidRPr="00886F53">
        <w:rPr>
          <w:rFonts w:ascii="Times New Roman" w:hAnsi="Times New Roman" w:cs="Times New Roman"/>
          <w:color w:val="000000"/>
          <w:sz w:val="24"/>
          <w:szCs w:val="24"/>
        </w:rPr>
        <w:t>rate.</w:t>
      </w:r>
      <w:r w:rsidRPr="00886F53">
        <w:rPr>
          <w:rFonts w:ascii="Times New Roman" w:hAnsi="Times New Roman" w:cs="Times New Roman"/>
          <w:color w:val="000000"/>
          <w:sz w:val="24"/>
          <w:szCs w:val="24"/>
        </w:rPr>
        <w:t xml:space="preserve">  </w:t>
      </w:r>
    </w:p>
    <w:p w14:paraId="74A010B2" w14:textId="35578E0F" w:rsidR="004D54F2" w:rsidRDefault="004D54F2" w:rsidP="0027517F">
      <w:pPr>
        <w:jc w:val="both"/>
      </w:pPr>
      <w:r>
        <w:t>For vital signs: Vital signs (axillary temperature, blood pressure, respiratory rate, and heart rate) should be measured before the cell infusion, at the start of the cell infusion, and within 1 hour (every 15 minutes ± 3 minutes) after the cell infusion until all the measures are stable and in safety state (</w:t>
      </w:r>
      <w:r w:rsidR="00886F53" w:rsidRPr="00886F53">
        <w:rPr>
          <w:color w:val="0000FF"/>
        </w:rPr>
        <w:fldChar w:fldCharType="begin"/>
      </w:r>
      <w:r w:rsidR="00886F53" w:rsidRPr="00886F53">
        <w:rPr>
          <w:color w:val="0000FF"/>
        </w:rPr>
        <w:instrText xml:space="preserve"> REF _Ref111896928 \h </w:instrText>
      </w:r>
      <w:r w:rsidR="00886F53">
        <w:rPr>
          <w:color w:val="0000FF"/>
        </w:rPr>
        <w:instrText xml:space="preserve"> \* MERGEFORMAT </w:instrText>
      </w:r>
      <w:r w:rsidR="00886F53" w:rsidRPr="00886F53">
        <w:rPr>
          <w:color w:val="0000FF"/>
        </w:rPr>
      </w:r>
      <w:r w:rsidR="00886F53" w:rsidRPr="00886F53">
        <w:rPr>
          <w:color w:val="0000FF"/>
        </w:rPr>
        <w:fldChar w:fldCharType="separate"/>
      </w:r>
      <w:r w:rsidR="00886F53" w:rsidRPr="00886F53">
        <w:rPr>
          <w:color w:val="0000FF"/>
        </w:rPr>
        <w:t>Table </w:t>
      </w:r>
      <w:r w:rsidR="00886F53" w:rsidRPr="00886F53">
        <w:rPr>
          <w:noProof/>
          <w:color w:val="0000FF"/>
        </w:rPr>
        <w:t>2</w:t>
      </w:r>
      <w:r w:rsidR="00886F53" w:rsidRPr="00886F53">
        <w:rPr>
          <w:color w:val="0000FF"/>
        </w:rPr>
        <w:fldChar w:fldCharType="end"/>
      </w:r>
      <w:r>
        <w:t>).</w:t>
      </w:r>
    </w:p>
    <w:p w14:paraId="09EF7E93" w14:textId="2031FF9E" w:rsidR="004D54F2" w:rsidRPr="00886F53" w:rsidRDefault="00886F53" w:rsidP="0027517F">
      <w:pPr>
        <w:pStyle w:val="af7"/>
        <w:jc w:val="both"/>
      </w:pPr>
      <w:bookmarkStart w:id="138" w:name="_Ref111896928"/>
      <w:bookmarkStart w:id="139" w:name="_Toc111917476"/>
      <w:r w:rsidRPr="002154C3">
        <w:t>Table </w:t>
      </w:r>
      <w:r w:rsidRPr="002154C3">
        <w:rPr>
          <w:color w:val="2B579A"/>
          <w:shd w:val="clear" w:color="auto" w:fill="E6E6E6"/>
        </w:rPr>
        <w:fldChar w:fldCharType="begin"/>
      </w:r>
      <w:r w:rsidRPr="002154C3">
        <w:instrText>SEQ Table \* ARABIC</w:instrText>
      </w:r>
      <w:r w:rsidRPr="002154C3">
        <w:rPr>
          <w:color w:val="2B579A"/>
          <w:shd w:val="clear" w:color="auto" w:fill="E6E6E6"/>
        </w:rPr>
        <w:fldChar w:fldCharType="separate"/>
      </w:r>
      <w:r>
        <w:rPr>
          <w:noProof/>
        </w:rPr>
        <w:t>2</w:t>
      </w:r>
      <w:r w:rsidRPr="002154C3">
        <w:rPr>
          <w:color w:val="2B579A"/>
          <w:shd w:val="clear" w:color="auto" w:fill="E6E6E6"/>
        </w:rPr>
        <w:fldChar w:fldCharType="end"/>
      </w:r>
      <w:bookmarkEnd w:id="138"/>
      <w:r w:rsidRPr="002154C3">
        <w:t>.</w:t>
      </w:r>
      <w:r>
        <w:t xml:space="preserve">  </w:t>
      </w:r>
      <w:r w:rsidR="004D54F2" w:rsidRPr="00886F53">
        <w:t>Monitoring Requirement of Vital Signs</w:t>
      </w:r>
      <w:bookmarkEnd w:id="139"/>
    </w:p>
    <w:tbl>
      <w:tblPr>
        <w:tblW w:w="50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13"/>
        <w:gridCol w:w="1405"/>
        <w:gridCol w:w="1017"/>
        <w:gridCol w:w="1277"/>
        <w:gridCol w:w="1275"/>
        <w:gridCol w:w="1275"/>
        <w:gridCol w:w="1275"/>
      </w:tblGrid>
      <w:tr w:rsidR="004D54F2" w:rsidRPr="00886F53" w14:paraId="2DE85E68" w14:textId="77777777" w:rsidTr="00F31A05">
        <w:trPr>
          <w:jc w:val="center"/>
        </w:trPr>
        <w:tc>
          <w:tcPr>
            <w:tcW w:w="459" w:type="pct"/>
            <w:vMerge w:val="restart"/>
            <w:vAlign w:val="center"/>
          </w:tcPr>
          <w:p w14:paraId="43D77C02" w14:textId="77777777" w:rsidR="004D54F2" w:rsidRPr="00886F53" w:rsidRDefault="004D54F2" w:rsidP="0027517F">
            <w:pPr>
              <w:pStyle w:val="afff6"/>
              <w:snapToGrid w:val="0"/>
              <w:spacing w:line="240" w:lineRule="auto"/>
              <w:rPr>
                <w:kern w:val="44"/>
                <w:sz w:val="21"/>
                <w:szCs w:val="21"/>
              </w:rPr>
            </w:pPr>
            <w:r w:rsidRPr="00886F53">
              <w:rPr>
                <w:sz w:val="21"/>
                <w:szCs w:val="21"/>
              </w:rPr>
              <w:t>Time</w:t>
            </w:r>
          </w:p>
        </w:tc>
        <w:tc>
          <w:tcPr>
            <w:tcW w:w="846" w:type="pct"/>
            <w:vAlign w:val="center"/>
          </w:tcPr>
          <w:p w14:paraId="3CBD31D1" w14:textId="77777777" w:rsidR="004D54F2" w:rsidRPr="00886F53" w:rsidRDefault="004D54F2" w:rsidP="0027517F">
            <w:pPr>
              <w:pStyle w:val="afff6"/>
              <w:snapToGrid w:val="0"/>
              <w:spacing w:line="240" w:lineRule="auto"/>
              <w:rPr>
                <w:kern w:val="44"/>
                <w:sz w:val="21"/>
                <w:szCs w:val="21"/>
              </w:rPr>
            </w:pPr>
            <w:r w:rsidRPr="00886F53">
              <w:rPr>
                <w:sz w:val="21"/>
                <w:szCs w:val="21"/>
              </w:rPr>
              <w:t>Before the start of the cell infusion</w:t>
            </w:r>
          </w:p>
        </w:tc>
        <w:tc>
          <w:tcPr>
            <w:tcW w:w="618" w:type="pct"/>
            <w:vAlign w:val="center"/>
          </w:tcPr>
          <w:p w14:paraId="412CF7A4" w14:textId="77777777" w:rsidR="004D54F2" w:rsidRPr="00886F53" w:rsidRDefault="004D54F2" w:rsidP="0027517F">
            <w:pPr>
              <w:pStyle w:val="afff6"/>
              <w:snapToGrid w:val="0"/>
              <w:spacing w:line="240" w:lineRule="auto"/>
              <w:rPr>
                <w:kern w:val="44"/>
                <w:sz w:val="21"/>
                <w:szCs w:val="21"/>
              </w:rPr>
            </w:pPr>
            <w:r w:rsidRPr="00886F53">
              <w:rPr>
                <w:sz w:val="21"/>
                <w:szCs w:val="21"/>
              </w:rPr>
              <w:t>At the start of the cell infusion</w:t>
            </w:r>
          </w:p>
        </w:tc>
        <w:tc>
          <w:tcPr>
            <w:tcW w:w="3077" w:type="pct"/>
            <w:gridSpan w:val="4"/>
            <w:vAlign w:val="center"/>
          </w:tcPr>
          <w:p w14:paraId="75252AD0" w14:textId="77777777" w:rsidR="004D54F2" w:rsidRPr="00886F53" w:rsidRDefault="004D54F2" w:rsidP="0027517F">
            <w:pPr>
              <w:pStyle w:val="afff6"/>
              <w:snapToGrid w:val="0"/>
              <w:spacing w:line="240" w:lineRule="auto"/>
              <w:rPr>
                <w:kern w:val="44"/>
                <w:sz w:val="21"/>
                <w:szCs w:val="21"/>
              </w:rPr>
            </w:pPr>
            <w:r w:rsidRPr="00886F53">
              <w:rPr>
                <w:sz w:val="21"/>
                <w:szCs w:val="21"/>
              </w:rPr>
              <w:t>After the start of cell infusion</w:t>
            </w:r>
          </w:p>
        </w:tc>
      </w:tr>
      <w:tr w:rsidR="004D54F2" w:rsidRPr="00886F53" w14:paraId="62B48D72" w14:textId="77777777" w:rsidTr="00F31A05">
        <w:trPr>
          <w:jc w:val="center"/>
        </w:trPr>
        <w:tc>
          <w:tcPr>
            <w:tcW w:w="459" w:type="pct"/>
            <w:vMerge/>
            <w:vAlign w:val="center"/>
          </w:tcPr>
          <w:p w14:paraId="467A8489" w14:textId="77777777" w:rsidR="004D54F2" w:rsidRPr="00886F53" w:rsidRDefault="004D54F2" w:rsidP="0027517F">
            <w:pPr>
              <w:pStyle w:val="afff6"/>
              <w:snapToGrid w:val="0"/>
              <w:spacing w:line="240" w:lineRule="auto"/>
              <w:rPr>
                <w:kern w:val="44"/>
                <w:sz w:val="21"/>
                <w:szCs w:val="21"/>
              </w:rPr>
            </w:pPr>
          </w:p>
        </w:tc>
        <w:tc>
          <w:tcPr>
            <w:tcW w:w="846" w:type="pct"/>
            <w:vAlign w:val="center"/>
          </w:tcPr>
          <w:p w14:paraId="653B63EB" w14:textId="77777777" w:rsidR="004D54F2" w:rsidRPr="00886F53" w:rsidRDefault="004D54F2" w:rsidP="0027517F">
            <w:pPr>
              <w:pStyle w:val="afff6"/>
              <w:snapToGrid w:val="0"/>
              <w:spacing w:line="240" w:lineRule="auto"/>
              <w:rPr>
                <w:kern w:val="44"/>
                <w:sz w:val="21"/>
                <w:szCs w:val="21"/>
              </w:rPr>
            </w:pPr>
            <w:r w:rsidRPr="00886F53">
              <w:rPr>
                <w:sz w:val="21"/>
                <w:szCs w:val="21"/>
              </w:rPr>
              <w:t>-15 min ± 3 min</w:t>
            </w:r>
          </w:p>
        </w:tc>
        <w:tc>
          <w:tcPr>
            <w:tcW w:w="618" w:type="pct"/>
            <w:vAlign w:val="center"/>
          </w:tcPr>
          <w:p w14:paraId="32751AA5" w14:textId="77777777" w:rsidR="004D54F2" w:rsidRPr="00886F53" w:rsidRDefault="004D54F2" w:rsidP="0027517F">
            <w:pPr>
              <w:pStyle w:val="afff6"/>
              <w:snapToGrid w:val="0"/>
              <w:spacing w:line="240" w:lineRule="auto"/>
              <w:rPr>
                <w:kern w:val="44"/>
                <w:sz w:val="21"/>
                <w:szCs w:val="21"/>
              </w:rPr>
            </w:pPr>
            <w:r w:rsidRPr="00886F53">
              <w:rPr>
                <w:sz w:val="21"/>
                <w:szCs w:val="21"/>
              </w:rPr>
              <w:t>0 min</w:t>
            </w:r>
          </w:p>
        </w:tc>
        <w:tc>
          <w:tcPr>
            <w:tcW w:w="770" w:type="pct"/>
            <w:vAlign w:val="center"/>
          </w:tcPr>
          <w:p w14:paraId="518BF179" w14:textId="77777777" w:rsidR="004D54F2" w:rsidRPr="00886F53" w:rsidRDefault="004D54F2" w:rsidP="0027517F">
            <w:pPr>
              <w:pStyle w:val="afff6"/>
              <w:snapToGrid w:val="0"/>
              <w:spacing w:line="240" w:lineRule="auto"/>
              <w:rPr>
                <w:kern w:val="44"/>
                <w:sz w:val="21"/>
                <w:szCs w:val="21"/>
              </w:rPr>
            </w:pPr>
            <w:r w:rsidRPr="00886F53">
              <w:rPr>
                <w:sz w:val="21"/>
                <w:szCs w:val="21"/>
              </w:rPr>
              <w:t>15 min ± 3 min</w:t>
            </w:r>
          </w:p>
        </w:tc>
        <w:tc>
          <w:tcPr>
            <w:tcW w:w="769" w:type="pct"/>
            <w:vAlign w:val="center"/>
          </w:tcPr>
          <w:p w14:paraId="00BB9E61" w14:textId="77777777" w:rsidR="004D54F2" w:rsidRPr="00886F53" w:rsidRDefault="004D54F2" w:rsidP="0027517F">
            <w:pPr>
              <w:pStyle w:val="afff6"/>
              <w:snapToGrid w:val="0"/>
              <w:spacing w:line="240" w:lineRule="auto"/>
              <w:rPr>
                <w:kern w:val="44"/>
                <w:sz w:val="21"/>
                <w:szCs w:val="21"/>
              </w:rPr>
            </w:pPr>
            <w:r w:rsidRPr="00886F53">
              <w:rPr>
                <w:sz w:val="21"/>
                <w:szCs w:val="21"/>
              </w:rPr>
              <w:t>30 min ± 3 min</w:t>
            </w:r>
          </w:p>
        </w:tc>
        <w:tc>
          <w:tcPr>
            <w:tcW w:w="769" w:type="pct"/>
            <w:vAlign w:val="center"/>
          </w:tcPr>
          <w:p w14:paraId="38B7A689" w14:textId="77777777" w:rsidR="004D54F2" w:rsidRPr="00886F53" w:rsidRDefault="004D54F2" w:rsidP="0027517F">
            <w:pPr>
              <w:pStyle w:val="afff6"/>
              <w:snapToGrid w:val="0"/>
              <w:spacing w:line="240" w:lineRule="auto"/>
              <w:rPr>
                <w:kern w:val="44"/>
                <w:sz w:val="21"/>
                <w:szCs w:val="21"/>
              </w:rPr>
            </w:pPr>
            <w:r w:rsidRPr="00886F53">
              <w:rPr>
                <w:sz w:val="21"/>
                <w:szCs w:val="21"/>
              </w:rPr>
              <w:t>45 min ± 3 min</w:t>
            </w:r>
          </w:p>
        </w:tc>
        <w:tc>
          <w:tcPr>
            <w:tcW w:w="769" w:type="pct"/>
            <w:vAlign w:val="center"/>
          </w:tcPr>
          <w:p w14:paraId="787CB18E" w14:textId="77777777" w:rsidR="004D54F2" w:rsidRPr="00886F53" w:rsidRDefault="004D54F2" w:rsidP="0027517F">
            <w:pPr>
              <w:pStyle w:val="afff6"/>
              <w:snapToGrid w:val="0"/>
              <w:spacing w:line="240" w:lineRule="auto"/>
              <w:rPr>
                <w:kern w:val="44"/>
                <w:sz w:val="21"/>
                <w:szCs w:val="21"/>
              </w:rPr>
            </w:pPr>
            <w:r w:rsidRPr="00886F53">
              <w:rPr>
                <w:sz w:val="21"/>
                <w:szCs w:val="21"/>
              </w:rPr>
              <w:t>60 min ± 3 min</w:t>
            </w:r>
          </w:p>
        </w:tc>
      </w:tr>
      <w:tr w:rsidR="004D54F2" w:rsidRPr="00886F53" w14:paraId="6D0C6A62" w14:textId="77777777" w:rsidTr="00F31A05">
        <w:trPr>
          <w:jc w:val="center"/>
        </w:trPr>
        <w:tc>
          <w:tcPr>
            <w:tcW w:w="459" w:type="pct"/>
            <w:vAlign w:val="center"/>
          </w:tcPr>
          <w:p w14:paraId="43A327CE" w14:textId="77777777" w:rsidR="004D54F2" w:rsidRPr="00886F53" w:rsidRDefault="004D54F2" w:rsidP="0027517F">
            <w:pPr>
              <w:pStyle w:val="afff6"/>
              <w:snapToGrid w:val="0"/>
              <w:spacing w:line="240" w:lineRule="auto"/>
              <w:rPr>
                <w:kern w:val="44"/>
                <w:sz w:val="21"/>
                <w:szCs w:val="21"/>
              </w:rPr>
            </w:pPr>
            <w:r w:rsidRPr="00886F53">
              <w:rPr>
                <w:sz w:val="21"/>
                <w:szCs w:val="21"/>
              </w:rPr>
              <w:t>Axillary</w:t>
            </w:r>
          </w:p>
          <w:p w14:paraId="653AD80F" w14:textId="7AF1AEAF" w:rsidR="004D54F2" w:rsidRPr="00886F53" w:rsidRDefault="004D54F2" w:rsidP="0027517F">
            <w:pPr>
              <w:pStyle w:val="afff6"/>
              <w:snapToGrid w:val="0"/>
              <w:spacing w:line="240" w:lineRule="auto"/>
              <w:rPr>
                <w:kern w:val="44"/>
                <w:sz w:val="21"/>
                <w:szCs w:val="21"/>
              </w:rPr>
            </w:pPr>
            <w:r w:rsidRPr="00886F53">
              <w:rPr>
                <w:sz w:val="21"/>
                <w:szCs w:val="21"/>
              </w:rPr>
              <w:t>temperature</w:t>
            </w:r>
          </w:p>
        </w:tc>
        <w:tc>
          <w:tcPr>
            <w:tcW w:w="846" w:type="pct"/>
            <w:vAlign w:val="center"/>
          </w:tcPr>
          <w:p w14:paraId="1D7FA991" w14:textId="77777777" w:rsidR="004D54F2" w:rsidRPr="00886F53" w:rsidRDefault="004D54F2" w:rsidP="0027517F">
            <w:pPr>
              <w:pStyle w:val="afff6"/>
              <w:snapToGrid w:val="0"/>
              <w:spacing w:line="240" w:lineRule="auto"/>
              <w:rPr>
                <w:kern w:val="44"/>
                <w:sz w:val="21"/>
                <w:szCs w:val="21"/>
              </w:rPr>
            </w:pPr>
            <w:r w:rsidRPr="00886F53">
              <w:rPr>
                <w:sz w:val="21"/>
                <w:szCs w:val="21"/>
              </w:rPr>
              <w:t>√</w:t>
            </w:r>
          </w:p>
        </w:tc>
        <w:tc>
          <w:tcPr>
            <w:tcW w:w="618" w:type="pct"/>
            <w:vAlign w:val="center"/>
          </w:tcPr>
          <w:p w14:paraId="4598EBA7" w14:textId="77777777" w:rsidR="004D54F2" w:rsidRPr="00886F53" w:rsidRDefault="004D54F2" w:rsidP="0027517F">
            <w:pPr>
              <w:pStyle w:val="afff6"/>
              <w:snapToGrid w:val="0"/>
              <w:spacing w:line="240" w:lineRule="auto"/>
              <w:rPr>
                <w:kern w:val="44"/>
                <w:sz w:val="21"/>
                <w:szCs w:val="21"/>
              </w:rPr>
            </w:pPr>
            <w:r w:rsidRPr="00886F53">
              <w:rPr>
                <w:sz w:val="21"/>
                <w:szCs w:val="21"/>
              </w:rPr>
              <w:t>√</w:t>
            </w:r>
          </w:p>
        </w:tc>
        <w:tc>
          <w:tcPr>
            <w:tcW w:w="770" w:type="pct"/>
            <w:vAlign w:val="center"/>
          </w:tcPr>
          <w:p w14:paraId="1695468E" w14:textId="77777777" w:rsidR="004D54F2" w:rsidRPr="00886F53" w:rsidRDefault="004D54F2" w:rsidP="0027517F">
            <w:pPr>
              <w:pStyle w:val="afff6"/>
              <w:snapToGrid w:val="0"/>
              <w:spacing w:line="240" w:lineRule="auto"/>
              <w:rPr>
                <w:kern w:val="44"/>
                <w:sz w:val="21"/>
                <w:szCs w:val="21"/>
              </w:rPr>
            </w:pPr>
            <w:r w:rsidRPr="00886F53">
              <w:rPr>
                <w:sz w:val="21"/>
                <w:szCs w:val="21"/>
              </w:rPr>
              <w:t>√</w:t>
            </w:r>
          </w:p>
        </w:tc>
        <w:tc>
          <w:tcPr>
            <w:tcW w:w="769" w:type="pct"/>
            <w:vAlign w:val="center"/>
          </w:tcPr>
          <w:p w14:paraId="77C063BD" w14:textId="77777777" w:rsidR="004D54F2" w:rsidRPr="00886F53" w:rsidRDefault="004D54F2" w:rsidP="0027517F">
            <w:pPr>
              <w:pStyle w:val="afff6"/>
              <w:snapToGrid w:val="0"/>
              <w:spacing w:line="240" w:lineRule="auto"/>
              <w:rPr>
                <w:kern w:val="44"/>
                <w:sz w:val="21"/>
                <w:szCs w:val="21"/>
              </w:rPr>
            </w:pPr>
            <w:r w:rsidRPr="00886F53">
              <w:rPr>
                <w:sz w:val="21"/>
                <w:szCs w:val="21"/>
              </w:rPr>
              <w:t>√</w:t>
            </w:r>
          </w:p>
        </w:tc>
        <w:tc>
          <w:tcPr>
            <w:tcW w:w="769" w:type="pct"/>
            <w:vAlign w:val="center"/>
          </w:tcPr>
          <w:p w14:paraId="2ABF45AB" w14:textId="77777777" w:rsidR="004D54F2" w:rsidRPr="00886F53" w:rsidRDefault="004D54F2" w:rsidP="0027517F">
            <w:pPr>
              <w:pStyle w:val="afff6"/>
              <w:snapToGrid w:val="0"/>
              <w:spacing w:line="240" w:lineRule="auto"/>
              <w:rPr>
                <w:kern w:val="44"/>
                <w:sz w:val="21"/>
                <w:szCs w:val="21"/>
              </w:rPr>
            </w:pPr>
            <w:r w:rsidRPr="00886F53">
              <w:rPr>
                <w:sz w:val="21"/>
                <w:szCs w:val="21"/>
              </w:rPr>
              <w:t>√</w:t>
            </w:r>
          </w:p>
        </w:tc>
        <w:tc>
          <w:tcPr>
            <w:tcW w:w="769" w:type="pct"/>
            <w:vAlign w:val="center"/>
          </w:tcPr>
          <w:p w14:paraId="06E07C47" w14:textId="77777777" w:rsidR="004D54F2" w:rsidRPr="00886F53" w:rsidRDefault="004D54F2" w:rsidP="0027517F">
            <w:pPr>
              <w:pStyle w:val="afff6"/>
              <w:snapToGrid w:val="0"/>
              <w:spacing w:line="240" w:lineRule="auto"/>
              <w:rPr>
                <w:kern w:val="44"/>
                <w:sz w:val="21"/>
                <w:szCs w:val="21"/>
              </w:rPr>
            </w:pPr>
            <w:r w:rsidRPr="00886F53">
              <w:rPr>
                <w:sz w:val="21"/>
                <w:szCs w:val="21"/>
              </w:rPr>
              <w:t>√</w:t>
            </w:r>
          </w:p>
        </w:tc>
      </w:tr>
      <w:tr w:rsidR="004D54F2" w:rsidRPr="00886F53" w14:paraId="5D6EC1F8" w14:textId="77777777" w:rsidTr="00F31A05">
        <w:trPr>
          <w:jc w:val="center"/>
        </w:trPr>
        <w:tc>
          <w:tcPr>
            <w:tcW w:w="459" w:type="pct"/>
            <w:vAlign w:val="center"/>
          </w:tcPr>
          <w:p w14:paraId="105A3375" w14:textId="24C77C97" w:rsidR="004D54F2" w:rsidRPr="00886F53" w:rsidRDefault="004D54F2" w:rsidP="0027517F">
            <w:pPr>
              <w:pStyle w:val="afff6"/>
              <w:snapToGrid w:val="0"/>
              <w:spacing w:line="240" w:lineRule="auto"/>
              <w:rPr>
                <w:kern w:val="44"/>
                <w:sz w:val="21"/>
                <w:szCs w:val="21"/>
              </w:rPr>
            </w:pPr>
            <w:r w:rsidRPr="00886F53">
              <w:rPr>
                <w:sz w:val="21"/>
                <w:szCs w:val="21"/>
              </w:rPr>
              <w:t>Blood pressure</w:t>
            </w:r>
          </w:p>
        </w:tc>
        <w:tc>
          <w:tcPr>
            <w:tcW w:w="846" w:type="pct"/>
            <w:vAlign w:val="center"/>
          </w:tcPr>
          <w:p w14:paraId="6F74BABC" w14:textId="77777777" w:rsidR="004D54F2" w:rsidRPr="00886F53" w:rsidRDefault="004D54F2" w:rsidP="0027517F">
            <w:pPr>
              <w:pStyle w:val="afff6"/>
              <w:snapToGrid w:val="0"/>
              <w:spacing w:line="240" w:lineRule="auto"/>
              <w:rPr>
                <w:kern w:val="44"/>
                <w:sz w:val="21"/>
                <w:szCs w:val="21"/>
              </w:rPr>
            </w:pPr>
            <w:r w:rsidRPr="00886F53">
              <w:rPr>
                <w:sz w:val="21"/>
                <w:szCs w:val="21"/>
              </w:rPr>
              <w:t>√</w:t>
            </w:r>
          </w:p>
        </w:tc>
        <w:tc>
          <w:tcPr>
            <w:tcW w:w="618" w:type="pct"/>
            <w:vAlign w:val="center"/>
          </w:tcPr>
          <w:p w14:paraId="6C2CB714" w14:textId="77777777" w:rsidR="004D54F2" w:rsidRPr="00886F53" w:rsidRDefault="004D54F2" w:rsidP="0027517F">
            <w:pPr>
              <w:pStyle w:val="afff6"/>
              <w:snapToGrid w:val="0"/>
              <w:spacing w:line="240" w:lineRule="auto"/>
              <w:rPr>
                <w:kern w:val="44"/>
                <w:sz w:val="21"/>
                <w:szCs w:val="21"/>
              </w:rPr>
            </w:pPr>
            <w:r w:rsidRPr="00886F53">
              <w:rPr>
                <w:sz w:val="21"/>
                <w:szCs w:val="21"/>
              </w:rPr>
              <w:t>√</w:t>
            </w:r>
          </w:p>
        </w:tc>
        <w:tc>
          <w:tcPr>
            <w:tcW w:w="770" w:type="pct"/>
            <w:vAlign w:val="center"/>
          </w:tcPr>
          <w:p w14:paraId="0A7872FB" w14:textId="77777777" w:rsidR="004D54F2" w:rsidRPr="00886F53" w:rsidRDefault="004D54F2" w:rsidP="0027517F">
            <w:pPr>
              <w:pStyle w:val="afff6"/>
              <w:snapToGrid w:val="0"/>
              <w:spacing w:line="240" w:lineRule="auto"/>
              <w:rPr>
                <w:kern w:val="44"/>
                <w:sz w:val="21"/>
                <w:szCs w:val="21"/>
              </w:rPr>
            </w:pPr>
            <w:r w:rsidRPr="00886F53">
              <w:rPr>
                <w:sz w:val="21"/>
                <w:szCs w:val="21"/>
              </w:rPr>
              <w:t>√</w:t>
            </w:r>
          </w:p>
        </w:tc>
        <w:tc>
          <w:tcPr>
            <w:tcW w:w="769" w:type="pct"/>
            <w:vAlign w:val="center"/>
          </w:tcPr>
          <w:p w14:paraId="49DFAC46" w14:textId="77777777" w:rsidR="004D54F2" w:rsidRPr="00886F53" w:rsidRDefault="004D54F2" w:rsidP="0027517F">
            <w:pPr>
              <w:pStyle w:val="afff6"/>
              <w:snapToGrid w:val="0"/>
              <w:spacing w:line="240" w:lineRule="auto"/>
              <w:rPr>
                <w:kern w:val="44"/>
                <w:sz w:val="21"/>
                <w:szCs w:val="21"/>
              </w:rPr>
            </w:pPr>
            <w:r w:rsidRPr="00886F53">
              <w:rPr>
                <w:sz w:val="21"/>
                <w:szCs w:val="21"/>
              </w:rPr>
              <w:t>√</w:t>
            </w:r>
          </w:p>
        </w:tc>
        <w:tc>
          <w:tcPr>
            <w:tcW w:w="769" w:type="pct"/>
            <w:vAlign w:val="center"/>
          </w:tcPr>
          <w:p w14:paraId="24E0CFE6" w14:textId="77777777" w:rsidR="004D54F2" w:rsidRPr="00886F53" w:rsidRDefault="004D54F2" w:rsidP="0027517F">
            <w:pPr>
              <w:pStyle w:val="afff6"/>
              <w:snapToGrid w:val="0"/>
              <w:spacing w:line="240" w:lineRule="auto"/>
              <w:rPr>
                <w:kern w:val="44"/>
                <w:sz w:val="21"/>
                <w:szCs w:val="21"/>
              </w:rPr>
            </w:pPr>
            <w:r w:rsidRPr="00886F53">
              <w:rPr>
                <w:sz w:val="21"/>
                <w:szCs w:val="21"/>
              </w:rPr>
              <w:t>√</w:t>
            </w:r>
          </w:p>
        </w:tc>
        <w:tc>
          <w:tcPr>
            <w:tcW w:w="769" w:type="pct"/>
            <w:vAlign w:val="center"/>
          </w:tcPr>
          <w:p w14:paraId="5F94758E" w14:textId="77777777" w:rsidR="004D54F2" w:rsidRPr="00886F53" w:rsidRDefault="004D54F2" w:rsidP="0027517F">
            <w:pPr>
              <w:pStyle w:val="afff6"/>
              <w:snapToGrid w:val="0"/>
              <w:spacing w:line="240" w:lineRule="auto"/>
              <w:rPr>
                <w:kern w:val="44"/>
                <w:sz w:val="21"/>
                <w:szCs w:val="21"/>
              </w:rPr>
            </w:pPr>
            <w:r w:rsidRPr="00886F53">
              <w:rPr>
                <w:sz w:val="21"/>
                <w:szCs w:val="21"/>
              </w:rPr>
              <w:t>√</w:t>
            </w:r>
          </w:p>
        </w:tc>
      </w:tr>
      <w:tr w:rsidR="004D54F2" w:rsidRPr="00886F53" w14:paraId="755ACFED" w14:textId="77777777" w:rsidTr="00F31A05">
        <w:trPr>
          <w:jc w:val="center"/>
        </w:trPr>
        <w:tc>
          <w:tcPr>
            <w:tcW w:w="459" w:type="pct"/>
            <w:vAlign w:val="center"/>
          </w:tcPr>
          <w:p w14:paraId="7D142AD2" w14:textId="77777777" w:rsidR="004D54F2" w:rsidRPr="00886F53" w:rsidRDefault="004D54F2" w:rsidP="0027517F">
            <w:pPr>
              <w:pStyle w:val="afff6"/>
              <w:snapToGrid w:val="0"/>
              <w:spacing w:line="240" w:lineRule="auto"/>
              <w:rPr>
                <w:kern w:val="44"/>
                <w:sz w:val="21"/>
                <w:szCs w:val="21"/>
              </w:rPr>
            </w:pPr>
            <w:r w:rsidRPr="00886F53">
              <w:rPr>
                <w:sz w:val="21"/>
                <w:szCs w:val="21"/>
              </w:rPr>
              <w:t>Respiratory</w:t>
            </w:r>
          </w:p>
        </w:tc>
        <w:tc>
          <w:tcPr>
            <w:tcW w:w="846" w:type="pct"/>
            <w:vAlign w:val="center"/>
          </w:tcPr>
          <w:p w14:paraId="09BBB16E" w14:textId="77777777" w:rsidR="004D54F2" w:rsidRPr="00886F53" w:rsidRDefault="004D54F2" w:rsidP="0027517F">
            <w:pPr>
              <w:pStyle w:val="afff6"/>
              <w:snapToGrid w:val="0"/>
              <w:spacing w:line="240" w:lineRule="auto"/>
              <w:rPr>
                <w:kern w:val="44"/>
                <w:sz w:val="21"/>
                <w:szCs w:val="21"/>
              </w:rPr>
            </w:pPr>
            <w:r w:rsidRPr="00886F53">
              <w:rPr>
                <w:sz w:val="21"/>
                <w:szCs w:val="21"/>
              </w:rPr>
              <w:t>√</w:t>
            </w:r>
          </w:p>
        </w:tc>
        <w:tc>
          <w:tcPr>
            <w:tcW w:w="618" w:type="pct"/>
            <w:vAlign w:val="center"/>
          </w:tcPr>
          <w:p w14:paraId="0092753F" w14:textId="77777777" w:rsidR="004D54F2" w:rsidRPr="00886F53" w:rsidRDefault="004D54F2" w:rsidP="0027517F">
            <w:pPr>
              <w:pStyle w:val="afff6"/>
              <w:snapToGrid w:val="0"/>
              <w:spacing w:line="240" w:lineRule="auto"/>
              <w:rPr>
                <w:kern w:val="44"/>
                <w:sz w:val="21"/>
                <w:szCs w:val="21"/>
              </w:rPr>
            </w:pPr>
            <w:r w:rsidRPr="00886F53">
              <w:rPr>
                <w:sz w:val="21"/>
                <w:szCs w:val="21"/>
              </w:rPr>
              <w:t>√</w:t>
            </w:r>
          </w:p>
        </w:tc>
        <w:tc>
          <w:tcPr>
            <w:tcW w:w="770" w:type="pct"/>
            <w:vAlign w:val="center"/>
          </w:tcPr>
          <w:p w14:paraId="0DA8B2C7" w14:textId="77777777" w:rsidR="004D54F2" w:rsidRPr="00886F53" w:rsidRDefault="004D54F2" w:rsidP="0027517F">
            <w:pPr>
              <w:pStyle w:val="afff6"/>
              <w:snapToGrid w:val="0"/>
              <w:spacing w:line="240" w:lineRule="auto"/>
              <w:rPr>
                <w:kern w:val="44"/>
                <w:sz w:val="21"/>
                <w:szCs w:val="21"/>
              </w:rPr>
            </w:pPr>
            <w:r w:rsidRPr="00886F53">
              <w:rPr>
                <w:sz w:val="21"/>
                <w:szCs w:val="21"/>
              </w:rPr>
              <w:t>√</w:t>
            </w:r>
          </w:p>
        </w:tc>
        <w:tc>
          <w:tcPr>
            <w:tcW w:w="769" w:type="pct"/>
            <w:vAlign w:val="center"/>
          </w:tcPr>
          <w:p w14:paraId="1BDF3B50" w14:textId="77777777" w:rsidR="004D54F2" w:rsidRPr="00886F53" w:rsidRDefault="004D54F2" w:rsidP="0027517F">
            <w:pPr>
              <w:pStyle w:val="afff6"/>
              <w:snapToGrid w:val="0"/>
              <w:spacing w:line="240" w:lineRule="auto"/>
              <w:rPr>
                <w:kern w:val="44"/>
                <w:sz w:val="21"/>
                <w:szCs w:val="21"/>
              </w:rPr>
            </w:pPr>
            <w:r w:rsidRPr="00886F53">
              <w:rPr>
                <w:sz w:val="21"/>
                <w:szCs w:val="21"/>
              </w:rPr>
              <w:t>√</w:t>
            </w:r>
          </w:p>
        </w:tc>
        <w:tc>
          <w:tcPr>
            <w:tcW w:w="769" w:type="pct"/>
            <w:vAlign w:val="center"/>
          </w:tcPr>
          <w:p w14:paraId="5DF321D2" w14:textId="77777777" w:rsidR="004D54F2" w:rsidRPr="00886F53" w:rsidRDefault="004D54F2" w:rsidP="0027517F">
            <w:pPr>
              <w:pStyle w:val="afff6"/>
              <w:snapToGrid w:val="0"/>
              <w:spacing w:line="240" w:lineRule="auto"/>
              <w:rPr>
                <w:kern w:val="44"/>
                <w:sz w:val="21"/>
                <w:szCs w:val="21"/>
              </w:rPr>
            </w:pPr>
            <w:r w:rsidRPr="00886F53">
              <w:rPr>
                <w:sz w:val="21"/>
                <w:szCs w:val="21"/>
              </w:rPr>
              <w:t>√</w:t>
            </w:r>
          </w:p>
        </w:tc>
        <w:tc>
          <w:tcPr>
            <w:tcW w:w="769" w:type="pct"/>
            <w:vAlign w:val="center"/>
          </w:tcPr>
          <w:p w14:paraId="53656EDC" w14:textId="77777777" w:rsidR="004D54F2" w:rsidRPr="00886F53" w:rsidRDefault="004D54F2" w:rsidP="0027517F">
            <w:pPr>
              <w:pStyle w:val="afff6"/>
              <w:snapToGrid w:val="0"/>
              <w:spacing w:line="240" w:lineRule="auto"/>
              <w:rPr>
                <w:kern w:val="44"/>
                <w:sz w:val="21"/>
                <w:szCs w:val="21"/>
              </w:rPr>
            </w:pPr>
            <w:r w:rsidRPr="00886F53">
              <w:rPr>
                <w:sz w:val="21"/>
                <w:szCs w:val="21"/>
              </w:rPr>
              <w:t>√</w:t>
            </w:r>
          </w:p>
        </w:tc>
      </w:tr>
      <w:tr w:rsidR="004D54F2" w:rsidRPr="00886F53" w14:paraId="3F1C8654" w14:textId="77777777" w:rsidTr="00F31A05">
        <w:trPr>
          <w:jc w:val="center"/>
        </w:trPr>
        <w:tc>
          <w:tcPr>
            <w:tcW w:w="459" w:type="pct"/>
            <w:vAlign w:val="center"/>
          </w:tcPr>
          <w:p w14:paraId="37E7A76A" w14:textId="77777777" w:rsidR="004D54F2" w:rsidRPr="00886F53" w:rsidRDefault="004D54F2" w:rsidP="0027517F">
            <w:pPr>
              <w:pStyle w:val="afff6"/>
              <w:snapToGrid w:val="0"/>
              <w:spacing w:line="240" w:lineRule="auto"/>
              <w:rPr>
                <w:kern w:val="44"/>
                <w:sz w:val="21"/>
                <w:szCs w:val="21"/>
              </w:rPr>
            </w:pPr>
            <w:r w:rsidRPr="00886F53">
              <w:rPr>
                <w:sz w:val="21"/>
                <w:szCs w:val="21"/>
              </w:rPr>
              <w:t>Heart rate</w:t>
            </w:r>
          </w:p>
        </w:tc>
        <w:tc>
          <w:tcPr>
            <w:tcW w:w="846" w:type="pct"/>
            <w:vAlign w:val="center"/>
          </w:tcPr>
          <w:p w14:paraId="4D0E7223" w14:textId="77777777" w:rsidR="004D54F2" w:rsidRPr="00886F53" w:rsidRDefault="004D54F2" w:rsidP="0027517F">
            <w:pPr>
              <w:pStyle w:val="afff6"/>
              <w:snapToGrid w:val="0"/>
              <w:spacing w:line="240" w:lineRule="auto"/>
              <w:rPr>
                <w:kern w:val="44"/>
                <w:sz w:val="21"/>
                <w:szCs w:val="21"/>
              </w:rPr>
            </w:pPr>
            <w:r w:rsidRPr="00886F53">
              <w:rPr>
                <w:sz w:val="21"/>
                <w:szCs w:val="21"/>
              </w:rPr>
              <w:t>√</w:t>
            </w:r>
          </w:p>
        </w:tc>
        <w:tc>
          <w:tcPr>
            <w:tcW w:w="618" w:type="pct"/>
            <w:vAlign w:val="center"/>
          </w:tcPr>
          <w:p w14:paraId="3E3D8062" w14:textId="77777777" w:rsidR="004D54F2" w:rsidRPr="00886F53" w:rsidRDefault="004D54F2" w:rsidP="0027517F">
            <w:pPr>
              <w:pStyle w:val="afff6"/>
              <w:snapToGrid w:val="0"/>
              <w:spacing w:line="240" w:lineRule="auto"/>
              <w:rPr>
                <w:kern w:val="44"/>
                <w:sz w:val="21"/>
                <w:szCs w:val="21"/>
              </w:rPr>
            </w:pPr>
            <w:r w:rsidRPr="00886F53">
              <w:rPr>
                <w:sz w:val="21"/>
                <w:szCs w:val="21"/>
              </w:rPr>
              <w:t>√</w:t>
            </w:r>
          </w:p>
        </w:tc>
        <w:tc>
          <w:tcPr>
            <w:tcW w:w="770" w:type="pct"/>
            <w:vAlign w:val="center"/>
          </w:tcPr>
          <w:p w14:paraId="5872F702" w14:textId="77777777" w:rsidR="004D54F2" w:rsidRPr="00886F53" w:rsidRDefault="004D54F2" w:rsidP="0027517F">
            <w:pPr>
              <w:pStyle w:val="afff6"/>
              <w:snapToGrid w:val="0"/>
              <w:spacing w:line="240" w:lineRule="auto"/>
              <w:rPr>
                <w:kern w:val="44"/>
                <w:sz w:val="21"/>
                <w:szCs w:val="21"/>
              </w:rPr>
            </w:pPr>
            <w:r w:rsidRPr="00886F53">
              <w:rPr>
                <w:sz w:val="21"/>
                <w:szCs w:val="21"/>
              </w:rPr>
              <w:t>√</w:t>
            </w:r>
          </w:p>
        </w:tc>
        <w:tc>
          <w:tcPr>
            <w:tcW w:w="769" w:type="pct"/>
            <w:vAlign w:val="center"/>
          </w:tcPr>
          <w:p w14:paraId="4D7AE589" w14:textId="77777777" w:rsidR="004D54F2" w:rsidRPr="00886F53" w:rsidRDefault="004D54F2" w:rsidP="0027517F">
            <w:pPr>
              <w:pStyle w:val="afff6"/>
              <w:snapToGrid w:val="0"/>
              <w:spacing w:line="240" w:lineRule="auto"/>
              <w:rPr>
                <w:kern w:val="44"/>
                <w:sz w:val="21"/>
                <w:szCs w:val="21"/>
              </w:rPr>
            </w:pPr>
            <w:r w:rsidRPr="00886F53">
              <w:rPr>
                <w:sz w:val="21"/>
                <w:szCs w:val="21"/>
              </w:rPr>
              <w:t>√</w:t>
            </w:r>
          </w:p>
        </w:tc>
        <w:tc>
          <w:tcPr>
            <w:tcW w:w="769" w:type="pct"/>
            <w:vAlign w:val="center"/>
          </w:tcPr>
          <w:p w14:paraId="7EC4A27D" w14:textId="77777777" w:rsidR="004D54F2" w:rsidRPr="00886F53" w:rsidRDefault="004D54F2" w:rsidP="0027517F">
            <w:pPr>
              <w:pStyle w:val="afff6"/>
              <w:snapToGrid w:val="0"/>
              <w:spacing w:line="240" w:lineRule="auto"/>
              <w:rPr>
                <w:kern w:val="44"/>
                <w:sz w:val="21"/>
                <w:szCs w:val="21"/>
              </w:rPr>
            </w:pPr>
            <w:r w:rsidRPr="00886F53">
              <w:rPr>
                <w:sz w:val="21"/>
                <w:szCs w:val="21"/>
              </w:rPr>
              <w:t>√</w:t>
            </w:r>
          </w:p>
        </w:tc>
        <w:tc>
          <w:tcPr>
            <w:tcW w:w="769" w:type="pct"/>
            <w:vAlign w:val="center"/>
          </w:tcPr>
          <w:p w14:paraId="589AA0ED" w14:textId="77777777" w:rsidR="004D54F2" w:rsidRPr="00886F53" w:rsidRDefault="004D54F2" w:rsidP="0027517F">
            <w:pPr>
              <w:pStyle w:val="afff6"/>
              <w:snapToGrid w:val="0"/>
              <w:spacing w:line="240" w:lineRule="auto"/>
              <w:rPr>
                <w:kern w:val="44"/>
                <w:sz w:val="21"/>
                <w:szCs w:val="21"/>
              </w:rPr>
            </w:pPr>
            <w:r w:rsidRPr="00886F53">
              <w:rPr>
                <w:sz w:val="21"/>
                <w:szCs w:val="21"/>
              </w:rPr>
              <w:t>√</w:t>
            </w:r>
          </w:p>
        </w:tc>
      </w:tr>
    </w:tbl>
    <w:p w14:paraId="445A2360" w14:textId="45ECC3E4" w:rsidR="004D54F2" w:rsidRDefault="004D54F2" w:rsidP="0027517F">
      <w:pPr>
        <w:jc w:val="both"/>
        <w:rPr>
          <w:sz w:val="21"/>
          <w:szCs w:val="21"/>
        </w:rPr>
      </w:pPr>
      <w:r w:rsidRPr="00886F53">
        <w:rPr>
          <w:sz w:val="21"/>
          <w:szCs w:val="21"/>
        </w:rPr>
        <w:t>Note: Emergency facilities should be available during the cell infusion to allow for prompt management of severe allergic reactions, severe hypotension, and other reactions.</w:t>
      </w:r>
    </w:p>
    <w:p w14:paraId="6D41E027" w14:textId="77777777" w:rsidR="00886F53" w:rsidRPr="00886F53" w:rsidRDefault="00886F53" w:rsidP="0027517F">
      <w:pPr>
        <w:jc w:val="both"/>
        <w:rPr>
          <w:sz w:val="21"/>
          <w:szCs w:val="21"/>
        </w:rPr>
      </w:pPr>
    </w:p>
    <w:p w14:paraId="525247FF" w14:textId="17FC8DB0" w:rsidR="004D54F2" w:rsidRPr="00886F53" w:rsidRDefault="00F26339" w:rsidP="0027517F">
      <w:pPr>
        <w:pStyle w:val="aff"/>
        <w:numPr>
          <w:ilvl w:val="3"/>
          <w:numId w:val="130"/>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t>CBC</w:t>
      </w:r>
      <w:r w:rsidR="004D54F2" w:rsidRPr="00886F53">
        <w:rPr>
          <w:rFonts w:ascii="Times New Roman" w:hAnsi="Times New Roman" w:cs="Times New Roman"/>
          <w:color w:val="000000"/>
          <w:sz w:val="24"/>
          <w:szCs w:val="24"/>
        </w:rPr>
        <w:t xml:space="preserve">: perform as needed according to clinical </w:t>
      </w:r>
      <w:r w:rsidR="00396742" w:rsidRPr="00886F53">
        <w:rPr>
          <w:rFonts w:ascii="Times New Roman" w:hAnsi="Times New Roman" w:cs="Times New Roman"/>
          <w:color w:val="000000"/>
          <w:sz w:val="24"/>
          <w:szCs w:val="24"/>
        </w:rPr>
        <w:t>indications.</w:t>
      </w:r>
    </w:p>
    <w:p w14:paraId="39A0E8F7" w14:textId="42FB381D" w:rsidR="004D54F2" w:rsidRPr="00886F53" w:rsidRDefault="004D54F2" w:rsidP="0027517F">
      <w:pPr>
        <w:pStyle w:val="aff"/>
        <w:numPr>
          <w:ilvl w:val="3"/>
          <w:numId w:val="130"/>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Echocardiogram examination: According to the clinical indications, the investigator will perform the echocardiogram examination appropriately if the patient has signs and symptoms, such as heart </w:t>
      </w:r>
      <w:r w:rsidR="00396742" w:rsidRPr="00886F53">
        <w:rPr>
          <w:rFonts w:ascii="Times New Roman" w:hAnsi="Times New Roman" w:cs="Times New Roman"/>
          <w:color w:val="000000"/>
          <w:sz w:val="24"/>
          <w:szCs w:val="24"/>
        </w:rPr>
        <w:t>failure.</w:t>
      </w:r>
    </w:p>
    <w:p w14:paraId="6D1611B6" w14:textId="46A89292" w:rsidR="004D54F2" w:rsidRPr="00886F53" w:rsidRDefault="004D54F2" w:rsidP="0027517F">
      <w:pPr>
        <w:pStyle w:val="aff"/>
        <w:numPr>
          <w:ilvl w:val="3"/>
          <w:numId w:val="130"/>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Blood pregnancy test (only for women of childbearing potential): based on clinical indications, women of </w:t>
      </w:r>
      <w:r w:rsidR="00396742" w:rsidRPr="00886F53">
        <w:rPr>
          <w:rFonts w:ascii="Times New Roman" w:hAnsi="Times New Roman" w:cs="Times New Roman"/>
          <w:color w:val="000000"/>
          <w:sz w:val="24"/>
          <w:szCs w:val="24"/>
        </w:rPr>
        <w:t>childbearing</w:t>
      </w:r>
      <w:r w:rsidRPr="00886F53">
        <w:rPr>
          <w:rFonts w:ascii="Times New Roman" w:hAnsi="Times New Roman" w:cs="Times New Roman"/>
          <w:color w:val="000000"/>
          <w:sz w:val="24"/>
          <w:szCs w:val="24"/>
        </w:rPr>
        <w:t xml:space="preserve"> potential should have a repeat test promptly if they are suspected </w:t>
      </w:r>
      <w:r w:rsidR="00EA599D">
        <w:rPr>
          <w:rFonts w:ascii="Times New Roman" w:hAnsi="Times New Roman" w:cs="Times New Roman"/>
          <w:color w:val="000000"/>
          <w:sz w:val="24"/>
          <w:szCs w:val="24"/>
        </w:rPr>
        <w:t>of</w:t>
      </w:r>
      <w:r w:rsidRPr="00886F53">
        <w:rPr>
          <w:rFonts w:ascii="Times New Roman" w:hAnsi="Times New Roman" w:cs="Times New Roman"/>
          <w:color w:val="000000"/>
          <w:sz w:val="24"/>
          <w:szCs w:val="24"/>
        </w:rPr>
        <w:t xml:space="preserve"> pregnancy, such as menopause, vomiting, abdominal pain, or vaginal </w:t>
      </w:r>
      <w:r w:rsidR="00396742" w:rsidRPr="00886F53">
        <w:rPr>
          <w:rFonts w:ascii="Times New Roman" w:hAnsi="Times New Roman" w:cs="Times New Roman"/>
          <w:color w:val="000000"/>
          <w:sz w:val="24"/>
          <w:szCs w:val="24"/>
        </w:rPr>
        <w:t>bleeding.</w:t>
      </w:r>
    </w:p>
    <w:p w14:paraId="02B265FD" w14:textId="4C0BCC72" w:rsidR="004D54F2" w:rsidRPr="00886F53" w:rsidRDefault="004D54F2" w:rsidP="0027517F">
      <w:pPr>
        <w:pStyle w:val="aff"/>
        <w:numPr>
          <w:ilvl w:val="3"/>
          <w:numId w:val="130"/>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lastRenderedPageBreak/>
        <w:t xml:space="preserve">Medications for preventing infusion </w:t>
      </w:r>
      <w:r w:rsidR="00396742" w:rsidRPr="00886F53">
        <w:rPr>
          <w:rFonts w:ascii="Times New Roman" w:hAnsi="Times New Roman" w:cs="Times New Roman"/>
          <w:color w:val="000000"/>
          <w:sz w:val="24"/>
          <w:szCs w:val="24"/>
        </w:rPr>
        <w:t>reactions.</w:t>
      </w:r>
    </w:p>
    <w:p w14:paraId="10FF398F" w14:textId="29344144" w:rsidR="004D54F2" w:rsidRPr="00886F53" w:rsidRDefault="004D54F2" w:rsidP="0027517F">
      <w:pPr>
        <w:pStyle w:val="aff"/>
        <w:numPr>
          <w:ilvl w:val="3"/>
          <w:numId w:val="130"/>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CT103A cell </w:t>
      </w:r>
      <w:r w:rsidR="00396742" w:rsidRPr="00886F53">
        <w:rPr>
          <w:rFonts w:ascii="Times New Roman" w:hAnsi="Times New Roman" w:cs="Times New Roman"/>
          <w:color w:val="000000"/>
          <w:sz w:val="24"/>
          <w:szCs w:val="24"/>
        </w:rPr>
        <w:t>infusion.</w:t>
      </w:r>
    </w:p>
    <w:p w14:paraId="2A4FE198" w14:textId="4CB257AA" w:rsidR="004D54F2" w:rsidRPr="00886F53" w:rsidRDefault="004D54F2" w:rsidP="0027517F">
      <w:pPr>
        <w:pStyle w:val="aff"/>
        <w:numPr>
          <w:ilvl w:val="3"/>
          <w:numId w:val="130"/>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Record concomitant treatment, AEs, and SAEs.</w:t>
      </w:r>
    </w:p>
    <w:p w14:paraId="4E937B76" w14:textId="02A247F7" w:rsidR="004D54F2" w:rsidRDefault="004D54F2" w:rsidP="0027517F">
      <w:pPr>
        <w:pStyle w:val="20"/>
        <w:jc w:val="both"/>
        <w:rPr>
          <w:lang w:val="en"/>
        </w:rPr>
      </w:pPr>
      <w:bookmarkStart w:id="140" w:name="_Toc112064869"/>
      <w:r>
        <w:rPr>
          <w:rFonts w:hint="eastAsia"/>
          <w:lang w:val="en"/>
        </w:rPr>
        <w:t>Main Follow-up</w:t>
      </w:r>
      <w:r>
        <w:rPr>
          <w:lang w:val="en"/>
        </w:rPr>
        <w:t xml:space="preserve"> Period (</w:t>
      </w:r>
      <w:r w:rsidR="003857EE">
        <w:rPr>
          <w:lang w:val="en"/>
        </w:rPr>
        <w:t xml:space="preserve">day </w:t>
      </w:r>
      <w:r>
        <w:rPr>
          <w:lang w:val="en"/>
        </w:rPr>
        <w:t>1 to 1 year after</w:t>
      </w:r>
      <w:r>
        <w:t xml:space="preserve"> </w:t>
      </w:r>
      <w:r>
        <w:rPr>
          <w:lang w:val="en"/>
        </w:rPr>
        <w:t>Cell Infusion)</w:t>
      </w:r>
      <w:bookmarkEnd w:id="140"/>
    </w:p>
    <w:p w14:paraId="0AF43E61" w14:textId="7341FE25" w:rsidR="004D54F2" w:rsidRDefault="004D54F2" w:rsidP="0027517F">
      <w:pPr>
        <w:pStyle w:val="30"/>
        <w:jc w:val="both"/>
      </w:pPr>
      <w:bookmarkStart w:id="141" w:name="_Toc112064870"/>
      <w:r>
        <w:t>Visits during inpatient observation and within 28 days after the cell infusion (</w:t>
      </w:r>
      <w:r w:rsidR="003857EE">
        <w:t xml:space="preserve">day </w:t>
      </w:r>
      <w:r>
        <w:t>1</w:t>
      </w:r>
      <w:r w:rsidR="00F317B7">
        <w:t xml:space="preserve"> </w:t>
      </w:r>
      <w:r>
        <w:t>to</w:t>
      </w:r>
      <w:r w:rsidR="003857EE">
        <w:t xml:space="preserve"> day</w:t>
      </w:r>
      <w:r>
        <w:t xml:space="preserve"> 28)</w:t>
      </w:r>
      <w:bookmarkEnd w:id="141"/>
    </w:p>
    <w:p w14:paraId="5709C0EA" w14:textId="5795EBA1" w:rsidR="004D54F2" w:rsidRDefault="004D54F2" w:rsidP="0027517F">
      <w:pPr>
        <w:jc w:val="both"/>
      </w:pPr>
      <w:r>
        <w:t xml:space="preserve">The inpatient observation period should be at least 14 days, </w:t>
      </w:r>
      <w:r w:rsidR="00EA599D">
        <w:t xml:space="preserve">and </w:t>
      </w:r>
      <w:r>
        <w:t>hospitalization from 15 to 28 days should be conducted according to local practice. The window period is ± 12 h for 7 d, 10 d</w:t>
      </w:r>
      <w:r w:rsidR="00EA599D">
        <w:t>,</w:t>
      </w:r>
      <w:r>
        <w:t xml:space="preserve"> and 14 d visits and ± 2 d for 21 d and 28 d visits. </w:t>
      </w:r>
    </w:p>
    <w:p w14:paraId="2C3ABB42" w14:textId="4CBA5A97" w:rsidR="004D54F2" w:rsidRPr="00886F53" w:rsidRDefault="004D54F2" w:rsidP="0027517F">
      <w:pPr>
        <w:jc w:val="both"/>
      </w:pPr>
      <w:r>
        <w:t>The assessments during the main follow-up period are as follows:</w:t>
      </w:r>
    </w:p>
    <w:p w14:paraId="642E9C2E" w14:textId="2A7ABEB3" w:rsidR="004D54F2" w:rsidRPr="00886F53" w:rsidRDefault="004D54F2" w:rsidP="0027517F">
      <w:pPr>
        <w:pStyle w:val="aff"/>
        <w:numPr>
          <w:ilvl w:val="3"/>
          <w:numId w:val="131"/>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Physical examination, vital signs, ECOG score: </w:t>
      </w:r>
      <w:r w:rsidR="003857EE">
        <w:rPr>
          <w:rFonts w:ascii="Times New Roman" w:hAnsi="Times New Roman" w:cs="Times New Roman"/>
          <w:color w:val="000000"/>
          <w:sz w:val="24"/>
          <w:szCs w:val="24"/>
        </w:rPr>
        <w:t xml:space="preserve">day </w:t>
      </w:r>
      <w:r w:rsidRPr="00886F53">
        <w:rPr>
          <w:rFonts w:ascii="Times New Roman" w:hAnsi="Times New Roman" w:cs="Times New Roman"/>
          <w:color w:val="000000"/>
          <w:sz w:val="24"/>
          <w:szCs w:val="24"/>
        </w:rPr>
        <w:t>1, 4, 7, 10, 14, 21, 28</w:t>
      </w:r>
      <w:r w:rsidR="00396742" w:rsidRPr="00886F53">
        <w:rPr>
          <w:rFonts w:ascii="Times New Roman" w:hAnsi="Times New Roman" w:cs="Times New Roman"/>
          <w:color w:val="000000"/>
          <w:sz w:val="24"/>
          <w:szCs w:val="24"/>
        </w:rPr>
        <w:t>.</w:t>
      </w:r>
    </w:p>
    <w:p w14:paraId="6B2A7C4E" w14:textId="47099ED2" w:rsidR="004D54F2" w:rsidRPr="00886F53" w:rsidRDefault="004D54F2" w:rsidP="0027517F">
      <w:pPr>
        <w:pStyle w:val="aff"/>
        <w:numPr>
          <w:ilvl w:val="3"/>
          <w:numId w:val="131"/>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12-lead </w:t>
      </w:r>
      <w:r w:rsidR="0048556E">
        <w:rPr>
          <w:rFonts w:ascii="Times New Roman" w:hAnsi="Times New Roman" w:cs="Times New Roman"/>
          <w:color w:val="000000"/>
          <w:sz w:val="24"/>
          <w:szCs w:val="24"/>
        </w:rPr>
        <w:t>ECG</w:t>
      </w:r>
      <w:r w:rsidRPr="00886F53">
        <w:rPr>
          <w:rFonts w:ascii="Times New Roman" w:hAnsi="Times New Roman" w:cs="Times New Roman"/>
          <w:color w:val="000000"/>
          <w:sz w:val="24"/>
          <w:szCs w:val="24"/>
        </w:rPr>
        <w:t xml:space="preserve">: based on clinical </w:t>
      </w:r>
      <w:r w:rsidR="00396742" w:rsidRPr="00886F53">
        <w:rPr>
          <w:rFonts w:ascii="Times New Roman" w:hAnsi="Times New Roman" w:cs="Times New Roman"/>
          <w:color w:val="000000"/>
          <w:sz w:val="24"/>
          <w:szCs w:val="24"/>
        </w:rPr>
        <w:t>indications.</w:t>
      </w:r>
    </w:p>
    <w:p w14:paraId="57EFB63E" w14:textId="2D7D7055" w:rsidR="004D54F2" w:rsidRPr="00886F53" w:rsidRDefault="004D54F2" w:rsidP="0027517F">
      <w:pPr>
        <w:pStyle w:val="aff"/>
        <w:numPr>
          <w:ilvl w:val="3"/>
          <w:numId w:val="131"/>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Echocardiogram examination: according to the clinical indications, the investigator will perform </w:t>
      </w:r>
      <w:r w:rsidR="00EA599D">
        <w:rPr>
          <w:rFonts w:ascii="Times New Roman" w:hAnsi="Times New Roman" w:cs="Times New Roman"/>
          <w:color w:val="000000"/>
          <w:sz w:val="24"/>
          <w:szCs w:val="24"/>
        </w:rPr>
        <w:t xml:space="preserve">an </w:t>
      </w:r>
      <w:r w:rsidRPr="00886F53">
        <w:rPr>
          <w:rFonts w:ascii="Times New Roman" w:hAnsi="Times New Roman" w:cs="Times New Roman"/>
          <w:color w:val="000000"/>
          <w:sz w:val="24"/>
          <w:szCs w:val="24"/>
        </w:rPr>
        <w:t xml:space="preserve">echocardiogram examination appropriately if the patient has signs and symptoms, such as heart </w:t>
      </w:r>
      <w:r w:rsidR="00396742" w:rsidRPr="00886F53">
        <w:rPr>
          <w:rFonts w:ascii="Times New Roman" w:hAnsi="Times New Roman" w:cs="Times New Roman"/>
          <w:color w:val="000000"/>
          <w:sz w:val="24"/>
          <w:szCs w:val="24"/>
        </w:rPr>
        <w:t>failure.</w:t>
      </w:r>
    </w:p>
    <w:p w14:paraId="222F56BF" w14:textId="59FD4E8E" w:rsidR="004D54F2" w:rsidRPr="00886F53" w:rsidRDefault="004D54F2" w:rsidP="0027517F">
      <w:pPr>
        <w:pStyle w:val="aff"/>
        <w:numPr>
          <w:ilvl w:val="3"/>
          <w:numId w:val="131"/>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Oxygen saturation test: Oxygen saturation will be measured at least twice </w:t>
      </w:r>
      <w:r w:rsidR="00EA599D">
        <w:rPr>
          <w:rFonts w:ascii="Times New Roman" w:hAnsi="Times New Roman" w:cs="Times New Roman"/>
          <w:color w:val="000000"/>
          <w:sz w:val="24"/>
          <w:szCs w:val="24"/>
        </w:rPr>
        <w:t>dail</w:t>
      </w:r>
      <w:r w:rsidRPr="00886F53">
        <w:rPr>
          <w:rFonts w:ascii="Times New Roman" w:hAnsi="Times New Roman" w:cs="Times New Roman"/>
          <w:color w:val="000000"/>
          <w:sz w:val="24"/>
          <w:szCs w:val="24"/>
        </w:rPr>
        <w:t xml:space="preserve">y during CRS (the interval between the </w:t>
      </w:r>
      <w:r w:rsidR="00EA599D">
        <w:rPr>
          <w:rFonts w:ascii="Times New Roman" w:hAnsi="Times New Roman" w:cs="Times New Roman"/>
          <w:color w:val="000000"/>
          <w:sz w:val="24"/>
          <w:szCs w:val="24"/>
        </w:rPr>
        <w:t>two</w:t>
      </w:r>
      <w:r w:rsidRPr="00886F53">
        <w:rPr>
          <w:rFonts w:ascii="Times New Roman" w:hAnsi="Times New Roman" w:cs="Times New Roman"/>
          <w:color w:val="000000"/>
          <w:sz w:val="24"/>
          <w:szCs w:val="24"/>
        </w:rPr>
        <w:t xml:space="preserve"> measurements should be at least 6 </w:t>
      </w:r>
      <w:r w:rsidR="00396742" w:rsidRPr="00886F53">
        <w:rPr>
          <w:rFonts w:ascii="Times New Roman" w:hAnsi="Times New Roman" w:cs="Times New Roman"/>
          <w:color w:val="000000"/>
          <w:sz w:val="24"/>
          <w:szCs w:val="24"/>
        </w:rPr>
        <w:t>hours</w:t>
      </w:r>
      <w:r w:rsidR="00396742" w:rsidRPr="00886F53" w:rsidDel="007C6A2D">
        <w:rPr>
          <w:rFonts w:ascii="Times New Roman" w:hAnsi="Times New Roman" w:cs="Times New Roman"/>
          <w:color w:val="000000"/>
          <w:sz w:val="24"/>
          <w:szCs w:val="24"/>
        </w:rPr>
        <w:t>)</w:t>
      </w:r>
      <w:r w:rsidRPr="00886F53">
        <w:rPr>
          <w:rFonts w:ascii="Times New Roman" w:hAnsi="Times New Roman" w:cs="Times New Roman"/>
          <w:color w:val="000000"/>
          <w:sz w:val="24"/>
          <w:szCs w:val="24"/>
        </w:rPr>
        <w:t>.</w:t>
      </w:r>
    </w:p>
    <w:p w14:paraId="0D1F9849" w14:textId="682B70DD" w:rsidR="004D54F2" w:rsidRPr="00886F53" w:rsidRDefault="004D54F2" w:rsidP="0027517F">
      <w:pPr>
        <w:pStyle w:val="aff"/>
        <w:numPr>
          <w:ilvl w:val="3"/>
          <w:numId w:val="131"/>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Blood pregnancy test (only for women of childbearing potential): based on clinical indications, women of </w:t>
      </w:r>
      <w:r w:rsidR="00396742" w:rsidRPr="00886F53">
        <w:rPr>
          <w:rFonts w:ascii="Times New Roman" w:hAnsi="Times New Roman" w:cs="Times New Roman"/>
          <w:color w:val="000000"/>
          <w:sz w:val="24"/>
          <w:szCs w:val="24"/>
        </w:rPr>
        <w:t>childbearing</w:t>
      </w:r>
      <w:r w:rsidRPr="00886F53">
        <w:rPr>
          <w:rFonts w:ascii="Times New Roman" w:hAnsi="Times New Roman" w:cs="Times New Roman"/>
          <w:color w:val="000000"/>
          <w:sz w:val="24"/>
          <w:szCs w:val="24"/>
        </w:rPr>
        <w:t xml:space="preserve"> potential should have a repeat test promptly if they are suspected </w:t>
      </w:r>
      <w:r w:rsidR="00EA599D">
        <w:rPr>
          <w:rFonts w:ascii="Times New Roman" w:hAnsi="Times New Roman" w:cs="Times New Roman"/>
          <w:color w:val="000000"/>
          <w:sz w:val="24"/>
          <w:szCs w:val="24"/>
        </w:rPr>
        <w:t>of</w:t>
      </w:r>
      <w:r w:rsidRPr="00886F53">
        <w:rPr>
          <w:rFonts w:ascii="Times New Roman" w:hAnsi="Times New Roman" w:cs="Times New Roman"/>
          <w:color w:val="000000"/>
          <w:sz w:val="24"/>
          <w:szCs w:val="24"/>
        </w:rPr>
        <w:t xml:space="preserve"> pregnancy, such as menopause, vomiting, abdominal pain, or vaginal </w:t>
      </w:r>
      <w:r w:rsidR="00396742" w:rsidRPr="00886F53">
        <w:rPr>
          <w:rFonts w:ascii="Times New Roman" w:hAnsi="Times New Roman" w:cs="Times New Roman"/>
          <w:color w:val="000000"/>
          <w:sz w:val="24"/>
          <w:szCs w:val="24"/>
        </w:rPr>
        <w:t>bleeding.</w:t>
      </w:r>
    </w:p>
    <w:p w14:paraId="1021D328" w14:textId="6595CCB0" w:rsidR="004D54F2" w:rsidRPr="00886F53" w:rsidRDefault="00A324D3" w:rsidP="0027517F">
      <w:pPr>
        <w:pStyle w:val="aff"/>
        <w:numPr>
          <w:ilvl w:val="3"/>
          <w:numId w:val="131"/>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t>CBC</w:t>
      </w:r>
      <w:r w:rsidR="004D54F2" w:rsidRPr="00886F53">
        <w:rPr>
          <w:rFonts w:ascii="Times New Roman" w:hAnsi="Times New Roman" w:cs="Times New Roman"/>
          <w:color w:val="000000"/>
          <w:sz w:val="24"/>
          <w:szCs w:val="24"/>
        </w:rPr>
        <w:t xml:space="preserve">: </w:t>
      </w:r>
      <w:r w:rsidR="003857EE">
        <w:rPr>
          <w:rFonts w:ascii="Times New Roman" w:hAnsi="Times New Roman" w:cs="Times New Roman"/>
          <w:color w:val="000000"/>
          <w:sz w:val="24"/>
          <w:szCs w:val="24"/>
        </w:rPr>
        <w:t xml:space="preserve">day </w:t>
      </w:r>
      <w:r w:rsidR="004D54F2" w:rsidRPr="00886F53">
        <w:rPr>
          <w:rFonts w:ascii="Times New Roman" w:hAnsi="Times New Roman" w:cs="Times New Roman"/>
          <w:color w:val="000000"/>
          <w:sz w:val="24"/>
          <w:szCs w:val="24"/>
        </w:rPr>
        <w:t>1, 4, 7, 10, 14, 21, 28. PK sample</w:t>
      </w:r>
      <w:r w:rsidR="00EA599D">
        <w:rPr>
          <w:rFonts w:ascii="Times New Roman" w:hAnsi="Times New Roman" w:cs="Times New Roman"/>
          <w:color w:val="000000"/>
          <w:sz w:val="24"/>
          <w:szCs w:val="24"/>
        </w:rPr>
        <w:t>s</w:t>
      </w:r>
      <w:r w:rsidR="004D54F2" w:rsidRPr="00886F53">
        <w:rPr>
          <w:rFonts w:ascii="Times New Roman" w:hAnsi="Times New Roman" w:cs="Times New Roman"/>
          <w:color w:val="000000"/>
          <w:sz w:val="24"/>
          <w:szCs w:val="24"/>
        </w:rPr>
        <w:t xml:space="preserve"> will be collected at the same time points, with a maximum time difference of 24 hours.</w:t>
      </w:r>
    </w:p>
    <w:p w14:paraId="7CAE6691" w14:textId="4247C763" w:rsidR="004D54F2" w:rsidRPr="00886F53" w:rsidRDefault="00A324D3" w:rsidP="0027517F">
      <w:pPr>
        <w:pStyle w:val="aff"/>
        <w:numPr>
          <w:ilvl w:val="3"/>
          <w:numId w:val="131"/>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t>Blood biochemical indexes</w:t>
      </w:r>
      <w:r w:rsidR="004D54F2" w:rsidRPr="00886F53">
        <w:rPr>
          <w:rFonts w:ascii="Times New Roman" w:hAnsi="Times New Roman" w:cs="Times New Roman"/>
          <w:color w:val="000000"/>
          <w:sz w:val="24"/>
          <w:szCs w:val="24"/>
        </w:rPr>
        <w:t xml:space="preserve"> (fasting): </w:t>
      </w:r>
      <w:r w:rsidR="003857EE" w:rsidRPr="003857EE">
        <w:rPr>
          <w:rFonts w:ascii="Times New Roman" w:hAnsi="Times New Roman" w:cs="Times New Roman" w:hint="eastAsia"/>
          <w:color w:val="000000"/>
          <w:sz w:val="24"/>
          <w:szCs w:val="24"/>
        </w:rPr>
        <w:t>day</w:t>
      </w:r>
      <w:r w:rsidR="003857EE">
        <w:rPr>
          <w:rFonts w:ascii="Times New Roman" w:hAnsi="Times New Roman" w:cs="Times New Roman"/>
          <w:color w:val="000000"/>
          <w:sz w:val="24"/>
          <w:szCs w:val="24"/>
        </w:rPr>
        <w:t xml:space="preserve"> </w:t>
      </w:r>
      <w:r w:rsidR="004D54F2" w:rsidRPr="00886F53">
        <w:rPr>
          <w:rFonts w:ascii="Times New Roman" w:hAnsi="Times New Roman" w:cs="Times New Roman"/>
          <w:color w:val="000000"/>
          <w:sz w:val="24"/>
          <w:szCs w:val="24"/>
        </w:rPr>
        <w:t>7, 14, 21, 28</w:t>
      </w:r>
      <w:r w:rsidR="00396742" w:rsidRPr="00886F53">
        <w:rPr>
          <w:rFonts w:ascii="Times New Roman" w:hAnsi="Times New Roman" w:cs="Times New Roman"/>
          <w:color w:val="000000"/>
          <w:sz w:val="24"/>
          <w:szCs w:val="24"/>
        </w:rPr>
        <w:t>.</w:t>
      </w:r>
    </w:p>
    <w:p w14:paraId="49A1BBFD" w14:textId="4E6B4CF6" w:rsidR="004D54F2" w:rsidRPr="00886F53" w:rsidRDefault="004D54F2" w:rsidP="0027517F">
      <w:pPr>
        <w:pStyle w:val="aff"/>
        <w:numPr>
          <w:ilvl w:val="3"/>
          <w:numId w:val="131"/>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Urinalysis: </w:t>
      </w:r>
      <w:r w:rsidR="003857EE" w:rsidRPr="003857EE">
        <w:rPr>
          <w:rFonts w:ascii="Times New Roman" w:hAnsi="Times New Roman" w:cs="Times New Roman" w:hint="eastAsia"/>
          <w:color w:val="000000"/>
          <w:sz w:val="24"/>
          <w:szCs w:val="24"/>
        </w:rPr>
        <w:t>day</w:t>
      </w:r>
      <w:r w:rsidR="003857EE">
        <w:rPr>
          <w:rFonts w:ascii="Times New Roman" w:hAnsi="Times New Roman" w:cs="Times New Roman"/>
          <w:color w:val="000000"/>
          <w:sz w:val="24"/>
          <w:szCs w:val="24"/>
        </w:rPr>
        <w:t xml:space="preserve"> </w:t>
      </w:r>
      <w:r w:rsidR="003857EE" w:rsidRPr="00886F53">
        <w:rPr>
          <w:rFonts w:ascii="Times New Roman" w:hAnsi="Times New Roman" w:cs="Times New Roman"/>
          <w:color w:val="000000"/>
          <w:sz w:val="24"/>
          <w:szCs w:val="24"/>
        </w:rPr>
        <w:t>7, 14, 21, 28</w:t>
      </w:r>
      <w:r w:rsidR="00396742" w:rsidRPr="00886F53">
        <w:rPr>
          <w:rFonts w:ascii="Times New Roman" w:hAnsi="Times New Roman" w:cs="Times New Roman"/>
          <w:color w:val="000000"/>
          <w:sz w:val="24"/>
          <w:szCs w:val="24"/>
        </w:rPr>
        <w:t>.</w:t>
      </w:r>
    </w:p>
    <w:p w14:paraId="5CB5C7BA" w14:textId="713F86D3" w:rsidR="004D54F2" w:rsidRPr="00886F53" w:rsidRDefault="004D54F2" w:rsidP="0027517F">
      <w:pPr>
        <w:pStyle w:val="aff"/>
        <w:numPr>
          <w:ilvl w:val="3"/>
          <w:numId w:val="131"/>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Coagulation: </w:t>
      </w:r>
      <w:r w:rsidR="003857EE" w:rsidRPr="003857EE">
        <w:rPr>
          <w:rFonts w:ascii="Times New Roman" w:hAnsi="Times New Roman" w:cs="Times New Roman" w:hint="eastAsia"/>
          <w:color w:val="000000"/>
          <w:sz w:val="24"/>
          <w:szCs w:val="24"/>
        </w:rPr>
        <w:t>day</w:t>
      </w:r>
      <w:r w:rsidR="003857EE">
        <w:rPr>
          <w:rFonts w:ascii="Times New Roman" w:hAnsi="Times New Roman" w:cs="Times New Roman"/>
          <w:color w:val="000000"/>
          <w:sz w:val="24"/>
          <w:szCs w:val="24"/>
        </w:rPr>
        <w:t xml:space="preserve"> </w:t>
      </w:r>
      <w:r w:rsidR="003857EE" w:rsidRPr="00886F53">
        <w:rPr>
          <w:rFonts w:ascii="Times New Roman" w:hAnsi="Times New Roman" w:cs="Times New Roman"/>
          <w:color w:val="000000"/>
          <w:sz w:val="24"/>
          <w:szCs w:val="24"/>
        </w:rPr>
        <w:t>7, 14, 21, 28</w:t>
      </w:r>
      <w:r w:rsidR="00396742" w:rsidRPr="00886F53">
        <w:rPr>
          <w:rFonts w:ascii="Times New Roman" w:hAnsi="Times New Roman" w:cs="Times New Roman"/>
          <w:color w:val="000000"/>
          <w:sz w:val="24"/>
          <w:szCs w:val="24"/>
        </w:rPr>
        <w:t>.</w:t>
      </w:r>
    </w:p>
    <w:p w14:paraId="44BC1D36" w14:textId="4B9446AC" w:rsidR="004D54F2" w:rsidRPr="00886F53" w:rsidRDefault="004D54F2" w:rsidP="0027517F">
      <w:pPr>
        <w:pStyle w:val="aff"/>
        <w:numPr>
          <w:ilvl w:val="3"/>
          <w:numId w:val="131"/>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Serum calcium and albumin-corrected calcium: </w:t>
      </w:r>
      <w:r w:rsidR="003857EE" w:rsidRPr="003857EE">
        <w:rPr>
          <w:rFonts w:ascii="Times New Roman" w:hAnsi="Times New Roman" w:cs="Times New Roman" w:hint="eastAsia"/>
          <w:color w:val="000000"/>
          <w:sz w:val="24"/>
          <w:szCs w:val="24"/>
        </w:rPr>
        <w:t>day</w:t>
      </w:r>
      <w:r w:rsidR="003857EE">
        <w:rPr>
          <w:rFonts w:ascii="Times New Roman" w:hAnsi="Times New Roman" w:cs="Times New Roman"/>
          <w:color w:val="000000"/>
          <w:sz w:val="24"/>
          <w:szCs w:val="24"/>
        </w:rPr>
        <w:t xml:space="preserve"> </w:t>
      </w:r>
      <w:r w:rsidR="003857EE" w:rsidRPr="00886F53">
        <w:rPr>
          <w:rFonts w:ascii="Times New Roman" w:hAnsi="Times New Roman" w:cs="Times New Roman"/>
          <w:color w:val="000000"/>
          <w:sz w:val="24"/>
          <w:szCs w:val="24"/>
        </w:rPr>
        <w:t>14</w:t>
      </w:r>
      <w:r w:rsidR="0077276E">
        <w:rPr>
          <w:rFonts w:ascii="Times New Roman" w:hAnsi="Times New Roman" w:cs="Times New Roman"/>
          <w:color w:val="000000"/>
          <w:sz w:val="24"/>
          <w:szCs w:val="24"/>
        </w:rPr>
        <w:t xml:space="preserve"> and day</w:t>
      </w:r>
      <w:r w:rsidR="003857EE" w:rsidRPr="00886F53">
        <w:rPr>
          <w:rFonts w:ascii="Times New Roman" w:hAnsi="Times New Roman" w:cs="Times New Roman"/>
          <w:color w:val="000000"/>
          <w:sz w:val="24"/>
          <w:szCs w:val="24"/>
        </w:rPr>
        <w:t xml:space="preserve"> 28</w:t>
      </w:r>
      <w:r w:rsidR="00396742" w:rsidRPr="00886F53">
        <w:rPr>
          <w:rFonts w:ascii="Times New Roman" w:hAnsi="Times New Roman" w:cs="Times New Roman"/>
          <w:color w:val="000000"/>
          <w:sz w:val="24"/>
          <w:szCs w:val="24"/>
        </w:rPr>
        <w:t>.</w:t>
      </w:r>
    </w:p>
    <w:p w14:paraId="7FB97702" w14:textId="484AB55E" w:rsidR="004D54F2" w:rsidRPr="00886F53" w:rsidRDefault="004D54F2" w:rsidP="0027517F">
      <w:pPr>
        <w:pStyle w:val="aff"/>
        <w:numPr>
          <w:ilvl w:val="3"/>
          <w:numId w:val="131"/>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Inflammatory factors: </w:t>
      </w:r>
      <w:r w:rsidR="003857EE">
        <w:rPr>
          <w:rFonts w:ascii="Times New Roman" w:hAnsi="Times New Roman" w:cs="Times New Roman"/>
          <w:color w:val="000000"/>
          <w:sz w:val="24"/>
          <w:szCs w:val="24"/>
        </w:rPr>
        <w:t xml:space="preserve">day </w:t>
      </w:r>
      <w:r w:rsidR="003857EE" w:rsidRPr="00886F53">
        <w:rPr>
          <w:rFonts w:ascii="Times New Roman" w:hAnsi="Times New Roman" w:cs="Times New Roman"/>
          <w:color w:val="000000"/>
          <w:sz w:val="24"/>
          <w:szCs w:val="24"/>
        </w:rPr>
        <w:t>1, 4, 7, 10, 14, 21, 28</w:t>
      </w:r>
      <w:r w:rsidR="00396742" w:rsidRPr="00886F53">
        <w:rPr>
          <w:rFonts w:ascii="Times New Roman" w:hAnsi="Times New Roman" w:cs="Times New Roman"/>
          <w:color w:val="000000"/>
          <w:sz w:val="24"/>
          <w:szCs w:val="24"/>
        </w:rPr>
        <w:t>.</w:t>
      </w:r>
    </w:p>
    <w:p w14:paraId="09177221" w14:textId="6963BC48" w:rsidR="004D54F2" w:rsidRPr="00886F53" w:rsidRDefault="004D54F2" w:rsidP="0027517F">
      <w:pPr>
        <w:pStyle w:val="aff"/>
        <w:numPr>
          <w:ilvl w:val="3"/>
          <w:numId w:val="131"/>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Peripheral blood smear test: </w:t>
      </w:r>
      <w:r w:rsidR="0077276E">
        <w:rPr>
          <w:rFonts w:ascii="Times New Roman" w:hAnsi="Times New Roman" w:cs="Times New Roman"/>
          <w:color w:val="000000"/>
          <w:sz w:val="24"/>
          <w:szCs w:val="24"/>
        </w:rPr>
        <w:t>day</w:t>
      </w:r>
      <w:r w:rsidR="0077276E" w:rsidRPr="00886F53">
        <w:rPr>
          <w:rFonts w:ascii="Times New Roman" w:hAnsi="Times New Roman" w:cs="Times New Roman"/>
          <w:color w:val="000000"/>
          <w:sz w:val="24"/>
          <w:szCs w:val="24"/>
        </w:rPr>
        <w:t xml:space="preserve"> </w:t>
      </w:r>
      <w:r w:rsidRPr="00886F53">
        <w:rPr>
          <w:rFonts w:ascii="Times New Roman" w:hAnsi="Times New Roman" w:cs="Times New Roman"/>
          <w:color w:val="000000"/>
          <w:sz w:val="24"/>
          <w:szCs w:val="24"/>
        </w:rPr>
        <w:t>14</w:t>
      </w:r>
      <w:r w:rsidR="0077276E">
        <w:rPr>
          <w:rFonts w:ascii="Times New Roman" w:hAnsi="Times New Roman" w:cs="Times New Roman"/>
          <w:color w:val="000000"/>
          <w:sz w:val="24"/>
          <w:szCs w:val="24"/>
        </w:rPr>
        <w:t xml:space="preserve"> and day </w:t>
      </w:r>
      <w:r w:rsidRPr="00886F53">
        <w:rPr>
          <w:rFonts w:ascii="Times New Roman" w:hAnsi="Times New Roman" w:cs="Times New Roman"/>
          <w:color w:val="000000"/>
          <w:sz w:val="24"/>
          <w:szCs w:val="24"/>
        </w:rPr>
        <w:t>28</w:t>
      </w:r>
      <w:r w:rsidR="0077276E" w:rsidRPr="00886F53">
        <w:rPr>
          <w:rFonts w:ascii="Times New Roman" w:hAnsi="Times New Roman" w:cs="Times New Roman"/>
          <w:color w:val="000000"/>
          <w:sz w:val="24"/>
          <w:szCs w:val="24"/>
        </w:rPr>
        <w:t>.</w:t>
      </w:r>
    </w:p>
    <w:p w14:paraId="63820CC4" w14:textId="15661575" w:rsidR="004D54F2" w:rsidRPr="00886F53" w:rsidRDefault="004D54F2" w:rsidP="0027517F">
      <w:pPr>
        <w:pStyle w:val="aff"/>
        <w:numPr>
          <w:ilvl w:val="3"/>
          <w:numId w:val="131"/>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β2-microglobulin test: </w:t>
      </w:r>
      <w:r w:rsidR="0077276E">
        <w:rPr>
          <w:rFonts w:ascii="Times New Roman" w:hAnsi="Times New Roman" w:cs="Times New Roman"/>
          <w:color w:val="000000"/>
          <w:sz w:val="24"/>
          <w:szCs w:val="24"/>
        </w:rPr>
        <w:t>day</w:t>
      </w:r>
      <w:r w:rsidR="0077276E" w:rsidRPr="00886F53">
        <w:rPr>
          <w:rFonts w:ascii="Times New Roman" w:hAnsi="Times New Roman" w:cs="Times New Roman"/>
          <w:color w:val="000000"/>
          <w:sz w:val="24"/>
          <w:szCs w:val="24"/>
        </w:rPr>
        <w:t xml:space="preserve"> 14</w:t>
      </w:r>
      <w:r w:rsidR="0077276E">
        <w:rPr>
          <w:rFonts w:ascii="Times New Roman" w:hAnsi="Times New Roman" w:cs="Times New Roman"/>
          <w:color w:val="000000"/>
          <w:sz w:val="24"/>
          <w:szCs w:val="24"/>
        </w:rPr>
        <w:t xml:space="preserve"> and day </w:t>
      </w:r>
      <w:r w:rsidR="0077276E" w:rsidRPr="00886F53">
        <w:rPr>
          <w:rFonts w:ascii="Times New Roman" w:hAnsi="Times New Roman" w:cs="Times New Roman"/>
          <w:color w:val="000000"/>
          <w:sz w:val="24"/>
          <w:szCs w:val="24"/>
        </w:rPr>
        <w:t>28.</w:t>
      </w:r>
    </w:p>
    <w:p w14:paraId="0F309E90" w14:textId="5B2D7B2C" w:rsidR="004D54F2" w:rsidRPr="007060CF" w:rsidRDefault="004D54F2" w:rsidP="0027517F">
      <w:pPr>
        <w:pStyle w:val="aff"/>
        <w:numPr>
          <w:ilvl w:val="3"/>
          <w:numId w:val="131"/>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Quantification of serum immunoglobulin</w:t>
      </w:r>
      <w:r w:rsidRPr="007060CF">
        <w:rPr>
          <w:rFonts w:ascii="Times New Roman" w:hAnsi="Times New Roman" w:cs="Times New Roman"/>
          <w:color w:val="000000"/>
          <w:sz w:val="24"/>
          <w:szCs w:val="24"/>
        </w:rPr>
        <w:t xml:space="preserve">: </w:t>
      </w:r>
      <w:r w:rsidR="0077276E">
        <w:rPr>
          <w:rFonts w:ascii="Times New Roman" w:hAnsi="Times New Roman" w:cs="Times New Roman"/>
          <w:color w:val="000000"/>
          <w:sz w:val="24"/>
          <w:szCs w:val="24"/>
        </w:rPr>
        <w:t xml:space="preserve">day </w:t>
      </w:r>
      <w:r w:rsidRPr="007060CF">
        <w:rPr>
          <w:rFonts w:ascii="Times New Roman" w:hAnsi="Times New Roman" w:cs="Times New Roman"/>
          <w:color w:val="000000"/>
          <w:sz w:val="24"/>
          <w:szCs w:val="24"/>
        </w:rPr>
        <w:t>14 and</w:t>
      </w:r>
      <w:r w:rsidR="0077276E">
        <w:rPr>
          <w:rFonts w:ascii="Times New Roman" w:hAnsi="Times New Roman" w:cs="Times New Roman"/>
          <w:color w:val="000000"/>
          <w:sz w:val="24"/>
          <w:szCs w:val="24"/>
        </w:rPr>
        <w:t xml:space="preserve"> day</w:t>
      </w:r>
      <w:r w:rsidRPr="007060CF">
        <w:rPr>
          <w:rFonts w:ascii="Times New Roman" w:hAnsi="Times New Roman" w:cs="Times New Roman"/>
          <w:color w:val="000000"/>
          <w:sz w:val="24"/>
          <w:szCs w:val="24"/>
        </w:rPr>
        <w:t xml:space="preserve"> 28</w:t>
      </w:r>
      <w:r w:rsidR="007060CF" w:rsidRPr="007060CF">
        <w:rPr>
          <w:rFonts w:ascii="Times New Roman" w:hAnsi="Times New Roman" w:cs="Times New Roman"/>
          <w:color w:val="000000"/>
          <w:sz w:val="24"/>
          <w:szCs w:val="24"/>
        </w:rPr>
        <w:t>.</w:t>
      </w:r>
    </w:p>
    <w:p w14:paraId="573FA83E" w14:textId="30AD408B" w:rsidR="004D54F2" w:rsidRPr="00886F53" w:rsidRDefault="004D54F2" w:rsidP="0027517F">
      <w:pPr>
        <w:pStyle w:val="aff"/>
        <w:numPr>
          <w:ilvl w:val="3"/>
          <w:numId w:val="131"/>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Quantification of serum free light chain: </w:t>
      </w:r>
      <w:r w:rsidR="001D74C5">
        <w:rPr>
          <w:rFonts w:ascii="Times New Roman" w:hAnsi="Times New Roman" w:cs="Times New Roman"/>
          <w:color w:val="000000"/>
          <w:sz w:val="24"/>
          <w:szCs w:val="24"/>
        </w:rPr>
        <w:t xml:space="preserve">day </w:t>
      </w:r>
      <w:r w:rsidR="001D74C5" w:rsidRPr="007060CF">
        <w:rPr>
          <w:rFonts w:ascii="Times New Roman" w:hAnsi="Times New Roman" w:cs="Times New Roman"/>
          <w:color w:val="000000"/>
          <w:sz w:val="24"/>
          <w:szCs w:val="24"/>
        </w:rPr>
        <w:t>14 and</w:t>
      </w:r>
      <w:r w:rsidR="001D74C5">
        <w:rPr>
          <w:rFonts w:ascii="Times New Roman" w:hAnsi="Times New Roman" w:cs="Times New Roman"/>
          <w:color w:val="000000"/>
          <w:sz w:val="24"/>
          <w:szCs w:val="24"/>
        </w:rPr>
        <w:t xml:space="preserve"> day</w:t>
      </w:r>
      <w:r w:rsidR="001D74C5" w:rsidRPr="007060CF">
        <w:rPr>
          <w:rFonts w:ascii="Times New Roman" w:hAnsi="Times New Roman" w:cs="Times New Roman"/>
          <w:color w:val="000000"/>
          <w:sz w:val="24"/>
          <w:szCs w:val="24"/>
        </w:rPr>
        <w:t xml:space="preserve"> 28.</w:t>
      </w:r>
    </w:p>
    <w:p w14:paraId="402639A0" w14:textId="3BC1BF08" w:rsidR="004D54F2" w:rsidRPr="00886F53" w:rsidRDefault="004D54F2" w:rsidP="0027517F">
      <w:pPr>
        <w:pStyle w:val="aff"/>
        <w:numPr>
          <w:ilvl w:val="3"/>
          <w:numId w:val="131"/>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lastRenderedPageBreak/>
        <w:t xml:space="preserve">Serum protein electrophoresis: </w:t>
      </w:r>
      <w:r w:rsidR="001D74C5">
        <w:rPr>
          <w:rFonts w:ascii="Times New Roman" w:hAnsi="Times New Roman" w:cs="Times New Roman"/>
          <w:color w:val="000000"/>
          <w:sz w:val="24"/>
          <w:szCs w:val="24"/>
        </w:rPr>
        <w:t xml:space="preserve">day </w:t>
      </w:r>
      <w:r w:rsidR="001D74C5" w:rsidRPr="007060CF">
        <w:rPr>
          <w:rFonts w:ascii="Times New Roman" w:hAnsi="Times New Roman" w:cs="Times New Roman"/>
          <w:color w:val="000000"/>
          <w:sz w:val="24"/>
          <w:szCs w:val="24"/>
        </w:rPr>
        <w:t>14 and</w:t>
      </w:r>
      <w:r w:rsidR="001D74C5">
        <w:rPr>
          <w:rFonts w:ascii="Times New Roman" w:hAnsi="Times New Roman" w:cs="Times New Roman"/>
          <w:color w:val="000000"/>
          <w:sz w:val="24"/>
          <w:szCs w:val="24"/>
        </w:rPr>
        <w:t xml:space="preserve"> day</w:t>
      </w:r>
      <w:r w:rsidR="001D74C5" w:rsidRPr="007060CF">
        <w:rPr>
          <w:rFonts w:ascii="Times New Roman" w:hAnsi="Times New Roman" w:cs="Times New Roman"/>
          <w:color w:val="000000"/>
          <w:sz w:val="24"/>
          <w:szCs w:val="24"/>
        </w:rPr>
        <w:t xml:space="preserve"> 28.</w:t>
      </w:r>
    </w:p>
    <w:p w14:paraId="157D8692" w14:textId="0D36972D" w:rsidR="004D54F2" w:rsidRPr="00886F53" w:rsidRDefault="004D54F2" w:rsidP="0027517F">
      <w:pPr>
        <w:pStyle w:val="aff"/>
        <w:numPr>
          <w:ilvl w:val="3"/>
          <w:numId w:val="131"/>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Serum immunofixation electrophoresis: </w:t>
      </w:r>
      <w:r w:rsidR="001D74C5">
        <w:rPr>
          <w:rFonts w:ascii="Times New Roman" w:hAnsi="Times New Roman" w:cs="Times New Roman"/>
          <w:color w:val="000000"/>
          <w:sz w:val="24"/>
          <w:szCs w:val="24"/>
        </w:rPr>
        <w:t xml:space="preserve">day </w:t>
      </w:r>
      <w:r w:rsidR="001D74C5" w:rsidRPr="007060CF">
        <w:rPr>
          <w:rFonts w:ascii="Times New Roman" w:hAnsi="Times New Roman" w:cs="Times New Roman"/>
          <w:color w:val="000000"/>
          <w:sz w:val="24"/>
          <w:szCs w:val="24"/>
        </w:rPr>
        <w:t>14 and</w:t>
      </w:r>
      <w:r w:rsidR="001D74C5">
        <w:rPr>
          <w:rFonts w:ascii="Times New Roman" w:hAnsi="Times New Roman" w:cs="Times New Roman"/>
          <w:color w:val="000000"/>
          <w:sz w:val="24"/>
          <w:szCs w:val="24"/>
        </w:rPr>
        <w:t xml:space="preserve"> day</w:t>
      </w:r>
      <w:r w:rsidR="001D74C5" w:rsidRPr="007060CF">
        <w:rPr>
          <w:rFonts w:ascii="Times New Roman" w:hAnsi="Times New Roman" w:cs="Times New Roman"/>
          <w:color w:val="000000"/>
          <w:sz w:val="24"/>
          <w:szCs w:val="24"/>
        </w:rPr>
        <w:t xml:space="preserve"> 28.</w:t>
      </w:r>
    </w:p>
    <w:p w14:paraId="0BA0418B" w14:textId="3811724F" w:rsidR="004D54F2" w:rsidRPr="00886F53" w:rsidRDefault="004D54F2" w:rsidP="0027517F">
      <w:pPr>
        <w:pStyle w:val="aff"/>
        <w:numPr>
          <w:ilvl w:val="3"/>
          <w:numId w:val="131"/>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Quantification of 24 h urine M protein: </w:t>
      </w:r>
      <w:r w:rsidR="001D74C5">
        <w:rPr>
          <w:rFonts w:ascii="Times New Roman" w:hAnsi="Times New Roman" w:cs="Times New Roman"/>
          <w:color w:val="000000"/>
          <w:sz w:val="24"/>
          <w:szCs w:val="24"/>
        </w:rPr>
        <w:t xml:space="preserve">day </w:t>
      </w:r>
      <w:r w:rsidR="001D74C5" w:rsidRPr="007060CF">
        <w:rPr>
          <w:rFonts w:ascii="Times New Roman" w:hAnsi="Times New Roman" w:cs="Times New Roman"/>
          <w:color w:val="000000"/>
          <w:sz w:val="24"/>
          <w:szCs w:val="24"/>
        </w:rPr>
        <w:t>14 and</w:t>
      </w:r>
      <w:r w:rsidR="001D74C5">
        <w:rPr>
          <w:rFonts w:ascii="Times New Roman" w:hAnsi="Times New Roman" w:cs="Times New Roman"/>
          <w:color w:val="000000"/>
          <w:sz w:val="24"/>
          <w:szCs w:val="24"/>
        </w:rPr>
        <w:t xml:space="preserve"> day</w:t>
      </w:r>
      <w:r w:rsidR="001D74C5" w:rsidRPr="007060CF">
        <w:rPr>
          <w:rFonts w:ascii="Times New Roman" w:hAnsi="Times New Roman" w:cs="Times New Roman"/>
          <w:color w:val="000000"/>
          <w:sz w:val="24"/>
          <w:szCs w:val="24"/>
        </w:rPr>
        <w:t xml:space="preserve"> 28.</w:t>
      </w:r>
    </w:p>
    <w:p w14:paraId="1DFF354F" w14:textId="5CF2FF92" w:rsidR="004D54F2" w:rsidRPr="00886F53" w:rsidRDefault="004D54F2" w:rsidP="0027517F">
      <w:pPr>
        <w:pStyle w:val="aff"/>
        <w:numPr>
          <w:ilvl w:val="3"/>
          <w:numId w:val="131"/>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Quantification of 24 h urine light chain: </w:t>
      </w:r>
      <w:r w:rsidR="001D74C5">
        <w:rPr>
          <w:rFonts w:ascii="Times New Roman" w:hAnsi="Times New Roman" w:cs="Times New Roman"/>
          <w:color w:val="000000"/>
          <w:sz w:val="24"/>
          <w:szCs w:val="24"/>
        </w:rPr>
        <w:t xml:space="preserve">day </w:t>
      </w:r>
      <w:r w:rsidR="001D74C5" w:rsidRPr="007060CF">
        <w:rPr>
          <w:rFonts w:ascii="Times New Roman" w:hAnsi="Times New Roman" w:cs="Times New Roman"/>
          <w:color w:val="000000"/>
          <w:sz w:val="24"/>
          <w:szCs w:val="24"/>
        </w:rPr>
        <w:t>14 and</w:t>
      </w:r>
      <w:r w:rsidR="001D74C5">
        <w:rPr>
          <w:rFonts w:ascii="Times New Roman" w:hAnsi="Times New Roman" w:cs="Times New Roman"/>
          <w:color w:val="000000"/>
          <w:sz w:val="24"/>
          <w:szCs w:val="24"/>
        </w:rPr>
        <w:t xml:space="preserve"> day</w:t>
      </w:r>
      <w:r w:rsidR="001D74C5" w:rsidRPr="007060CF">
        <w:rPr>
          <w:rFonts w:ascii="Times New Roman" w:hAnsi="Times New Roman" w:cs="Times New Roman"/>
          <w:color w:val="000000"/>
          <w:sz w:val="24"/>
          <w:szCs w:val="24"/>
        </w:rPr>
        <w:t xml:space="preserve"> 28.</w:t>
      </w:r>
    </w:p>
    <w:p w14:paraId="62ACD9EF" w14:textId="3EDA6630" w:rsidR="004D54F2" w:rsidRPr="00886F53" w:rsidRDefault="004D54F2" w:rsidP="0027517F">
      <w:pPr>
        <w:pStyle w:val="aff"/>
        <w:numPr>
          <w:ilvl w:val="3"/>
          <w:numId w:val="131"/>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Urine protein electrophoresis: </w:t>
      </w:r>
      <w:r w:rsidR="001D74C5">
        <w:rPr>
          <w:rFonts w:ascii="Times New Roman" w:hAnsi="Times New Roman" w:cs="Times New Roman"/>
          <w:color w:val="000000"/>
          <w:sz w:val="24"/>
          <w:szCs w:val="24"/>
        </w:rPr>
        <w:t xml:space="preserve">day </w:t>
      </w:r>
      <w:r w:rsidR="001D74C5" w:rsidRPr="007060CF">
        <w:rPr>
          <w:rFonts w:ascii="Times New Roman" w:hAnsi="Times New Roman" w:cs="Times New Roman"/>
          <w:color w:val="000000"/>
          <w:sz w:val="24"/>
          <w:szCs w:val="24"/>
        </w:rPr>
        <w:t>14 and</w:t>
      </w:r>
      <w:r w:rsidR="001D74C5">
        <w:rPr>
          <w:rFonts w:ascii="Times New Roman" w:hAnsi="Times New Roman" w:cs="Times New Roman"/>
          <w:color w:val="000000"/>
          <w:sz w:val="24"/>
          <w:szCs w:val="24"/>
        </w:rPr>
        <w:t xml:space="preserve"> day</w:t>
      </w:r>
      <w:r w:rsidR="001D74C5" w:rsidRPr="007060CF">
        <w:rPr>
          <w:rFonts w:ascii="Times New Roman" w:hAnsi="Times New Roman" w:cs="Times New Roman"/>
          <w:color w:val="000000"/>
          <w:sz w:val="24"/>
          <w:szCs w:val="24"/>
        </w:rPr>
        <w:t xml:space="preserve"> 28</w:t>
      </w:r>
      <w:r w:rsidR="007060CF" w:rsidRPr="00886F53">
        <w:rPr>
          <w:rFonts w:ascii="Times New Roman" w:hAnsi="Times New Roman" w:cs="Times New Roman"/>
          <w:color w:val="000000"/>
          <w:sz w:val="24"/>
          <w:szCs w:val="24"/>
        </w:rPr>
        <w:t>.</w:t>
      </w:r>
    </w:p>
    <w:p w14:paraId="1C31958B" w14:textId="51AA7618" w:rsidR="004D54F2" w:rsidRPr="00886F53" w:rsidRDefault="004D54F2" w:rsidP="0027517F">
      <w:pPr>
        <w:pStyle w:val="aff"/>
        <w:numPr>
          <w:ilvl w:val="3"/>
          <w:numId w:val="131"/>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Urine protein immunofixation electrophoresis: </w:t>
      </w:r>
      <w:r w:rsidR="001D74C5">
        <w:rPr>
          <w:rFonts w:ascii="Times New Roman" w:hAnsi="Times New Roman" w:cs="Times New Roman"/>
          <w:color w:val="000000"/>
          <w:sz w:val="24"/>
          <w:szCs w:val="24"/>
        </w:rPr>
        <w:t xml:space="preserve">day </w:t>
      </w:r>
      <w:r w:rsidR="001D74C5" w:rsidRPr="007060CF">
        <w:rPr>
          <w:rFonts w:ascii="Times New Roman" w:hAnsi="Times New Roman" w:cs="Times New Roman"/>
          <w:color w:val="000000"/>
          <w:sz w:val="24"/>
          <w:szCs w:val="24"/>
        </w:rPr>
        <w:t>14 and</w:t>
      </w:r>
      <w:r w:rsidR="001D74C5">
        <w:rPr>
          <w:rFonts w:ascii="Times New Roman" w:hAnsi="Times New Roman" w:cs="Times New Roman"/>
          <w:color w:val="000000"/>
          <w:sz w:val="24"/>
          <w:szCs w:val="24"/>
        </w:rPr>
        <w:t xml:space="preserve"> day</w:t>
      </w:r>
      <w:r w:rsidR="001D74C5" w:rsidRPr="007060CF">
        <w:rPr>
          <w:rFonts w:ascii="Times New Roman" w:hAnsi="Times New Roman" w:cs="Times New Roman"/>
          <w:color w:val="000000"/>
          <w:sz w:val="24"/>
          <w:szCs w:val="24"/>
        </w:rPr>
        <w:t xml:space="preserve"> 28.</w:t>
      </w:r>
    </w:p>
    <w:p w14:paraId="3542C8AB" w14:textId="48C4B41B" w:rsidR="004D54F2" w:rsidRPr="00886F53" w:rsidRDefault="004D54F2" w:rsidP="0027517F">
      <w:pPr>
        <w:pStyle w:val="aff"/>
        <w:numPr>
          <w:ilvl w:val="3"/>
          <w:numId w:val="131"/>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Bone marrow aspiration/biopsy (</w:t>
      </w:r>
      <w:bookmarkStart w:id="142" w:name="_Hlk111836463"/>
      <w:r w:rsidRPr="00886F53">
        <w:rPr>
          <w:rFonts w:ascii="Times New Roman" w:hAnsi="Times New Roman" w:cs="Times New Roman"/>
          <w:color w:val="000000"/>
          <w:sz w:val="24"/>
          <w:szCs w:val="24"/>
        </w:rPr>
        <w:t>required if the investigator determines CR/</w:t>
      </w:r>
      <w:proofErr w:type="spellStart"/>
      <w:r w:rsidRPr="00886F53">
        <w:rPr>
          <w:rFonts w:ascii="Times New Roman" w:hAnsi="Times New Roman" w:cs="Times New Roman"/>
          <w:color w:val="000000"/>
          <w:sz w:val="24"/>
          <w:szCs w:val="24"/>
        </w:rPr>
        <w:t>sCR</w:t>
      </w:r>
      <w:proofErr w:type="spellEnd"/>
      <w:r w:rsidRPr="00886F53">
        <w:rPr>
          <w:rFonts w:ascii="Times New Roman" w:hAnsi="Times New Roman" w:cs="Times New Roman"/>
          <w:color w:val="000000"/>
          <w:sz w:val="24"/>
          <w:szCs w:val="24"/>
        </w:rPr>
        <w:t xml:space="preserve"> is achieved or disease progression occurs, </w:t>
      </w:r>
      <w:r w:rsidR="00713120">
        <w:rPr>
          <w:rFonts w:ascii="Times New Roman" w:hAnsi="Times New Roman" w:cs="Times New Roman"/>
          <w:color w:val="000000"/>
          <w:sz w:val="24"/>
          <w:szCs w:val="24"/>
        </w:rPr>
        <w:t>the investigator could determine in other follow-up visits</w:t>
      </w:r>
      <w:r w:rsidRPr="00886F53">
        <w:rPr>
          <w:rFonts w:ascii="Times New Roman" w:hAnsi="Times New Roman" w:cs="Times New Roman"/>
          <w:color w:val="000000"/>
          <w:sz w:val="24"/>
          <w:szCs w:val="24"/>
        </w:rPr>
        <w:t xml:space="preserve"> whether bone marrow aspiration/biopsy is required; however, for non-secretory patients, tests are required at each when efficacy is assessed): 28 d (including cell smear morphology, bone marrow biopsy pathology + immunohistochemistry, bone marrow immunophenotyping test by flow cytometry including MRD</w:t>
      </w:r>
      <w:r w:rsidR="00C049DB" w:rsidRPr="00886F53">
        <w:rPr>
          <w:rFonts w:ascii="Times New Roman" w:hAnsi="Times New Roman" w:cs="Times New Roman"/>
          <w:color w:val="000000"/>
          <w:sz w:val="24"/>
          <w:szCs w:val="24"/>
        </w:rPr>
        <w:t>).</w:t>
      </w:r>
      <w:r w:rsidRPr="00886F53">
        <w:rPr>
          <w:rFonts w:ascii="Times New Roman" w:hAnsi="Times New Roman" w:cs="Times New Roman"/>
          <w:color w:val="000000"/>
          <w:sz w:val="24"/>
          <w:szCs w:val="24"/>
        </w:rPr>
        <w:t xml:space="preserve"> </w:t>
      </w:r>
    </w:p>
    <w:bookmarkEnd w:id="142"/>
    <w:p w14:paraId="5E19136C" w14:textId="0C412256" w:rsidR="004D54F2" w:rsidRPr="00886F53" w:rsidRDefault="004D54F2" w:rsidP="0027517F">
      <w:pPr>
        <w:pStyle w:val="aff"/>
        <w:numPr>
          <w:ilvl w:val="3"/>
          <w:numId w:val="131"/>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Imaging evaluation: the assessment method is determined by the investigator according to the clinical indications. The examination methods of the same patient should be consistent during the follow-up period.</w:t>
      </w:r>
    </w:p>
    <w:p w14:paraId="030B0522" w14:textId="4F47B6C4" w:rsidR="004D54F2" w:rsidRPr="00886F53" w:rsidRDefault="004D54F2" w:rsidP="0027517F">
      <w:pPr>
        <w:pStyle w:val="aff"/>
        <w:numPr>
          <w:ilvl w:val="3"/>
          <w:numId w:val="131"/>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Peripheral blood CT103A cell test: </w:t>
      </w:r>
      <w:r w:rsidR="00EE0F64">
        <w:rPr>
          <w:rFonts w:ascii="Times New Roman" w:hAnsi="Times New Roman" w:cs="Times New Roman"/>
          <w:color w:val="000000"/>
          <w:sz w:val="24"/>
          <w:szCs w:val="24"/>
        </w:rPr>
        <w:t xml:space="preserve">day </w:t>
      </w:r>
      <w:r w:rsidRPr="00886F53">
        <w:rPr>
          <w:rFonts w:ascii="Times New Roman" w:hAnsi="Times New Roman" w:cs="Times New Roman"/>
          <w:color w:val="000000"/>
          <w:sz w:val="24"/>
          <w:szCs w:val="24"/>
        </w:rPr>
        <w:t>1, 4, 7, 10, 14, 21, 28</w:t>
      </w:r>
      <w:r w:rsidR="001D74C5" w:rsidRPr="00886F53">
        <w:rPr>
          <w:rFonts w:ascii="Times New Roman" w:hAnsi="Times New Roman" w:cs="Times New Roman"/>
          <w:color w:val="000000"/>
          <w:sz w:val="24"/>
          <w:szCs w:val="24"/>
        </w:rPr>
        <w:t>.</w:t>
      </w:r>
    </w:p>
    <w:p w14:paraId="58D0963C" w14:textId="5B8F08A4" w:rsidR="004D54F2" w:rsidRPr="00886F53" w:rsidRDefault="004D54F2" w:rsidP="0027517F">
      <w:pPr>
        <w:pStyle w:val="aff"/>
        <w:numPr>
          <w:ilvl w:val="3"/>
          <w:numId w:val="131"/>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PK blood collection (</w:t>
      </w:r>
      <w:r w:rsidR="00EA599D">
        <w:rPr>
          <w:rFonts w:ascii="Times New Roman" w:hAnsi="Times New Roman" w:cs="Times New Roman"/>
          <w:color w:val="000000"/>
          <w:sz w:val="24"/>
          <w:szCs w:val="24"/>
        </w:rPr>
        <w:t xml:space="preserve">an </w:t>
      </w:r>
      <w:r w:rsidRPr="00886F53">
        <w:rPr>
          <w:rFonts w:ascii="Times New Roman" w:hAnsi="Times New Roman" w:cs="Times New Roman"/>
          <w:color w:val="000000"/>
          <w:sz w:val="24"/>
          <w:szCs w:val="24"/>
        </w:rPr>
        <w:t xml:space="preserve">additional 3 mL is collected for exploratory studies): </w:t>
      </w:r>
      <w:r w:rsidR="00D365B2">
        <w:rPr>
          <w:rFonts w:ascii="Times New Roman" w:hAnsi="Times New Roman" w:cs="Times New Roman"/>
          <w:color w:val="000000"/>
          <w:sz w:val="24"/>
          <w:szCs w:val="24"/>
        </w:rPr>
        <w:t xml:space="preserve">day </w:t>
      </w:r>
      <w:r w:rsidRPr="00886F53">
        <w:rPr>
          <w:rFonts w:ascii="Times New Roman" w:hAnsi="Times New Roman" w:cs="Times New Roman"/>
          <w:color w:val="000000"/>
          <w:sz w:val="24"/>
          <w:szCs w:val="24"/>
        </w:rPr>
        <w:t xml:space="preserve">1 (time window ±1 hour), </w:t>
      </w:r>
      <w:r w:rsidR="00D365B2">
        <w:rPr>
          <w:rFonts w:ascii="Times New Roman" w:hAnsi="Times New Roman" w:cs="Times New Roman"/>
          <w:color w:val="000000"/>
          <w:sz w:val="24"/>
          <w:szCs w:val="24"/>
        </w:rPr>
        <w:t xml:space="preserve">day </w:t>
      </w:r>
      <w:r w:rsidRPr="00886F53">
        <w:rPr>
          <w:rFonts w:ascii="Times New Roman" w:hAnsi="Times New Roman" w:cs="Times New Roman"/>
          <w:color w:val="000000"/>
          <w:sz w:val="24"/>
          <w:szCs w:val="24"/>
        </w:rPr>
        <w:t xml:space="preserve">4 (time window ±3 hours), </w:t>
      </w:r>
      <w:r w:rsidR="00D365B2">
        <w:rPr>
          <w:rFonts w:ascii="Times New Roman" w:hAnsi="Times New Roman" w:cs="Times New Roman"/>
          <w:color w:val="000000"/>
          <w:sz w:val="24"/>
          <w:szCs w:val="24"/>
        </w:rPr>
        <w:t xml:space="preserve">day </w:t>
      </w:r>
      <w:r w:rsidRPr="00886F53">
        <w:rPr>
          <w:rFonts w:ascii="Times New Roman" w:hAnsi="Times New Roman" w:cs="Times New Roman"/>
          <w:color w:val="000000"/>
          <w:sz w:val="24"/>
          <w:szCs w:val="24"/>
        </w:rPr>
        <w:t xml:space="preserve">7 (time window ±12 hours), </w:t>
      </w:r>
      <w:r w:rsidR="00D365B2">
        <w:rPr>
          <w:rFonts w:ascii="Times New Roman" w:hAnsi="Times New Roman" w:cs="Times New Roman"/>
          <w:color w:val="000000"/>
          <w:sz w:val="24"/>
          <w:szCs w:val="24"/>
        </w:rPr>
        <w:t xml:space="preserve">day </w:t>
      </w:r>
      <w:r w:rsidRPr="00886F53">
        <w:rPr>
          <w:rFonts w:ascii="Times New Roman" w:hAnsi="Times New Roman" w:cs="Times New Roman"/>
          <w:color w:val="000000"/>
          <w:sz w:val="24"/>
          <w:szCs w:val="24"/>
        </w:rPr>
        <w:t xml:space="preserve">10 (time window ±12 hours), </w:t>
      </w:r>
      <w:r w:rsidR="00D365B2">
        <w:rPr>
          <w:rFonts w:ascii="Times New Roman" w:hAnsi="Times New Roman" w:cs="Times New Roman"/>
          <w:color w:val="000000"/>
          <w:sz w:val="24"/>
          <w:szCs w:val="24"/>
        </w:rPr>
        <w:t xml:space="preserve">day </w:t>
      </w:r>
      <w:r w:rsidRPr="00886F53">
        <w:rPr>
          <w:rFonts w:ascii="Times New Roman" w:hAnsi="Times New Roman" w:cs="Times New Roman"/>
          <w:color w:val="000000"/>
          <w:sz w:val="24"/>
          <w:szCs w:val="24"/>
        </w:rPr>
        <w:t xml:space="preserve">14 (time window ±12 hours), </w:t>
      </w:r>
      <w:r w:rsidR="00D365B2">
        <w:rPr>
          <w:rFonts w:ascii="Times New Roman" w:hAnsi="Times New Roman" w:cs="Times New Roman"/>
          <w:color w:val="000000"/>
          <w:sz w:val="24"/>
          <w:szCs w:val="24"/>
        </w:rPr>
        <w:t xml:space="preserve">day </w:t>
      </w:r>
      <w:r w:rsidRPr="00886F53">
        <w:rPr>
          <w:rFonts w:ascii="Times New Roman" w:hAnsi="Times New Roman" w:cs="Times New Roman"/>
          <w:color w:val="000000"/>
          <w:sz w:val="24"/>
          <w:szCs w:val="24"/>
        </w:rPr>
        <w:t xml:space="preserve">21 (time window ± 2 days), </w:t>
      </w:r>
      <w:r w:rsidR="00D365B2">
        <w:rPr>
          <w:rFonts w:ascii="Times New Roman" w:hAnsi="Times New Roman" w:cs="Times New Roman"/>
          <w:color w:val="000000"/>
          <w:sz w:val="24"/>
          <w:szCs w:val="24"/>
        </w:rPr>
        <w:t xml:space="preserve">day </w:t>
      </w:r>
      <w:r w:rsidRPr="00886F53">
        <w:rPr>
          <w:rFonts w:ascii="Times New Roman" w:hAnsi="Times New Roman" w:cs="Times New Roman"/>
          <w:color w:val="000000"/>
          <w:sz w:val="24"/>
          <w:szCs w:val="24"/>
        </w:rPr>
        <w:t>28 (time window ± 2 days</w:t>
      </w:r>
      <w:r w:rsidR="00C049DB" w:rsidRPr="00886F53">
        <w:rPr>
          <w:rFonts w:ascii="Times New Roman" w:hAnsi="Times New Roman" w:cs="Times New Roman"/>
          <w:color w:val="000000"/>
          <w:sz w:val="24"/>
          <w:szCs w:val="24"/>
        </w:rPr>
        <w:t>).</w:t>
      </w:r>
    </w:p>
    <w:p w14:paraId="55204E12" w14:textId="0A5E9939" w:rsidR="004D54F2" w:rsidRPr="00886F53" w:rsidRDefault="004D54F2" w:rsidP="0027517F">
      <w:pPr>
        <w:pStyle w:val="aff"/>
        <w:numPr>
          <w:ilvl w:val="3"/>
          <w:numId w:val="131"/>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VCN test: </w:t>
      </w:r>
      <w:r w:rsidR="00730C35" w:rsidRPr="00730C35">
        <w:rPr>
          <w:rFonts w:ascii="Times New Roman" w:hAnsi="Times New Roman" w:cs="Times New Roman"/>
          <w:color w:val="000000"/>
          <w:sz w:val="24"/>
          <w:szCs w:val="24"/>
        </w:rPr>
        <w:t>day 1, 4, 7, 10, 14, 21, 28.</w:t>
      </w:r>
      <w:r w:rsidR="00730C35">
        <w:rPr>
          <w:rFonts w:ascii="Times New Roman" w:hAnsi="Times New Roman" w:cs="Times New Roman"/>
          <w:color w:val="000000"/>
          <w:sz w:val="24"/>
          <w:szCs w:val="24"/>
        </w:rPr>
        <w:t xml:space="preserve"> </w:t>
      </w:r>
      <w:proofErr w:type="spellStart"/>
      <w:r w:rsidRPr="00886F53">
        <w:rPr>
          <w:rFonts w:ascii="Times New Roman" w:hAnsi="Times New Roman" w:cs="Times New Roman"/>
          <w:color w:val="000000"/>
          <w:sz w:val="24"/>
          <w:szCs w:val="24"/>
        </w:rPr>
        <w:t>dPCR</w:t>
      </w:r>
      <w:proofErr w:type="spellEnd"/>
      <w:r w:rsidRPr="00886F53">
        <w:rPr>
          <w:rFonts w:ascii="Times New Roman" w:hAnsi="Times New Roman" w:cs="Times New Roman"/>
          <w:color w:val="000000"/>
          <w:sz w:val="24"/>
          <w:szCs w:val="24"/>
        </w:rPr>
        <w:t xml:space="preserve"> test method will be </w:t>
      </w:r>
      <w:r w:rsidR="00C049DB" w:rsidRPr="00886F53">
        <w:rPr>
          <w:rFonts w:ascii="Times New Roman" w:hAnsi="Times New Roman" w:cs="Times New Roman"/>
          <w:color w:val="000000"/>
          <w:sz w:val="24"/>
          <w:szCs w:val="24"/>
        </w:rPr>
        <w:t>used.</w:t>
      </w:r>
    </w:p>
    <w:p w14:paraId="535FE3F3" w14:textId="2A7B3653" w:rsidR="004D54F2" w:rsidRPr="00886F53" w:rsidRDefault="004D54F2" w:rsidP="0027517F">
      <w:pPr>
        <w:pStyle w:val="aff"/>
        <w:numPr>
          <w:ilvl w:val="3"/>
          <w:numId w:val="131"/>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IMWG efficacy evaluation: </w:t>
      </w:r>
      <w:r w:rsidR="000F4349">
        <w:rPr>
          <w:rFonts w:ascii="Times New Roman" w:hAnsi="Times New Roman" w:cs="Times New Roman"/>
          <w:color w:val="000000"/>
          <w:sz w:val="24"/>
          <w:szCs w:val="24"/>
        </w:rPr>
        <w:t xml:space="preserve">day </w:t>
      </w:r>
      <w:r w:rsidRPr="00886F53">
        <w:rPr>
          <w:rFonts w:ascii="Times New Roman" w:hAnsi="Times New Roman" w:cs="Times New Roman"/>
          <w:color w:val="000000"/>
          <w:sz w:val="24"/>
          <w:szCs w:val="24"/>
        </w:rPr>
        <w:t xml:space="preserve">28. IMWG efficacy criteria and MRD efficacy criteria will be </w:t>
      </w:r>
      <w:r w:rsidR="00C049DB" w:rsidRPr="00886F53">
        <w:rPr>
          <w:rFonts w:ascii="Times New Roman" w:hAnsi="Times New Roman" w:cs="Times New Roman"/>
          <w:color w:val="000000"/>
          <w:sz w:val="24"/>
          <w:szCs w:val="24"/>
        </w:rPr>
        <w:t>used.</w:t>
      </w:r>
    </w:p>
    <w:p w14:paraId="20B8D232" w14:textId="6522E222" w:rsidR="004D54F2" w:rsidRPr="00886F53" w:rsidRDefault="004D54F2" w:rsidP="0027517F">
      <w:pPr>
        <w:pStyle w:val="aff"/>
        <w:numPr>
          <w:ilvl w:val="3"/>
          <w:numId w:val="131"/>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Record concomitant treatment, AEs, and SAEs: </w:t>
      </w:r>
      <w:r w:rsidR="000F4349" w:rsidRPr="00730C35">
        <w:rPr>
          <w:rFonts w:ascii="Times New Roman" w:hAnsi="Times New Roman" w:cs="Times New Roman"/>
          <w:color w:val="000000"/>
          <w:sz w:val="24"/>
          <w:szCs w:val="24"/>
        </w:rPr>
        <w:t>day 1, 4, 7, 10, 14, 21, 28.</w:t>
      </w:r>
    </w:p>
    <w:p w14:paraId="6D6497BC" w14:textId="3A1550F0" w:rsidR="004D54F2" w:rsidRPr="00886F53" w:rsidRDefault="004D54F2" w:rsidP="0027517F">
      <w:pPr>
        <w:pStyle w:val="aff"/>
        <w:numPr>
          <w:ilvl w:val="3"/>
          <w:numId w:val="131"/>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Quality of life assessment: </w:t>
      </w:r>
      <w:r w:rsidR="000F4349">
        <w:rPr>
          <w:rFonts w:ascii="Times New Roman" w:hAnsi="Times New Roman" w:cs="Times New Roman"/>
          <w:color w:val="000000"/>
          <w:sz w:val="24"/>
          <w:szCs w:val="24"/>
        </w:rPr>
        <w:t xml:space="preserve">day </w:t>
      </w:r>
      <w:r w:rsidRPr="00886F53">
        <w:rPr>
          <w:rFonts w:ascii="Times New Roman" w:hAnsi="Times New Roman" w:cs="Times New Roman"/>
          <w:color w:val="000000"/>
          <w:sz w:val="24"/>
          <w:szCs w:val="24"/>
        </w:rPr>
        <w:t>14 and</w:t>
      </w:r>
      <w:r w:rsidR="000F4349">
        <w:rPr>
          <w:rFonts w:ascii="Times New Roman" w:hAnsi="Times New Roman" w:cs="Times New Roman"/>
          <w:color w:val="000000"/>
          <w:sz w:val="24"/>
          <w:szCs w:val="24"/>
        </w:rPr>
        <w:t xml:space="preserve"> day</w:t>
      </w:r>
      <w:r w:rsidRPr="00886F53">
        <w:rPr>
          <w:rFonts w:ascii="Times New Roman" w:hAnsi="Times New Roman" w:cs="Times New Roman"/>
          <w:color w:val="000000"/>
          <w:sz w:val="24"/>
          <w:szCs w:val="24"/>
        </w:rPr>
        <w:t xml:space="preserve"> 28.</w:t>
      </w:r>
    </w:p>
    <w:p w14:paraId="471E03C1" w14:textId="5CAE896A" w:rsidR="004D54F2" w:rsidRDefault="00F31A05" w:rsidP="0027517F">
      <w:pPr>
        <w:pStyle w:val="30"/>
        <w:jc w:val="both"/>
      </w:pPr>
      <w:bookmarkStart w:id="143" w:name="_Toc112064871"/>
      <w:r>
        <w:t>Selinexor</w:t>
      </w:r>
      <w:r w:rsidR="004D54F2">
        <w:t xml:space="preserve"> Administration</w:t>
      </w:r>
      <w:bookmarkEnd w:id="143"/>
      <w:r w:rsidR="004D54F2">
        <w:t xml:space="preserve"> </w:t>
      </w:r>
    </w:p>
    <w:p w14:paraId="6582D1B6" w14:textId="0FA8D776" w:rsidR="004D54F2" w:rsidRDefault="004D54F2" w:rsidP="0027517F">
      <w:pPr>
        <w:jc w:val="both"/>
      </w:pPr>
      <w:r w:rsidRPr="00886F53">
        <w:rPr>
          <w:rFonts w:hint="eastAsia"/>
        </w:rPr>
        <w:t>One month after anti-BCMA CAR-T cells infusion</w:t>
      </w:r>
      <w:r w:rsidRPr="00886F53">
        <w:t xml:space="preserve"> and</w:t>
      </w:r>
      <w:r w:rsidRPr="00886F53">
        <w:rPr>
          <w:rFonts w:hint="eastAsia"/>
        </w:rPr>
        <w:t xml:space="preserve"> platelet </w:t>
      </w:r>
      <w:r w:rsidR="00C049DB" w:rsidRPr="00886F53">
        <w:t>recovery,</w:t>
      </w:r>
      <w:r w:rsidRPr="00886F53">
        <w:t xml:space="preserve"> </w:t>
      </w:r>
      <w:r w:rsidR="00F31A05">
        <w:t>Selinexor</w:t>
      </w:r>
      <w:r w:rsidRPr="00886F53">
        <w:t xml:space="preserve"> will be administered once a week (20 mg/week or 40 mg/week).</w:t>
      </w:r>
    </w:p>
    <w:p w14:paraId="66B421B6" w14:textId="396C3FBA" w:rsidR="004D54F2" w:rsidRDefault="004D54F2" w:rsidP="0027517F">
      <w:pPr>
        <w:pStyle w:val="30"/>
        <w:jc w:val="both"/>
      </w:pPr>
      <w:r>
        <w:t xml:space="preserve"> </w:t>
      </w:r>
      <w:bookmarkStart w:id="144" w:name="_Toc112064872"/>
      <w:r>
        <w:t>Subsequent Follow-up Visits</w:t>
      </w:r>
      <w:bookmarkEnd w:id="144"/>
    </w:p>
    <w:p w14:paraId="277E20DB" w14:textId="67102FD3" w:rsidR="004D54F2" w:rsidRDefault="004D54F2" w:rsidP="0027517F">
      <w:pPr>
        <w:jc w:val="both"/>
      </w:pPr>
      <w:r>
        <w:t xml:space="preserve">It will be performed at </w:t>
      </w:r>
      <w:r w:rsidR="00EA599D">
        <w:t>two</w:t>
      </w:r>
      <w:r>
        <w:t xml:space="preserve"> months (</w:t>
      </w:r>
      <w:r w:rsidR="00557E34">
        <w:t xml:space="preserve">day </w:t>
      </w:r>
      <w:r>
        <w:t xml:space="preserve">60), </w:t>
      </w:r>
      <w:r w:rsidR="00EA599D">
        <w:t>three</w:t>
      </w:r>
      <w:r>
        <w:t xml:space="preserve"> months (</w:t>
      </w:r>
      <w:r w:rsidR="00557E34">
        <w:t xml:space="preserve">day </w:t>
      </w:r>
      <w:r>
        <w:t xml:space="preserve">90) after the cell infusion, and once every </w:t>
      </w:r>
      <w:r w:rsidR="00EA599D">
        <w:t>three</w:t>
      </w:r>
      <w:r>
        <w:t xml:space="preserve"> months thereafter, until disease progression or until the withdrawal of informed consent, withdrawal from the study, death, or </w:t>
      </w:r>
      <w:r w:rsidR="00EA599D">
        <w:t>one</w:t>
      </w:r>
      <w:r>
        <w:t xml:space="preserve"> year after the cell infusion, </w:t>
      </w:r>
      <w:r>
        <w:lastRenderedPageBreak/>
        <w:t xml:space="preserve">whichever occurs first. The visit window period is ±14 days for </w:t>
      </w:r>
      <w:r w:rsidR="00EA599D">
        <w:t>two</w:t>
      </w:r>
      <w:r>
        <w:t xml:space="preserve"> months (</w:t>
      </w:r>
      <w:r w:rsidR="00557E34">
        <w:t xml:space="preserve">day </w:t>
      </w:r>
      <w:r>
        <w:t xml:space="preserve">60), ±14 days </w:t>
      </w:r>
      <w:r w:rsidR="00EA599D">
        <w:t>at</w:t>
      </w:r>
      <w:r>
        <w:t xml:space="preserve"> </w:t>
      </w:r>
      <w:r w:rsidR="00EA599D">
        <w:t>three</w:t>
      </w:r>
      <w:r>
        <w:t xml:space="preserve"> month</w:t>
      </w:r>
      <w:r w:rsidR="00EA599D">
        <w:t>s</w:t>
      </w:r>
      <w:r>
        <w:t xml:space="preserve"> (</w:t>
      </w:r>
      <w:r w:rsidR="00557E34">
        <w:t xml:space="preserve">day </w:t>
      </w:r>
      <w:r>
        <w:t>90)</w:t>
      </w:r>
      <w:r w:rsidR="00EA599D">
        <w:t>,</w:t>
      </w:r>
      <w:r>
        <w:t xml:space="preserve"> and ±14 days for every </w:t>
      </w:r>
      <w:r w:rsidR="00EA599D">
        <w:t>three</w:t>
      </w:r>
      <w:r>
        <w:t xml:space="preserve"> months (90 d) thereafter. </w:t>
      </w:r>
    </w:p>
    <w:p w14:paraId="2CBF2DF4" w14:textId="6E5736FC" w:rsidR="004D54F2" w:rsidRPr="00886F53" w:rsidRDefault="004D54F2" w:rsidP="0027517F">
      <w:pPr>
        <w:jc w:val="both"/>
      </w:pPr>
      <w:r>
        <w:t>The assessments during the subsequent follow-up visits are as follows:</w:t>
      </w:r>
    </w:p>
    <w:p w14:paraId="3D52AC8D" w14:textId="3374B49E" w:rsidR="004D54F2" w:rsidRPr="00886F53" w:rsidRDefault="004D54F2" w:rsidP="0027517F">
      <w:pPr>
        <w:pStyle w:val="aff"/>
        <w:numPr>
          <w:ilvl w:val="3"/>
          <w:numId w:val="132"/>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Physical examination/vital sign/ECOG score: it will be performed at </w:t>
      </w:r>
      <w:r w:rsidR="00EA599D">
        <w:rPr>
          <w:rFonts w:ascii="Times New Roman" w:hAnsi="Times New Roman" w:cs="Times New Roman"/>
          <w:color w:val="000000"/>
          <w:sz w:val="24"/>
          <w:szCs w:val="24"/>
        </w:rPr>
        <w:t>two</w:t>
      </w:r>
      <w:r w:rsidRPr="00886F53">
        <w:rPr>
          <w:rFonts w:ascii="Times New Roman" w:hAnsi="Times New Roman" w:cs="Times New Roman"/>
          <w:color w:val="000000"/>
          <w:sz w:val="24"/>
          <w:szCs w:val="24"/>
        </w:rPr>
        <w:t xml:space="preserve"> months (</w:t>
      </w:r>
      <w:r w:rsidR="00B9549F">
        <w:rPr>
          <w:rFonts w:ascii="Times New Roman" w:hAnsi="Times New Roman" w:cs="Times New Roman"/>
          <w:color w:val="000000"/>
          <w:sz w:val="24"/>
          <w:szCs w:val="24"/>
        </w:rPr>
        <w:t xml:space="preserve">day </w:t>
      </w:r>
      <w:r w:rsidRPr="00886F53">
        <w:rPr>
          <w:rFonts w:ascii="Times New Roman" w:hAnsi="Times New Roman" w:cs="Times New Roman"/>
          <w:color w:val="000000"/>
          <w:sz w:val="24"/>
          <w:szCs w:val="24"/>
        </w:rPr>
        <w:t xml:space="preserve">60), </w:t>
      </w:r>
      <w:r w:rsidR="00EA599D">
        <w:rPr>
          <w:rFonts w:ascii="Times New Roman" w:hAnsi="Times New Roman" w:cs="Times New Roman"/>
          <w:color w:val="000000"/>
          <w:sz w:val="24"/>
          <w:szCs w:val="24"/>
        </w:rPr>
        <w:t>three</w:t>
      </w:r>
      <w:r w:rsidRPr="00886F53">
        <w:rPr>
          <w:rFonts w:ascii="Times New Roman" w:hAnsi="Times New Roman" w:cs="Times New Roman"/>
          <w:color w:val="000000"/>
          <w:sz w:val="24"/>
          <w:szCs w:val="24"/>
        </w:rPr>
        <w:t xml:space="preserve"> months (</w:t>
      </w:r>
      <w:r w:rsidR="00B9549F">
        <w:rPr>
          <w:rFonts w:ascii="Times New Roman" w:hAnsi="Times New Roman" w:cs="Times New Roman"/>
          <w:color w:val="000000"/>
          <w:sz w:val="24"/>
          <w:szCs w:val="24"/>
        </w:rPr>
        <w:t xml:space="preserve">day </w:t>
      </w:r>
      <w:r w:rsidRPr="00886F53">
        <w:rPr>
          <w:rFonts w:ascii="Times New Roman" w:hAnsi="Times New Roman" w:cs="Times New Roman"/>
          <w:color w:val="000000"/>
          <w:sz w:val="24"/>
          <w:szCs w:val="24"/>
        </w:rPr>
        <w:t xml:space="preserve">90), and once every </w:t>
      </w:r>
      <w:r w:rsidR="00EA599D">
        <w:rPr>
          <w:rFonts w:ascii="Times New Roman" w:hAnsi="Times New Roman" w:cs="Times New Roman"/>
          <w:color w:val="000000"/>
          <w:sz w:val="24"/>
          <w:szCs w:val="24"/>
        </w:rPr>
        <w:t>three</w:t>
      </w:r>
      <w:r w:rsidRPr="00886F53">
        <w:rPr>
          <w:rFonts w:ascii="Times New Roman" w:hAnsi="Times New Roman" w:cs="Times New Roman"/>
          <w:color w:val="000000"/>
          <w:sz w:val="24"/>
          <w:szCs w:val="24"/>
        </w:rPr>
        <w:t xml:space="preserve"> months (90 days) thereafter, until out</w:t>
      </w:r>
      <w:r w:rsidR="00EA599D">
        <w:rPr>
          <w:rFonts w:ascii="Times New Roman" w:hAnsi="Times New Roman" w:cs="Times New Roman"/>
          <w:color w:val="000000"/>
          <w:sz w:val="24"/>
          <w:szCs w:val="24"/>
        </w:rPr>
        <w:t>-</w:t>
      </w:r>
      <w:r w:rsidRPr="00886F53">
        <w:rPr>
          <w:rFonts w:ascii="Times New Roman" w:hAnsi="Times New Roman" w:cs="Times New Roman"/>
          <w:color w:val="000000"/>
          <w:sz w:val="24"/>
          <w:szCs w:val="24"/>
        </w:rPr>
        <w:t>of</w:t>
      </w:r>
      <w:r w:rsidR="00EA599D">
        <w:rPr>
          <w:rFonts w:ascii="Times New Roman" w:hAnsi="Times New Roman" w:cs="Times New Roman"/>
          <w:color w:val="000000"/>
          <w:sz w:val="24"/>
          <w:szCs w:val="24"/>
        </w:rPr>
        <w:t>-</w:t>
      </w:r>
      <w:r w:rsidRPr="00886F53">
        <w:rPr>
          <w:rFonts w:ascii="Times New Roman" w:hAnsi="Times New Roman" w:cs="Times New Roman"/>
          <w:color w:val="000000"/>
          <w:sz w:val="24"/>
          <w:szCs w:val="24"/>
        </w:rPr>
        <w:t xml:space="preserve">study visit or </w:t>
      </w:r>
      <w:r w:rsidR="00EA599D">
        <w:rPr>
          <w:rFonts w:ascii="Times New Roman" w:hAnsi="Times New Roman" w:cs="Times New Roman"/>
          <w:color w:val="000000"/>
          <w:sz w:val="24"/>
          <w:szCs w:val="24"/>
        </w:rPr>
        <w:t>one</w:t>
      </w:r>
      <w:r w:rsidRPr="00886F53">
        <w:rPr>
          <w:rFonts w:ascii="Times New Roman" w:hAnsi="Times New Roman" w:cs="Times New Roman"/>
          <w:color w:val="000000"/>
          <w:sz w:val="24"/>
          <w:szCs w:val="24"/>
        </w:rPr>
        <w:t xml:space="preserve"> year after the cell infusion (whichever occurs first</w:t>
      </w:r>
      <w:r w:rsidR="006C6092" w:rsidRPr="00886F53">
        <w:rPr>
          <w:rFonts w:ascii="Times New Roman" w:hAnsi="Times New Roman" w:cs="Times New Roman"/>
          <w:color w:val="000000"/>
          <w:sz w:val="24"/>
          <w:szCs w:val="24"/>
        </w:rPr>
        <w:t>).</w:t>
      </w:r>
    </w:p>
    <w:p w14:paraId="27B27EEE" w14:textId="1F41E53F" w:rsidR="004D54F2" w:rsidRPr="00886F53" w:rsidRDefault="004D54F2" w:rsidP="0027517F">
      <w:pPr>
        <w:pStyle w:val="aff"/>
        <w:numPr>
          <w:ilvl w:val="3"/>
          <w:numId w:val="132"/>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Echocardiogram examination: According to the clinical indications, the investigator will perform </w:t>
      </w:r>
      <w:r w:rsidR="00EA599D">
        <w:rPr>
          <w:rFonts w:ascii="Times New Roman" w:hAnsi="Times New Roman" w:cs="Times New Roman"/>
          <w:color w:val="000000"/>
          <w:sz w:val="24"/>
          <w:szCs w:val="24"/>
        </w:rPr>
        <w:t xml:space="preserve">an </w:t>
      </w:r>
      <w:r w:rsidRPr="00886F53">
        <w:rPr>
          <w:rFonts w:ascii="Times New Roman" w:hAnsi="Times New Roman" w:cs="Times New Roman"/>
          <w:color w:val="000000"/>
          <w:sz w:val="24"/>
          <w:szCs w:val="24"/>
        </w:rPr>
        <w:t xml:space="preserve">echocardiogram examination appropriately if the patient has signs and symptoms, such as heart </w:t>
      </w:r>
      <w:r w:rsidR="006C6092" w:rsidRPr="00886F53">
        <w:rPr>
          <w:rFonts w:ascii="Times New Roman" w:hAnsi="Times New Roman" w:cs="Times New Roman"/>
          <w:color w:val="000000"/>
          <w:sz w:val="24"/>
          <w:szCs w:val="24"/>
        </w:rPr>
        <w:t>failure.</w:t>
      </w:r>
    </w:p>
    <w:p w14:paraId="05BC44E9" w14:textId="3992A001" w:rsidR="004D54F2" w:rsidRPr="00886F53" w:rsidRDefault="004D54F2" w:rsidP="0027517F">
      <w:pPr>
        <w:pStyle w:val="aff"/>
        <w:numPr>
          <w:ilvl w:val="3"/>
          <w:numId w:val="132"/>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12-lead </w:t>
      </w:r>
      <w:r w:rsidR="0048556E">
        <w:rPr>
          <w:rFonts w:ascii="Times New Roman" w:hAnsi="Times New Roman" w:cs="Times New Roman"/>
          <w:color w:val="000000"/>
          <w:sz w:val="24"/>
          <w:szCs w:val="24"/>
        </w:rPr>
        <w:t>ECG</w:t>
      </w:r>
      <w:r w:rsidRPr="00886F53">
        <w:rPr>
          <w:rFonts w:ascii="Times New Roman" w:hAnsi="Times New Roman" w:cs="Times New Roman"/>
          <w:color w:val="000000"/>
          <w:sz w:val="24"/>
          <w:szCs w:val="24"/>
        </w:rPr>
        <w:t xml:space="preserve">: according to clinical indications, it will be performed at </w:t>
      </w:r>
      <w:r w:rsidR="00EA599D">
        <w:rPr>
          <w:rFonts w:ascii="Times New Roman" w:hAnsi="Times New Roman" w:cs="Times New Roman"/>
          <w:color w:val="000000"/>
          <w:sz w:val="24"/>
          <w:szCs w:val="24"/>
        </w:rPr>
        <w:t>two</w:t>
      </w:r>
      <w:r w:rsidRPr="00886F53">
        <w:rPr>
          <w:rFonts w:ascii="Times New Roman" w:hAnsi="Times New Roman" w:cs="Times New Roman"/>
          <w:color w:val="000000"/>
          <w:sz w:val="24"/>
          <w:szCs w:val="24"/>
        </w:rPr>
        <w:t xml:space="preserve"> months (</w:t>
      </w:r>
      <w:r w:rsidR="00B9549F">
        <w:rPr>
          <w:rFonts w:ascii="Times New Roman" w:hAnsi="Times New Roman" w:cs="Times New Roman"/>
          <w:color w:val="000000"/>
          <w:sz w:val="24"/>
          <w:szCs w:val="24"/>
        </w:rPr>
        <w:t xml:space="preserve">day </w:t>
      </w:r>
      <w:r w:rsidRPr="00886F53">
        <w:rPr>
          <w:rFonts w:ascii="Times New Roman" w:hAnsi="Times New Roman" w:cs="Times New Roman"/>
          <w:color w:val="000000"/>
          <w:sz w:val="24"/>
          <w:szCs w:val="24"/>
        </w:rPr>
        <w:t xml:space="preserve">60), </w:t>
      </w:r>
      <w:r w:rsidR="00EA599D">
        <w:rPr>
          <w:rFonts w:ascii="Times New Roman" w:hAnsi="Times New Roman" w:cs="Times New Roman"/>
          <w:color w:val="000000"/>
          <w:sz w:val="24"/>
          <w:szCs w:val="24"/>
        </w:rPr>
        <w:t>three</w:t>
      </w:r>
      <w:r w:rsidRPr="00886F53">
        <w:rPr>
          <w:rFonts w:ascii="Times New Roman" w:hAnsi="Times New Roman" w:cs="Times New Roman"/>
          <w:color w:val="000000"/>
          <w:sz w:val="24"/>
          <w:szCs w:val="24"/>
        </w:rPr>
        <w:t xml:space="preserve"> months (</w:t>
      </w:r>
      <w:r w:rsidR="00B9549F">
        <w:rPr>
          <w:rFonts w:ascii="Times New Roman" w:hAnsi="Times New Roman" w:cs="Times New Roman"/>
          <w:color w:val="000000"/>
          <w:sz w:val="24"/>
          <w:szCs w:val="24"/>
        </w:rPr>
        <w:t xml:space="preserve">day </w:t>
      </w:r>
      <w:r w:rsidRPr="00886F53">
        <w:rPr>
          <w:rFonts w:ascii="Times New Roman" w:hAnsi="Times New Roman" w:cs="Times New Roman"/>
          <w:color w:val="000000"/>
          <w:sz w:val="24"/>
          <w:szCs w:val="24"/>
        </w:rPr>
        <w:t xml:space="preserve">90), and once every </w:t>
      </w:r>
      <w:r w:rsidR="00EA599D">
        <w:rPr>
          <w:rFonts w:ascii="Times New Roman" w:hAnsi="Times New Roman" w:cs="Times New Roman"/>
          <w:color w:val="000000"/>
          <w:sz w:val="24"/>
          <w:szCs w:val="24"/>
        </w:rPr>
        <w:t>three</w:t>
      </w:r>
      <w:r w:rsidRPr="00886F53">
        <w:rPr>
          <w:rFonts w:ascii="Times New Roman" w:hAnsi="Times New Roman" w:cs="Times New Roman"/>
          <w:color w:val="000000"/>
          <w:sz w:val="24"/>
          <w:szCs w:val="24"/>
        </w:rPr>
        <w:t xml:space="preserve"> months (90 d) thereafter, until out</w:t>
      </w:r>
      <w:r w:rsidR="00EA599D">
        <w:rPr>
          <w:rFonts w:ascii="Times New Roman" w:hAnsi="Times New Roman" w:cs="Times New Roman"/>
          <w:color w:val="000000"/>
          <w:sz w:val="24"/>
          <w:szCs w:val="24"/>
        </w:rPr>
        <w:t>-</w:t>
      </w:r>
      <w:r w:rsidRPr="00886F53">
        <w:rPr>
          <w:rFonts w:ascii="Times New Roman" w:hAnsi="Times New Roman" w:cs="Times New Roman"/>
          <w:color w:val="000000"/>
          <w:sz w:val="24"/>
          <w:szCs w:val="24"/>
        </w:rPr>
        <w:t>of</w:t>
      </w:r>
      <w:r w:rsidR="00EA599D">
        <w:rPr>
          <w:rFonts w:ascii="Times New Roman" w:hAnsi="Times New Roman" w:cs="Times New Roman"/>
          <w:color w:val="000000"/>
          <w:sz w:val="24"/>
          <w:szCs w:val="24"/>
        </w:rPr>
        <w:t>-</w:t>
      </w:r>
      <w:r w:rsidRPr="00886F53">
        <w:rPr>
          <w:rFonts w:ascii="Times New Roman" w:hAnsi="Times New Roman" w:cs="Times New Roman"/>
          <w:color w:val="000000"/>
          <w:sz w:val="24"/>
          <w:szCs w:val="24"/>
        </w:rPr>
        <w:t xml:space="preserve">study visit or </w:t>
      </w:r>
      <w:r w:rsidR="00EA599D">
        <w:rPr>
          <w:rFonts w:ascii="Times New Roman" w:hAnsi="Times New Roman" w:cs="Times New Roman"/>
          <w:color w:val="000000"/>
          <w:sz w:val="24"/>
          <w:szCs w:val="24"/>
        </w:rPr>
        <w:t>one</w:t>
      </w:r>
      <w:r w:rsidRPr="00886F53">
        <w:rPr>
          <w:rFonts w:ascii="Times New Roman" w:hAnsi="Times New Roman" w:cs="Times New Roman"/>
          <w:color w:val="000000"/>
          <w:sz w:val="24"/>
          <w:szCs w:val="24"/>
        </w:rPr>
        <w:t xml:space="preserve"> year after the cell infusion, whichever occurs </w:t>
      </w:r>
      <w:r w:rsidR="006C6092" w:rsidRPr="00886F53">
        <w:rPr>
          <w:rFonts w:ascii="Times New Roman" w:hAnsi="Times New Roman" w:cs="Times New Roman"/>
          <w:color w:val="000000"/>
          <w:sz w:val="24"/>
          <w:szCs w:val="24"/>
        </w:rPr>
        <w:t>first.</w:t>
      </w:r>
    </w:p>
    <w:p w14:paraId="22AC46F5" w14:textId="74326ABB" w:rsidR="004D54F2" w:rsidRPr="00886F53" w:rsidRDefault="004D54F2" w:rsidP="0027517F">
      <w:pPr>
        <w:pStyle w:val="aff"/>
        <w:numPr>
          <w:ilvl w:val="3"/>
          <w:numId w:val="132"/>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Blood pregnancy test (only for women of childbearing potential): based on clinical indications, women of </w:t>
      </w:r>
      <w:r w:rsidR="006C6092" w:rsidRPr="00886F53">
        <w:rPr>
          <w:rFonts w:ascii="Times New Roman" w:hAnsi="Times New Roman" w:cs="Times New Roman"/>
          <w:color w:val="000000"/>
          <w:sz w:val="24"/>
          <w:szCs w:val="24"/>
        </w:rPr>
        <w:t>childbearing</w:t>
      </w:r>
      <w:r w:rsidRPr="00886F53">
        <w:rPr>
          <w:rFonts w:ascii="Times New Roman" w:hAnsi="Times New Roman" w:cs="Times New Roman"/>
          <w:color w:val="000000"/>
          <w:sz w:val="24"/>
          <w:szCs w:val="24"/>
        </w:rPr>
        <w:t xml:space="preserve"> potential should have repeat test</w:t>
      </w:r>
      <w:r w:rsidR="00EA599D">
        <w:rPr>
          <w:rFonts w:ascii="Times New Roman" w:hAnsi="Times New Roman" w:cs="Times New Roman"/>
          <w:color w:val="000000"/>
          <w:sz w:val="24"/>
          <w:szCs w:val="24"/>
        </w:rPr>
        <w:t>s</w:t>
      </w:r>
      <w:r w:rsidRPr="00886F53">
        <w:rPr>
          <w:rFonts w:ascii="Times New Roman" w:hAnsi="Times New Roman" w:cs="Times New Roman"/>
          <w:color w:val="000000"/>
          <w:sz w:val="24"/>
          <w:szCs w:val="24"/>
        </w:rPr>
        <w:t xml:space="preserve"> promptly if they are suspected </w:t>
      </w:r>
      <w:r w:rsidR="00EA599D">
        <w:rPr>
          <w:rFonts w:ascii="Times New Roman" w:hAnsi="Times New Roman" w:cs="Times New Roman"/>
          <w:color w:val="000000"/>
          <w:sz w:val="24"/>
          <w:szCs w:val="24"/>
        </w:rPr>
        <w:t>of</w:t>
      </w:r>
      <w:r w:rsidRPr="00886F53">
        <w:rPr>
          <w:rFonts w:ascii="Times New Roman" w:hAnsi="Times New Roman" w:cs="Times New Roman"/>
          <w:color w:val="000000"/>
          <w:sz w:val="24"/>
          <w:szCs w:val="24"/>
        </w:rPr>
        <w:t xml:space="preserve"> pregnancy, such as menopause, vomiting, abdominal pain</w:t>
      </w:r>
      <w:r w:rsidR="00EA599D">
        <w:rPr>
          <w:rFonts w:ascii="Times New Roman" w:hAnsi="Times New Roman" w:cs="Times New Roman"/>
          <w:color w:val="000000"/>
          <w:sz w:val="24"/>
          <w:szCs w:val="24"/>
        </w:rPr>
        <w:t>,</w:t>
      </w:r>
      <w:r w:rsidRPr="00886F53">
        <w:rPr>
          <w:rFonts w:ascii="Times New Roman" w:hAnsi="Times New Roman" w:cs="Times New Roman"/>
          <w:color w:val="000000"/>
          <w:sz w:val="24"/>
          <w:szCs w:val="24"/>
        </w:rPr>
        <w:t xml:space="preserve"> or vaginal bleeding;</w:t>
      </w:r>
    </w:p>
    <w:p w14:paraId="462AF434" w14:textId="3613DD06" w:rsidR="004D54F2" w:rsidRPr="00886F53" w:rsidRDefault="00A324D3" w:rsidP="0027517F">
      <w:pPr>
        <w:pStyle w:val="aff"/>
        <w:numPr>
          <w:ilvl w:val="3"/>
          <w:numId w:val="132"/>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t>CBC</w:t>
      </w:r>
      <w:r w:rsidR="004D54F2" w:rsidRPr="00886F53">
        <w:rPr>
          <w:rFonts w:ascii="Times New Roman" w:hAnsi="Times New Roman" w:cs="Times New Roman"/>
          <w:color w:val="000000"/>
          <w:sz w:val="24"/>
          <w:szCs w:val="24"/>
        </w:rPr>
        <w:t xml:space="preserve">: it will be measured at </w:t>
      </w:r>
      <w:r w:rsidR="00EA599D">
        <w:rPr>
          <w:rFonts w:ascii="Times New Roman" w:hAnsi="Times New Roman" w:cs="Times New Roman"/>
          <w:color w:val="000000"/>
          <w:sz w:val="24"/>
          <w:szCs w:val="24"/>
        </w:rPr>
        <w:t>two</w:t>
      </w:r>
      <w:r w:rsidR="004D54F2" w:rsidRPr="00886F53">
        <w:rPr>
          <w:rFonts w:ascii="Times New Roman" w:hAnsi="Times New Roman" w:cs="Times New Roman"/>
          <w:color w:val="000000"/>
          <w:sz w:val="24"/>
          <w:szCs w:val="24"/>
        </w:rPr>
        <w:t xml:space="preserve"> months (</w:t>
      </w:r>
      <w:r w:rsidR="00B9549F">
        <w:rPr>
          <w:rFonts w:ascii="Times New Roman" w:hAnsi="Times New Roman" w:cs="Times New Roman"/>
          <w:color w:val="000000"/>
          <w:sz w:val="24"/>
          <w:szCs w:val="24"/>
        </w:rPr>
        <w:t xml:space="preserve">day </w:t>
      </w:r>
      <w:r w:rsidR="004D54F2" w:rsidRPr="00886F53">
        <w:rPr>
          <w:rFonts w:ascii="Times New Roman" w:hAnsi="Times New Roman" w:cs="Times New Roman"/>
          <w:color w:val="000000"/>
          <w:sz w:val="24"/>
          <w:szCs w:val="24"/>
        </w:rPr>
        <w:t xml:space="preserve">60), </w:t>
      </w:r>
      <w:r w:rsidR="00EA599D">
        <w:rPr>
          <w:rFonts w:ascii="Times New Roman" w:hAnsi="Times New Roman" w:cs="Times New Roman"/>
          <w:color w:val="000000"/>
          <w:sz w:val="24"/>
          <w:szCs w:val="24"/>
        </w:rPr>
        <w:t>three</w:t>
      </w:r>
      <w:r w:rsidR="004D54F2" w:rsidRPr="00886F53">
        <w:rPr>
          <w:rFonts w:ascii="Times New Roman" w:hAnsi="Times New Roman" w:cs="Times New Roman"/>
          <w:color w:val="000000"/>
          <w:sz w:val="24"/>
          <w:szCs w:val="24"/>
        </w:rPr>
        <w:t xml:space="preserve"> months (</w:t>
      </w:r>
      <w:r w:rsidR="00B9549F">
        <w:rPr>
          <w:rFonts w:ascii="Times New Roman" w:hAnsi="Times New Roman" w:cs="Times New Roman"/>
          <w:color w:val="000000"/>
          <w:sz w:val="24"/>
          <w:szCs w:val="24"/>
        </w:rPr>
        <w:t xml:space="preserve">day </w:t>
      </w:r>
      <w:r w:rsidR="004D54F2" w:rsidRPr="00886F53">
        <w:rPr>
          <w:rFonts w:ascii="Times New Roman" w:hAnsi="Times New Roman" w:cs="Times New Roman"/>
          <w:color w:val="000000"/>
          <w:sz w:val="24"/>
          <w:szCs w:val="24"/>
        </w:rPr>
        <w:t xml:space="preserve">90), and once every </w:t>
      </w:r>
      <w:r w:rsidR="00EA599D">
        <w:rPr>
          <w:rFonts w:ascii="Times New Roman" w:hAnsi="Times New Roman" w:cs="Times New Roman"/>
          <w:color w:val="000000"/>
          <w:sz w:val="24"/>
          <w:szCs w:val="24"/>
        </w:rPr>
        <w:t>three</w:t>
      </w:r>
      <w:r w:rsidR="004D54F2" w:rsidRPr="00886F53">
        <w:rPr>
          <w:rFonts w:ascii="Times New Roman" w:hAnsi="Times New Roman" w:cs="Times New Roman"/>
          <w:color w:val="000000"/>
          <w:sz w:val="24"/>
          <w:szCs w:val="24"/>
        </w:rPr>
        <w:t xml:space="preserve"> months (90 d) thereafter, until </w:t>
      </w:r>
      <w:r w:rsidR="00EA599D">
        <w:rPr>
          <w:rFonts w:ascii="Times New Roman" w:hAnsi="Times New Roman" w:cs="Times New Roman"/>
          <w:color w:val="000000"/>
          <w:sz w:val="24"/>
          <w:szCs w:val="24"/>
        </w:rPr>
        <w:t>one</w:t>
      </w:r>
      <w:r w:rsidR="004D54F2" w:rsidRPr="00886F53">
        <w:rPr>
          <w:rFonts w:ascii="Times New Roman" w:hAnsi="Times New Roman" w:cs="Times New Roman"/>
          <w:color w:val="000000"/>
          <w:sz w:val="24"/>
          <w:szCs w:val="24"/>
        </w:rPr>
        <w:t xml:space="preserve"> year after the CT103A cell infusion. The subsequent tests will be performed as needed by the investigators according to clinical indications. PK samples will be collected at the same time points, with a maximum time difference of 24 </w:t>
      </w:r>
      <w:r w:rsidR="006C6092" w:rsidRPr="00886F53">
        <w:rPr>
          <w:rFonts w:ascii="Times New Roman" w:hAnsi="Times New Roman" w:cs="Times New Roman"/>
          <w:color w:val="000000"/>
          <w:sz w:val="24"/>
          <w:szCs w:val="24"/>
        </w:rPr>
        <w:t>hours.</w:t>
      </w:r>
    </w:p>
    <w:p w14:paraId="78E74880" w14:textId="6E255EA8" w:rsidR="004D54F2" w:rsidRPr="00886F53" w:rsidRDefault="00A324D3" w:rsidP="0027517F">
      <w:pPr>
        <w:pStyle w:val="aff"/>
        <w:numPr>
          <w:ilvl w:val="3"/>
          <w:numId w:val="132"/>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t>Blood biochemical indexes</w:t>
      </w:r>
      <w:r w:rsidR="004D54F2" w:rsidRPr="00886F53">
        <w:rPr>
          <w:rFonts w:ascii="Times New Roman" w:hAnsi="Times New Roman" w:cs="Times New Roman"/>
          <w:color w:val="000000"/>
          <w:sz w:val="24"/>
          <w:szCs w:val="24"/>
        </w:rPr>
        <w:t xml:space="preserve"> (fasting): it will be measured at </w:t>
      </w:r>
      <w:r w:rsidR="00EA599D">
        <w:rPr>
          <w:rFonts w:ascii="Times New Roman" w:hAnsi="Times New Roman" w:cs="Times New Roman"/>
          <w:color w:val="000000"/>
          <w:sz w:val="24"/>
          <w:szCs w:val="24"/>
        </w:rPr>
        <w:t>two</w:t>
      </w:r>
      <w:r w:rsidR="004D54F2" w:rsidRPr="00886F53">
        <w:rPr>
          <w:rFonts w:ascii="Times New Roman" w:hAnsi="Times New Roman" w:cs="Times New Roman"/>
          <w:color w:val="000000"/>
          <w:sz w:val="24"/>
          <w:szCs w:val="24"/>
        </w:rPr>
        <w:t xml:space="preserve"> months (</w:t>
      </w:r>
      <w:r w:rsidR="00B9549F">
        <w:rPr>
          <w:rFonts w:ascii="Times New Roman" w:hAnsi="Times New Roman" w:cs="Times New Roman"/>
          <w:color w:val="000000"/>
          <w:sz w:val="24"/>
          <w:szCs w:val="24"/>
        </w:rPr>
        <w:t xml:space="preserve">day </w:t>
      </w:r>
      <w:r w:rsidR="004D54F2" w:rsidRPr="00886F53">
        <w:rPr>
          <w:rFonts w:ascii="Times New Roman" w:hAnsi="Times New Roman" w:cs="Times New Roman"/>
          <w:color w:val="000000"/>
          <w:sz w:val="24"/>
          <w:szCs w:val="24"/>
        </w:rPr>
        <w:t xml:space="preserve">60), </w:t>
      </w:r>
      <w:r w:rsidR="00EA599D">
        <w:rPr>
          <w:rFonts w:ascii="Times New Roman" w:hAnsi="Times New Roman" w:cs="Times New Roman"/>
          <w:color w:val="000000"/>
          <w:sz w:val="24"/>
          <w:szCs w:val="24"/>
        </w:rPr>
        <w:t>three</w:t>
      </w:r>
      <w:r w:rsidR="004D54F2" w:rsidRPr="00886F53">
        <w:rPr>
          <w:rFonts w:ascii="Times New Roman" w:hAnsi="Times New Roman" w:cs="Times New Roman"/>
          <w:color w:val="000000"/>
          <w:sz w:val="24"/>
          <w:szCs w:val="24"/>
        </w:rPr>
        <w:t xml:space="preserve"> months (</w:t>
      </w:r>
      <w:r w:rsidR="00B9549F">
        <w:rPr>
          <w:rFonts w:ascii="Times New Roman" w:hAnsi="Times New Roman" w:cs="Times New Roman"/>
          <w:color w:val="000000"/>
          <w:sz w:val="24"/>
          <w:szCs w:val="24"/>
        </w:rPr>
        <w:t xml:space="preserve">day </w:t>
      </w:r>
      <w:r w:rsidR="004D54F2" w:rsidRPr="00886F53">
        <w:rPr>
          <w:rFonts w:ascii="Times New Roman" w:hAnsi="Times New Roman" w:cs="Times New Roman"/>
          <w:color w:val="000000"/>
          <w:sz w:val="24"/>
          <w:szCs w:val="24"/>
        </w:rPr>
        <w:t xml:space="preserve">90), and once every </w:t>
      </w:r>
      <w:r w:rsidR="00EA599D">
        <w:rPr>
          <w:rFonts w:ascii="Times New Roman" w:hAnsi="Times New Roman" w:cs="Times New Roman"/>
          <w:color w:val="000000"/>
          <w:sz w:val="24"/>
          <w:szCs w:val="24"/>
        </w:rPr>
        <w:t>three</w:t>
      </w:r>
      <w:r w:rsidR="004D54F2" w:rsidRPr="00886F53">
        <w:rPr>
          <w:rFonts w:ascii="Times New Roman" w:hAnsi="Times New Roman" w:cs="Times New Roman"/>
          <w:color w:val="000000"/>
          <w:sz w:val="24"/>
          <w:szCs w:val="24"/>
        </w:rPr>
        <w:t xml:space="preserve"> months (90 d) thereafter, until </w:t>
      </w:r>
      <w:r w:rsidR="00EA599D">
        <w:rPr>
          <w:rFonts w:ascii="Times New Roman" w:hAnsi="Times New Roman" w:cs="Times New Roman"/>
          <w:color w:val="000000"/>
          <w:sz w:val="24"/>
          <w:szCs w:val="24"/>
        </w:rPr>
        <w:t>one</w:t>
      </w:r>
      <w:r w:rsidR="004D54F2" w:rsidRPr="00886F53">
        <w:rPr>
          <w:rFonts w:ascii="Times New Roman" w:hAnsi="Times New Roman" w:cs="Times New Roman"/>
          <w:color w:val="000000"/>
          <w:sz w:val="24"/>
          <w:szCs w:val="24"/>
        </w:rPr>
        <w:t xml:space="preserve"> year after the CT103A cell infusion. The subsequent tests will be performed as needed by the investigator according to clinical </w:t>
      </w:r>
      <w:r w:rsidR="006C6092" w:rsidRPr="00886F53">
        <w:rPr>
          <w:rFonts w:ascii="Times New Roman" w:hAnsi="Times New Roman" w:cs="Times New Roman"/>
          <w:color w:val="000000"/>
          <w:sz w:val="24"/>
          <w:szCs w:val="24"/>
        </w:rPr>
        <w:t>indications.</w:t>
      </w:r>
    </w:p>
    <w:p w14:paraId="5BD55FFE" w14:textId="3AEB99A0" w:rsidR="004D54F2" w:rsidRPr="00886F53" w:rsidRDefault="004D54F2" w:rsidP="0027517F">
      <w:pPr>
        <w:pStyle w:val="aff"/>
        <w:numPr>
          <w:ilvl w:val="3"/>
          <w:numId w:val="132"/>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Urinalysis: it will be measured at </w:t>
      </w:r>
      <w:r w:rsidR="00EA599D">
        <w:rPr>
          <w:rFonts w:ascii="Times New Roman" w:hAnsi="Times New Roman" w:cs="Times New Roman"/>
          <w:color w:val="000000"/>
          <w:sz w:val="24"/>
          <w:szCs w:val="24"/>
        </w:rPr>
        <w:t>two</w:t>
      </w:r>
      <w:r w:rsidRPr="00886F53">
        <w:rPr>
          <w:rFonts w:ascii="Times New Roman" w:hAnsi="Times New Roman" w:cs="Times New Roman"/>
          <w:color w:val="000000"/>
          <w:sz w:val="24"/>
          <w:szCs w:val="24"/>
        </w:rPr>
        <w:t xml:space="preserve"> months (</w:t>
      </w:r>
      <w:r w:rsidR="00B9549F">
        <w:rPr>
          <w:rFonts w:ascii="Times New Roman" w:hAnsi="Times New Roman" w:cs="Times New Roman"/>
          <w:color w:val="000000"/>
          <w:sz w:val="24"/>
          <w:szCs w:val="24"/>
        </w:rPr>
        <w:t xml:space="preserve">day </w:t>
      </w:r>
      <w:r w:rsidRPr="00886F53">
        <w:rPr>
          <w:rFonts w:ascii="Times New Roman" w:hAnsi="Times New Roman" w:cs="Times New Roman"/>
          <w:color w:val="000000"/>
          <w:sz w:val="24"/>
          <w:szCs w:val="24"/>
        </w:rPr>
        <w:t xml:space="preserve">60), </w:t>
      </w:r>
      <w:r w:rsidR="00EA599D">
        <w:rPr>
          <w:rFonts w:ascii="Times New Roman" w:hAnsi="Times New Roman" w:cs="Times New Roman"/>
          <w:color w:val="000000"/>
          <w:sz w:val="24"/>
          <w:szCs w:val="24"/>
        </w:rPr>
        <w:t>three</w:t>
      </w:r>
      <w:r w:rsidRPr="00886F53">
        <w:rPr>
          <w:rFonts w:ascii="Times New Roman" w:hAnsi="Times New Roman" w:cs="Times New Roman"/>
          <w:color w:val="000000"/>
          <w:sz w:val="24"/>
          <w:szCs w:val="24"/>
        </w:rPr>
        <w:t xml:space="preserve"> months (</w:t>
      </w:r>
      <w:r w:rsidR="00B9549F">
        <w:rPr>
          <w:rFonts w:ascii="Times New Roman" w:hAnsi="Times New Roman" w:cs="Times New Roman"/>
          <w:color w:val="000000"/>
          <w:sz w:val="24"/>
          <w:szCs w:val="24"/>
        </w:rPr>
        <w:t xml:space="preserve">day </w:t>
      </w:r>
      <w:r w:rsidRPr="00886F53">
        <w:rPr>
          <w:rFonts w:ascii="Times New Roman" w:hAnsi="Times New Roman" w:cs="Times New Roman"/>
          <w:color w:val="000000"/>
          <w:sz w:val="24"/>
          <w:szCs w:val="24"/>
        </w:rPr>
        <w:t xml:space="preserve">90), and once every </w:t>
      </w:r>
      <w:r w:rsidR="00EA599D">
        <w:rPr>
          <w:rFonts w:ascii="Times New Roman" w:hAnsi="Times New Roman" w:cs="Times New Roman"/>
          <w:color w:val="000000"/>
          <w:sz w:val="24"/>
          <w:szCs w:val="24"/>
        </w:rPr>
        <w:t>three</w:t>
      </w:r>
      <w:r w:rsidRPr="00886F53">
        <w:rPr>
          <w:rFonts w:ascii="Times New Roman" w:hAnsi="Times New Roman" w:cs="Times New Roman"/>
          <w:color w:val="000000"/>
          <w:sz w:val="24"/>
          <w:szCs w:val="24"/>
        </w:rPr>
        <w:t xml:space="preserve"> months (90 d) thereafter, until </w:t>
      </w:r>
      <w:r w:rsidR="00EA599D">
        <w:rPr>
          <w:rFonts w:ascii="Times New Roman" w:hAnsi="Times New Roman" w:cs="Times New Roman"/>
          <w:color w:val="000000"/>
          <w:sz w:val="24"/>
          <w:szCs w:val="24"/>
        </w:rPr>
        <w:t>one</w:t>
      </w:r>
      <w:r w:rsidRPr="00886F53">
        <w:rPr>
          <w:rFonts w:ascii="Times New Roman" w:hAnsi="Times New Roman" w:cs="Times New Roman"/>
          <w:color w:val="000000"/>
          <w:sz w:val="24"/>
          <w:szCs w:val="24"/>
        </w:rPr>
        <w:t xml:space="preserve"> year after the CT103A cell infusion. The subsequent tests will be performed as needed by the investigator according to clinical </w:t>
      </w:r>
      <w:r w:rsidR="006C6092" w:rsidRPr="00886F53">
        <w:rPr>
          <w:rFonts w:ascii="Times New Roman" w:hAnsi="Times New Roman" w:cs="Times New Roman"/>
          <w:color w:val="000000"/>
          <w:sz w:val="24"/>
          <w:szCs w:val="24"/>
        </w:rPr>
        <w:t>indications.</w:t>
      </w:r>
    </w:p>
    <w:p w14:paraId="23D0791A" w14:textId="04A79D32" w:rsidR="004D54F2" w:rsidRPr="00886F53" w:rsidRDefault="004D54F2" w:rsidP="0027517F">
      <w:pPr>
        <w:pStyle w:val="aff"/>
        <w:numPr>
          <w:ilvl w:val="3"/>
          <w:numId w:val="132"/>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Coagulation: it will be measured at </w:t>
      </w:r>
      <w:r w:rsidR="00EA599D">
        <w:rPr>
          <w:rFonts w:ascii="Times New Roman" w:hAnsi="Times New Roman" w:cs="Times New Roman"/>
          <w:color w:val="000000"/>
          <w:sz w:val="24"/>
          <w:szCs w:val="24"/>
        </w:rPr>
        <w:t>two</w:t>
      </w:r>
      <w:r w:rsidRPr="00886F53">
        <w:rPr>
          <w:rFonts w:ascii="Times New Roman" w:hAnsi="Times New Roman" w:cs="Times New Roman"/>
          <w:color w:val="000000"/>
          <w:sz w:val="24"/>
          <w:szCs w:val="24"/>
        </w:rPr>
        <w:t xml:space="preserve"> months (</w:t>
      </w:r>
      <w:r w:rsidR="00B9549F">
        <w:rPr>
          <w:rFonts w:ascii="Times New Roman" w:hAnsi="Times New Roman" w:cs="Times New Roman"/>
          <w:color w:val="000000"/>
          <w:sz w:val="24"/>
          <w:szCs w:val="24"/>
        </w:rPr>
        <w:t xml:space="preserve">day </w:t>
      </w:r>
      <w:r w:rsidR="00B9549F" w:rsidRPr="00886F53">
        <w:rPr>
          <w:rFonts w:ascii="Times New Roman" w:hAnsi="Times New Roman" w:cs="Times New Roman"/>
          <w:color w:val="000000"/>
          <w:sz w:val="24"/>
          <w:szCs w:val="24"/>
        </w:rPr>
        <w:t>60</w:t>
      </w:r>
      <w:r w:rsidRPr="00886F53">
        <w:rPr>
          <w:rFonts w:ascii="Times New Roman" w:hAnsi="Times New Roman" w:cs="Times New Roman"/>
          <w:color w:val="000000"/>
          <w:sz w:val="24"/>
          <w:szCs w:val="24"/>
        </w:rPr>
        <w:t xml:space="preserve">), </w:t>
      </w:r>
      <w:r w:rsidR="00EA599D">
        <w:rPr>
          <w:rFonts w:ascii="Times New Roman" w:hAnsi="Times New Roman" w:cs="Times New Roman"/>
          <w:color w:val="000000"/>
          <w:sz w:val="24"/>
          <w:szCs w:val="24"/>
        </w:rPr>
        <w:t>three</w:t>
      </w:r>
      <w:r w:rsidRPr="00886F53">
        <w:rPr>
          <w:rFonts w:ascii="Times New Roman" w:hAnsi="Times New Roman" w:cs="Times New Roman"/>
          <w:color w:val="000000"/>
          <w:sz w:val="24"/>
          <w:szCs w:val="24"/>
        </w:rPr>
        <w:t xml:space="preserve"> months (</w:t>
      </w:r>
      <w:r w:rsidR="00B9549F">
        <w:rPr>
          <w:rFonts w:ascii="Times New Roman" w:hAnsi="Times New Roman" w:cs="Times New Roman"/>
          <w:color w:val="000000"/>
          <w:sz w:val="24"/>
          <w:szCs w:val="24"/>
        </w:rPr>
        <w:t xml:space="preserve">day </w:t>
      </w:r>
      <w:r w:rsidR="00B9549F" w:rsidRPr="00886F53">
        <w:rPr>
          <w:rFonts w:ascii="Times New Roman" w:hAnsi="Times New Roman" w:cs="Times New Roman"/>
          <w:color w:val="000000"/>
          <w:sz w:val="24"/>
          <w:szCs w:val="24"/>
        </w:rPr>
        <w:t>90</w:t>
      </w:r>
      <w:r w:rsidRPr="00886F53">
        <w:rPr>
          <w:rFonts w:ascii="Times New Roman" w:hAnsi="Times New Roman" w:cs="Times New Roman"/>
          <w:color w:val="000000"/>
          <w:sz w:val="24"/>
          <w:szCs w:val="24"/>
        </w:rPr>
        <w:t xml:space="preserve">), and once every </w:t>
      </w:r>
      <w:r w:rsidR="00EA599D">
        <w:rPr>
          <w:rFonts w:ascii="Times New Roman" w:hAnsi="Times New Roman" w:cs="Times New Roman"/>
          <w:color w:val="000000"/>
          <w:sz w:val="24"/>
          <w:szCs w:val="24"/>
        </w:rPr>
        <w:t>three</w:t>
      </w:r>
      <w:r w:rsidRPr="00886F53">
        <w:rPr>
          <w:rFonts w:ascii="Times New Roman" w:hAnsi="Times New Roman" w:cs="Times New Roman"/>
          <w:color w:val="000000"/>
          <w:sz w:val="24"/>
          <w:szCs w:val="24"/>
        </w:rPr>
        <w:t xml:space="preserve"> months (90 d) thereafter, until </w:t>
      </w:r>
      <w:r w:rsidR="00EA599D">
        <w:rPr>
          <w:rFonts w:ascii="Times New Roman" w:hAnsi="Times New Roman" w:cs="Times New Roman"/>
          <w:color w:val="000000"/>
          <w:sz w:val="24"/>
          <w:szCs w:val="24"/>
        </w:rPr>
        <w:t>one</w:t>
      </w:r>
      <w:r w:rsidRPr="00886F53">
        <w:rPr>
          <w:rFonts w:ascii="Times New Roman" w:hAnsi="Times New Roman" w:cs="Times New Roman"/>
          <w:color w:val="000000"/>
          <w:sz w:val="24"/>
          <w:szCs w:val="24"/>
        </w:rPr>
        <w:t xml:space="preserve"> year after the CT103A cell infusion. The subsequent tests will be performed as needed by the investigator according to clinical </w:t>
      </w:r>
      <w:r w:rsidR="006C6092" w:rsidRPr="00886F53">
        <w:rPr>
          <w:rFonts w:ascii="Times New Roman" w:hAnsi="Times New Roman" w:cs="Times New Roman"/>
          <w:color w:val="000000"/>
          <w:sz w:val="24"/>
          <w:szCs w:val="24"/>
        </w:rPr>
        <w:t>indications.</w:t>
      </w:r>
    </w:p>
    <w:p w14:paraId="0FC2AE85" w14:textId="7FF3B0AB" w:rsidR="004D54F2" w:rsidRPr="00886F53" w:rsidRDefault="004D54F2" w:rsidP="0027517F">
      <w:pPr>
        <w:pStyle w:val="aff"/>
        <w:numPr>
          <w:ilvl w:val="3"/>
          <w:numId w:val="132"/>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Serum calcium and albumin corrected calcium: it will be measured at </w:t>
      </w:r>
      <w:r w:rsidR="00EA599D">
        <w:rPr>
          <w:rFonts w:ascii="Times New Roman" w:hAnsi="Times New Roman" w:cs="Times New Roman"/>
          <w:color w:val="000000"/>
          <w:sz w:val="24"/>
          <w:szCs w:val="24"/>
        </w:rPr>
        <w:t>two</w:t>
      </w:r>
      <w:r w:rsidRPr="00886F53">
        <w:rPr>
          <w:rFonts w:ascii="Times New Roman" w:hAnsi="Times New Roman" w:cs="Times New Roman"/>
          <w:color w:val="000000"/>
          <w:sz w:val="24"/>
          <w:szCs w:val="24"/>
        </w:rPr>
        <w:t xml:space="preserve"> months (</w:t>
      </w:r>
      <w:r w:rsidR="00B9549F">
        <w:rPr>
          <w:rFonts w:ascii="Times New Roman" w:hAnsi="Times New Roman" w:cs="Times New Roman"/>
          <w:color w:val="000000"/>
          <w:sz w:val="24"/>
          <w:szCs w:val="24"/>
        </w:rPr>
        <w:t>day 6</w:t>
      </w:r>
      <w:r w:rsidR="00B9549F" w:rsidRPr="00886F53">
        <w:rPr>
          <w:rFonts w:ascii="Times New Roman" w:hAnsi="Times New Roman" w:cs="Times New Roman"/>
          <w:color w:val="000000"/>
          <w:sz w:val="24"/>
          <w:szCs w:val="24"/>
        </w:rPr>
        <w:t>0</w:t>
      </w:r>
      <w:r w:rsidRPr="00886F53">
        <w:rPr>
          <w:rFonts w:ascii="Times New Roman" w:hAnsi="Times New Roman" w:cs="Times New Roman"/>
          <w:color w:val="000000"/>
          <w:sz w:val="24"/>
          <w:szCs w:val="24"/>
        </w:rPr>
        <w:t xml:space="preserve">), </w:t>
      </w:r>
      <w:r w:rsidR="00EA599D">
        <w:rPr>
          <w:rFonts w:ascii="Times New Roman" w:hAnsi="Times New Roman" w:cs="Times New Roman"/>
          <w:color w:val="000000"/>
          <w:sz w:val="24"/>
          <w:szCs w:val="24"/>
        </w:rPr>
        <w:t>three</w:t>
      </w:r>
      <w:r w:rsidRPr="00886F53">
        <w:rPr>
          <w:rFonts w:ascii="Times New Roman" w:hAnsi="Times New Roman" w:cs="Times New Roman"/>
          <w:color w:val="000000"/>
          <w:sz w:val="24"/>
          <w:szCs w:val="24"/>
        </w:rPr>
        <w:t xml:space="preserve"> months (</w:t>
      </w:r>
      <w:r w:rsidR="00B9549F">
        <w:rPr>
          <w:rFonts w:ascii="Times New Roman" w:hAnsi="Times New Roman" w:cs="Times New Roman"/>
          <w:color w:val="000000"/>
          <w:sz w:val="24"/>
          <w:szCs w:val="24"/>
        </w:rPr>
        <w:t xml:space="preserve">day </w:t>
      </w:r>
      <w:r w:rsidR="00B9549F" w:rsidRPr="00886F53">
        <w:rPr>
          <w:rFonts w:ascii="Times New Roman" w:hAnsi="Times New Roman" w:cs="Times New Roman"/>
          <w:color w:val="000000"/>
          <w:sz w:val="24"/>
          <w:szCs w:val="24"/>
        </w:rPr>
        <w:t>90</w:t>
      </w:r>
      <w:r w:rsidRPr="00886F53">
        <w:rPr>
          <w:rFonts w:ascii="Times New Roman" w:hAnsi="Times New Roman" w:cs="Times New Roman"/>
          <w:color w:val="000000"/>
          <w:sz w:val="24"/>
          <w:szCs w:val="24"/>
        </w:rPr>
        <w:t xml:space="preserve">), and once every </w:t>
      </w:r>
      <w:r w:rsidR="00EA599D">
        <w:rPr>
          <w:rFonts w:ascii="Times New Roman" w:hAnsi="Times New Roman" w:cs="Times New Roman"/>
          <w:color w:val="000000"/>
          <w:sz w:val="24"/>
          <w:szCs w:val="24"/>
        </w:rPr>
        <w:t>three</w:t>
      </w:r>
      <w:r w:rsidRPr="00886F53">
        <w:rPr>
          <w:rFonts w:ascii="Times New Roman" w:hAnsi="Times New Roman" w:cs="Times New Roman"/>
          <w:color w:val="000000"/>
          <w:sz w:val="24"/>
          <w:szCs w:val="24"/>
        </w:rPr>
        <w:t xml:space="preserve"> months (90 d) thereafter until out</w:t>
      </w:r>
      <w:r w:rsidR="00EA599D">
        <w:rPr>
          <w:rFonts w:ascii="Times New Roman" w:hAnsi="Times New Roman" w:cs="Times New Roman"/>
          <w:color w:val="000000"/>
          <w:sz w:val="24"/>
          <w:szCs w:val="24"/>
        </w:rPr>
        <w:t>-</w:t>
      </w:r>
      <w:r w:rsidRPr="00886F53">
        <w:rPr>
          <w:rFonts w:ascii="Times New Roman" w:hAnsi="Times New Roman" w:cs="Times New Roman"/>
          <w:color w:val="000000"/>
          <w:sz w:val="24"/>
          <w:szCs w:val="24"/>
        </w:rPr>
        <w:t>of</w:t>
      </w:r>
      <w:r w:rsidR="00EA599D">
        <w:rPr>
          <w:rFonts w:ascii="Times New Roman" w:hAnsi="Times New Roman" w:cs="Times New Roman"/>
          <w:color w:val="000000"/>
          <w:sz w:val="24"/>
          <w:szCs w:val="24"/>
        </w:rPr>
        <w:t>-</w:t>
      </w:r>
      <w:r w:rsidRPr="00886F53">
        <w:rPr>
          <w:rFonts w:ascii="Times New Roman" w:hAnsi="Times New Roman" w:cs="Times New Roman"/>
          <w:color w:val="000000"/>
          <w:sz w:val="24"/>
          <w:szCs w:val="24"/>
        </w:rPr>
        <w:t xml:space="preserve">study </w:t>
      </w:r>
      <w:r w:rsidR="006C6092" w:rsidRPr="00886F53">
        <w:rPr>
          <w:rFonts w:ascii="Times New Roman" w:hAnsi="Times New Roman" w:cs="Times New Roman"/>
          <w:color w:val="000000"/>
          <w:sz w:val="24"/>
          <w:szCs w:val="24"/>
        </w:rPr>
        <w:t>visit.</w:t>
      </w:r>
    </w:p>
    <w:p w14:paraId="3AADD026" w14:textId="7742E8E9" w:rsidR="004D54F2" w:rsidRPr="00886F53" w:rsidRDefault="004D54F2" w:rsidP="0027517F">
      <w:pPr>
        <w:pStyle w:val="aff"/>
        <w:numPr>
          <w:ilvl w:val="3"/>
          <w:numId w:val="132"/>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lastRenderedPageBreak/>
        <w:t xml:space="preserve">Inflammatory factors: </w:t>
      </w:r>
      <w:r w:rsidR="00EA599D">
        <w:rPr>
          <w:rFonts w:ascii="Times New Roman" w:hAnsi="Times New Roman" w:cs="Times New Roman"/>
          <w:color w:val="000000"/>
          <w:sz w:val="24"/>
          <w:szCs w:val="24"/>
        </w:rPr>
        <w:t>two</w:t>
      </w:r>
      <w:r w:rsidRPr="00886F53">
        <w:rPr>
          <w:rFonts w:ascii="Times New Roman" w:hAnsi="Times New Roman" w:cs="Times New Roman"/>
          <w:color w:val="000000"/>
          <w:sz w:val="24"/>
          <w:szCs w:val="24"/>
        </w:rPr>
        <w:t xml:space="preserve"> months (</w:t>
      </w:r>
      <w:r w:rsidR="001A7E0E">
        <w:rPr>
          <w:rFonts w:ascii="Times New Roman" w:hAnsi="Times New Roman" w:cs="Times New Roman"/>
          <w:color w:val="000000"/>
          <w:sz w:val="24"/>
          <w:szCs w:val="24"/>
        </w:rPr>
        <w:t xml:space="preserve">day </w:t>
      </w:r>
      <w:r w:rsidRPr="00886F53">
        <w:rPr>
          <w:rFonts w:ascii="Times New Roman" w:hAnsi="Times New Roman" w:cs="Times New Roman"/>
          <w:color w:val="000000"/>
          <w:sz w:val="24"/>
          <w:szCs w:val="24"/>
        </w:rPr>
        <w:t xml:space="preserve">60), </w:t>
      </w:r>
      <w:r w:rsidR="00EA599D">
        <w:rPr>
          <w:rFonts w:ascii="Times New Roman" w:hAnsi="Times New Roman" w:cs="Times New Roman"/>
          <w:color w:val="000000"/>
          <w:sz w:val="24"/>
          <w:szCs w:val="24"/>
        </w:rPr>
        <w:t>three</w:t>
      </w:r>
      <w:r w:rsidRPr="00886F53">
        <w:rPr>
          <w:rFonts w:ascii="Times New Roman" w:hAnsi="Times New Roman" w:cs="Times New Roman"/>
          <w:color w:val="000000"/>
          <w:sz w:val="24"/>
          <w:szCs w:val="24"/>
        </w:rPr>
        <w:t xml:space="preserve"> months (</w:t>
      </w:r>
      <w:r w:rsidR="001A7E0E">
        <w:rPr>
          <w:rFonts w:ascii="Times New Roman" w:hAnsi="Times New Roman" w:cs="Times New Roman"/>
          <w:color w:val="000000"/>
          <w:sz w:val="24"/>
          <w:szCs w:val="24"/>
        </w:rPr>
        <w:t xml:space="preserve">day </w:t>
      </w:r>
      <w:r w:rsidRPr="00886F53">
        <w:rPr>
          <w:rFonts w:ascii="Times New Roman" w:hAnsi="Times New Roman" w:cs="Times New Roman"/>
          <w:color w:val="000000"/>
          <w:sz w:val="24"/>
          <w:szCs w:val="24"/>
        </w:rPr>
        <w:t>90);</w:t>
      </w:r>
    </w:p>
    <w:p w14:paraId="3917259C" w14:textId="05680A19" w:rsidR="004D54F2" w:rsidRPr="00886F53" w:rsidRDefault="004D54F2" w:rsidP="0027517F">
      <w:pPr>
        <w:pStyle w:val="aff"/>
        <w:numPr>
          <w:ilvl w:val="3"/>
          <w:numId w:val="132"/>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Peripheral blood smear test: it will be performed at </w:t>
      </w:r>
      <w:r w:rsidR="00EA599D">
        <w:rPr>
          <w:rFonts w:ascii="Times New Roman" w:hAnsi="Times New Roman" w:cs="Times New Roman"/>
          <w:color w:val="000000"/>
          <w:sz w:val="24"/>
          <w:szCs w:val="24"/>
        </w:rPr>
        <w:t>two</w:t>
      </w:r>
      <w:r w:rsidRPr="00886F53">
        <w:rPr>
          <w:rFonts w:ascii="Times New Roman" w:hAnsi="Times New Roman" w:cs="Times New Roman"/>
          <w:color w:val="000000"/>
          <w:sz w:val="24"/>
          <w:szCs w:val="24"/>
        </w:rPr>
        <w:t xml:space="preserve"> months (</w:t>
      </w:r>
      <w:r w:rsidR="001A7E0E">
        <w:rPr>
          <w:rFonts w:ascii="Times New Roman" w:hAnsi="Times New Roman" w:cs="Times New Roman"/>
          <w:color w:val="000000"/>
          <w:sz w:val="24"/>
          <w:szCs w:val="24"/>
        </w:rPr>
        <w:t xml:space="preserve">day </w:t>
      </w:r>
      <w:r w:rsidRPr="00886F53">
        <w:rPr>
          <w:rFonts w:ascii="Times New Roman" w:hAnsi="Times New Roman" w:cs="Times New Roman"/>
          <w:color w:val="000000"/>
          <w:sz w:val="24"/>
          <w:szCs w:val="24"/>
        </w:rPr>
        <w:t xml:space="preserve">60), </w:t>
      </w:r>
      <w:r w:rsidR="00EA599D">
        <w:rPr>
          <w:rFonts w:ascii="Times New Roman" w:hAnsi="Times New Roman" w:cs="Times New Roman"/>
          <w:color w:val="000000"/>
          <w:sz w:val="24"/>
          <w:szCs w:val="24"/>
        </w:rPr>
        <w:t>three</w:t>
      </w:r>
      <w:r w:rsidRPr="00886F53">
        <w:rPr>
          <w:rFonts w:ascii="Times New Roman" w:hAnsi="Times New Roman" w:cs="Times New Roman"/>
          <w:color w:val="000000"/>
          <w:sz w:val="24"/>
          <w:szCs w:val="24"/>
        </w:rPr>
        <w:t xml:space="preserve"> months (</w:t>
      </w:r>
      <w:r w:rsidR="001A7E0E">
        <w:rPr>
          <w:rFonts w:ascii="Times New Roman" w:hAnsi="Times New Roman" w:cs="Times New Roman"/>
          <w:color w:val="000000"/>
          <w:sz w:val="24"/>
          <w:szCs w:val="24"/>
        </w:rPr>
        <w:t xml:space="preserve">day </w:t>
      </w:r>
      <w:r w:rsidRPr="00886F53">
        <w:rPr>
          <w:rFonts w:ascii="Times New Roman" w:hAnsi="Times New Roman" w:cs="Times New Roman"/>
          <w:color w:val="000000"/>
          <w:sz w:val="24"/>
          <w:szCs w:val="24"/>
        </w:rPr>
        <w:t xml:space="preserve">90), and once every </w:t>
      </w:r>
      <w:r w:rsidR="00EA599D">
        <w:rPr>
          <w:rFonts w:ascii="Times New Roman" w:hAnsi="Times New Roman" w:cs="Times New Roman"/>
          <w:color w:val="000000"/>
          <w:sz w:val="24"/>
          <w:szCs w:val="24"/>
        </w:rPr>
        <w:t>three</w:t>
      </w:r>
      <w:r w:rsidRPr="00886F53">
        <w:rPr>
          <w:rFonts w:ascii="Times New Roman" w:hAnsi="Times New Roman" w:cs="Times New Roman"/>
          <w:color w:val="000000"/>
          <w:sz w:val="24"/>
          <w:szCs w:val="24"/>
        </w:rPr>
        <w:t xml:space="preserve"> months (90 d) thereafter until out of study visit; 24</w:t>
      </w:r>
      <w:r w:rsidR="0048556E">
        <w:rPr>
          <w:rFonts w:ascii="Times New Roman" w:hAnsi="Times New Roman" w:cs="Times New Roman"/>
          <w:color w:val="000000"/>
          <w:sz w:val="24"/>
          <w:szCs w:val="24"/>
        </w:rPr>
        <w:t> </w:t>
      </w:r>
      <w:r w:rsidRPr="00886F53">
        <w:rPr>
          <w:rFonts w:ascii="Times New Roman" w:hAnsi="Times New Roman" w:cs="Times New Roman"/>
          <w:color w:val="000000"/>
          <w:sz w:val="24"/>
          <w:szCs w:val="24"/>
        </w:rPr>
        <w:t>months (720 d</w:t>
      </w:r>
      <w:r w:rsidR="006C6092" w:rsidRPr="00886F53">
        <w:rPr>
          <w:rFonts w:ascii="Times New Roman" w:hAnsi="Times New Roman" w:cs="Times New Roman"/>
          <w:color w:val="000000"/>
          <w:sz w:val="24"/>
          <w:szCs w:val="24"/>
        </w:rPr>
        <w:t>).</w:t>
      </w:r>
    </w:p>
    <w:p w14:paraId="480AA96A" w14:textId="1F890B6C" w:rsidR="004D54F2" w:rsidRPr="00886F53" w:rsidRDefault="004D54F2" w:rsidP="0027517F">
      <w:pPr>
        <w:pStyle w:val="aff"/>
        <w:numPr>
          <w:ilvl w:val="3"/>
          <w:numId w:val="132"/>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β2-microglobulin test: it will be performed at </w:t>
      </w:r>
      <w:r w:rsidR="00EA599D">
        <w:rPr>
          <w:rFonts w:ascii="Times New Roman" w:hAnsi="Times New Roman" w:cs="Times New Roman"/>
          <w:color w:val="000000"/>
          <w:sz w:val="24"/>
          <w:szCs w:val="24"/>
        </w:rPr>
        <w:t>two</w:t>
      </w:r>
      <w:r w:rsidRPr="00886F53">
        <w:rPr>
          <w:rFonts w:ascii="Times New Roman" w:hAnsi="Times New Roman" w:cs="Times New Roman"/>
          <w:color w:val="000000"/>
          <w:sz w:val="24"/>
          <w:szCs w:val="24"/>
        </w:rPr>
        <w:t xml:space="preserve"> months (</w:t>
      </w:r>
      <w:r w:rsidR="001A7E0E">
        <w:rPr>
          <w:rFonts w:ascii="Times New Roman" w:hAnsi="Times New Roman" w:cs="Times New Roman"/>
          <w:color w:val="000000"/>
          <w:sz w:val="24"/>
          <w:szCs w:val="24"/>
        </w:rPr>
        <w:t xml:space="preserve">day </w:t>
      </w:r>
      <w:r w:rsidRPr="00886F53">
        <w:rPr>
          <w:rFonts w:ascii="Times New Roman" w:hAnsi="Times New Roman" w:cs="Times New Roman"/>
          <w:color w:val="000000"/>
          <w:sz w:val="24"/>
          <w:szCs w:val="24"/>
        </w:rPr>
        <w:t xml:space="preserve">60), </w:t>
      </w:r>
      <w:r w:rsidR="00EA599D">
        <w:rPr>
          <w:rFonts w:ascii="Times New Roman" w:hAnsi="Times New Roman" w:cs="Times New Roman"/>
          <w:color w:val="000000"/>
          <w:sz w:val="24"/>
          <w:szCs w:val="24"/>
        </w:rPr>
        <w:t>three</w:t>
      </w:r>
      <w:r w:rsidRPr="00886F53">
        <w:rPr>
          <w:rFonts w:ascii="Times New Roman" w:hAnsi="Times New Roman" w:cs="Times New Roman"/>
          <w:color w:val="000000"/>
          <w:sz w:val="24"/>
          <w:szCs w:val="24"/>
        </w:rPr>
        <w:t xml:space="preserve"> months (</w:t>
      </w:r>
      <w:r w:rsidR="001A7E0E">
        <w:rPr>
          <w:rFonts w:ascii="Times New Roman" w:hAnsi="Times New Roman" w:cs="Times New Roman"/>
          <w:color w:val="000000"/>
          <w:sz w:val="24"/>
          <w:szCs w:val="24"/>
        </w:rPr>
        <w:t xml:space="preserve">day </w:t>
      </w:r>
      <w:r w:rsidRPr="00886F53">
        <w:rPr>
          <w:rFonts w:ascii="Times New Roman" w:hAnsi="Times New Roman" w:cs="Times New Roman"/>
          <w:color w:val="000000"/>
          <w:sz w:val="24"/>
          <w:szCs w:val="24"/>
        </w:rPr>
        <w:t xml:space="preserve">90), and once every </w:t>
      </w:r>
      <w:r w:rsidR="00EA599D">
        <w:rPr>
          <w:rFonts w:ascii="Times New Roman" w:hAnsi="Times New Roman" w:cs="Times New Roman"/>
          <w:color w:val="000000"/>
          <w:sz w:val="24"/>
          <w:szCs w:val="24"/>
        </w:rPr>
        <w:t>three</w:t>
      </w:r>
      <w:r w:rsidRPr="00886F53">
        <w:rPr>
          <w:rFonts w:ascii="Times New Roman" w:hAnsi="Times New Roman" w:cs="Times New Roman"/>
          <w:color w:val="000000"/>
          <w:sz w:val="24"/>
          <w:szCs w:val="24"/>
        </w:rPr>
        <w:t xml:space="preserve"> months (90 d) thereafter until out</w:t>
      </w:r>
      <w:r w:rsidR="00EA599D">
        <w:rPr>
          <w:rFonts w:ascii="Times New Roman" w:hAnsi="Times New Roman" w:cs="Times New Roman"/>
          <w:color w:val="000000"/>
          <w:sz w:val="24"/>
          <w:szCs w:val="24"/>
        </w:rPr>
        <w:t>-</w:t>
      </w:r>
      <w:r w:rsidRPr="00886F53">
        <w:rPr>
          <w:rFonts w:ascii="Times New Roman" w:hAnsi="Times New Roman" w:cs="Times New Roman"/>
          <w:color w:val="000000"/>
          <w:sz w:val="24"/>
          <w:szCs w:val="24"/>
        </w:rPr>
        <w:t>of</w:t>
      </w:r>
      <w:r w:rsidR="00EA599D">
        <w:rPr>
          <w:rFonts w:ascii="Times New Roman" w:hAnsi="Times New Roman" w:cs="Times New Roman"/>
          <w:color w:val="000000"/>
          <w:sz w:val="24"/>
          <w:szCs w:val="24"/>
        </w:rPr>
        <w:t>-</w:t>
      </w:r>
      <w:r w:rsidRPr="00886F53">
        <w:rPr>
          <w:rFonts w:ascii="Times New Roman" w:hAnsi="Times New Roman" w:cs="Times New Roman"/>
          <w:color w:val="000000"/>
          <w:sz w:val="24"/>
          <w:szCs w:val="24"/>
        </w:rPr>
        <w:t xml:space="preserve">study </w:t>
      </w:r>
      <w:r w:rsidR="006C6092" w:rsidRPr="00886F53">
        <w:rPr>
          <w:rFonts w:ascii="Times New Roman" w:hAnsi="Times New Roman" w:cs="Times New Roman"/>
          <w:color w:val="000000"/>
          <w:sz w:val="24"/>
          <w:szCs w:val="24"/>
        </w:rPr>
        <w:t>visit.</w:t>
      </w:r>
    </w:p>
    <w:p w14:paraId="5C1215E2" w14:textId="2AFBB8DF" w:rsidR="004D54F2" w:rsidRPr="00886F53" w:rsidRDefault="004D54F2" w:rsidP="0027517F">
      <w:pPr>
        <w:pStyle w:val="aff"/>
        <w:numPr>
          <w:ilvl w:val="3"/>
          <w:numId w:val="132"/>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Quantification of serum immunoglobulin: it will be tested at </w:t>
      </w:r>
      <w:r w:rsidR="00EA599D">
        <w:rPr>
          <w:rFonts w:ascii="Times New Roman" w:hAnsi="Times New Roman" w:cs="Times New Roman"/>
          <w:color w:val="000000"/>
          <w:sz w:val="24"/>
          <w:szCs w:val="24"/>
        </w:rPr>
        <w:t>two</w:t>
      </w:r>
      <w:r w:rsidRPr="00886F53">
        <w:rPr>
          <w:rFonts w:ascii="Times New Roman" w:hAnsi="Times New Roman" w:cs="Times New Roman"/>
          <w:color w:val="000000"/>
          <w:sz w:val="24"/>
          <w:szCs w:val="24"/>
        </w:rPr>
        <w:t xml:space="preserve"> months (</w:t>
      </w:r>
      <w:r w:rsidR="001A7E0E">
        <w:rPr>
          <w:rFonts w:ascii="Times New Roman" w:hAnsi="Times New Roman" w:cs="Times New Roman"/>
          <w:color w:val="000000"/>
          <w:sz w:val="24"/>
          <w:szCs w:val="24"/>
        </w:rPr>
        <w:t>day 60</w:t>
      </w:r>
      <w:r w:rsidRPr="00886F53">
        <w:rPr>
          <w:rFonts w:ascii="Times New Roman" w:hAnsi="Times New Roman" w:cs="Times New Roman"/>
          <w:color w:val="000000"/>
          <w:sz w:val="24"/>
          <w:szCs w:val="24"/>
        </w:rPr>
        <w:t xml:space="preserve">), </w:t>
      </w:r>
      <w:r w:rsidR="00EA599D">
        <w:rPr>
          <w:rFonts w:ascii="Times New Roman" w:hAnsi="Times New Roman" w:cs="Times New Roman"/>
          <w:color w:val="000000"/>
          <w:sz w:val="24"/>
          <w:szCs w:val="24"/>
        </w:rPr>
        <w:t>three</w:t>
      </w:r>
      <w:r w:rsidR="0048556E">
        <w:rPr>
          <w:rFonts w:ascii="Times New Roman" w:hAnsi="Times New Roman" w:cs="Times New Roman"/>
          <w:color w:val="000000"/>
          <w:sz w:val="24"/>
          <w:szCs w:val="24"/>
        </w:rPr>
        <w:t> </w:t>
      </w:r>
      <w:r w:rsidRPr="00886F53">
        <w:rPr>
          <w:rFonts w:ascii="Times New Roman" w:hAnsi="Times New Roman" w:cs="Times New Roman"/>
          <w:color w:val="000000"/>
          <w:sz w:val="24"/>
          <w:szCs w:val="24"/>
        </w:rPr>
        <w:t>months (</w:t>
      </w:r>
      <w:r w:rsidR="001A7E0E">
        <w:rPr>
          <w:rFonts w:ascii="Times New Roman" w:hAnsi="Times New Roman" w:cs="Times New Roman"/>
          <w:color w:val="000000"/>
          <w:sz w:val="24"/>
          <w:szCs w:val="24"/>
        </w:rPr>
        <w:t>day 90</w:t>
      </w:r>
      <w:r w:rsidRPr="00886F53">
        <w:rPr>
          <w:rFonts w:ascii="Times New Roman" w:hAnsi="Times New Roman" w:cs="Times New Roman"/>
          <w:color w:val="000000"/>
          <w:sz w:val="24"/>
          <w:szCs w:val="24"/>
        </w:rPr>
        <w:t xml:space="preserve">), and once every </w:t>
      </w:r>
      <w:r w:rsidR="00EA599D">
        <w:rPr>
          <w:rFonts w:ascii="Times New Roman" w:hAnsi="Times New Roman" w:cs="Times New Roman"/>
          <w:color w:val="000000"/>
          <w:sz w:val="24"/>
          <w:szCs w:val="24"/>
        </w:rPr>
        <w:t>three</w:t>
      </w:r>
      <w:r w:rsidRPr="00886F53">
        <w:rPr>
          <w:rFonts w:ascii="Times New Roman" w:hAnsi="Times New Roman" w:cs="Times New Roman"/>
          <w:color w:val="000000"/>
          <w:sz w:val="24"/>
          <w:szCs w:val="24"/>
        </w:rPr>
        <w:t xml:space="preserve"> months (90 d) thereafter until out</w:t>
      </w:r>
      <w:r w:rsidR="00EA599D">
        <w:rPr>
          <w:rFonts w:ascii="Times New Roman" w:hAnsi="Times New Roman" w:cs="Times New Roman"/>
          <w:color w:val="000000"/>
          <w:sz w:val="24"/>
          <w:szCs w:val="24"/>
        </w:rPr>
        <w:t>-</w:t>
      </w:r>
      <w:r w:rsidRPr="00886F53">
        <w:rPr>
          <w:rFonts w:ascii="Times New Roman" w:hAnsi="Times New Roman" w:cs="Times New Roman"/>
          <w:color w:val="000000"/>
          <w:sz w:val="24"/>
          <w:szCs w:val="24"/>
        </w:rPr>
        <w:t>of</w:t>
      </w:r>
      <w:r w:rsidR="00EA599D">
        <w:rPr>
          <w:rFonts w:ascii="Times New Roman" w:hAnsi="Times New Roman" w:cs="Times New Roman"/>
          <w:color w:val="000000"/>
          <w:sz w:val="24"/>
          <w:szCs w:val="24"/>
        </w:rPr>
        <w:t>-</w:t>
      </w:r>
      <w:r w:rsidRPr="00886F53">
        <w:rPr>
          <w:rFonts w:ascii="Times New Roman" w:hAnsi="Times New Roman" w:cs="Times New Roman"/>
          <w:color w:val="000000"/>
          <w:sz w:val="24"/>
          <w:szCs w:val="24"/>
        </w:rPr>
        <w:t xml:space="preserve">study </w:t>
      </w:r>
      <w:r w:rsidR="006C6092" w:rsidRPr="00886F53">
        <w:rPr>
          <w:rFonts w:ascii="Times New Roman" w:hAnsi="Times New Roman" w:cs="Times New Roman"/>
          <w:color w:val="000000"/>
          <w:sz w:val="24"/>
          <w:szCs w:val="24"/>
        </w:rPr>
        <w:t>visit.</w:t>
      </w:r>
    </w:p>
    <w:p w14:paraId="3CDE58CB" w14:textId="3D097991" w:rsidR="004D54F2" w:rsidRPr="00886F53" w:rsidRDefault="004D54F2" w:rsidP="0027517F">
      <w:pPr>
        <w:pStyle w:val="aff"/>
        <w:numPr>
          <w:ilvl w:val="3"/>
          <w:numId w:val="132"/>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Quantification of serum free light chain: it will be tested at </w:t>
      </w:r>
      <w:r w:rsidR="00EA599D">
        <w:rPr>
          <w:rFonts w:ascii="Times New Roman" w:hAnsi="Times New Roman" w:cs="Times New Roman"/>
          <w:color w:val="000000"/>
          <w:sz w:val="24"/>
          <w:szCs w:val="24"/>
        </w:rPr>
        <w:t>two</w:t>
      </w:r>
      <w:r w:rsidRPr="00886F53">
        <w:rPr>
          <w:rFonts w:ascii="Times New Roman" w:hAnsi="Times New Roman" w:cs="Times New Roman"/>
          <w:color w:val="000000"/>
          <w:sz w:val="24"/>
          <w:szCs w:val="24"/>
        </w:rPr>
        <w:t xml:space="preserve"> months (</w:t>
      </w:r>
      <w:r w:rsidR="001A7E0E">
        <w:rPr>
          <w:rFonts w:ascii="Times New Roman" w:hAnsi="Times New Roman" w:cs="Times New Roman"/>
          <w:color w:val="000000"/>
          <w:sz w:val="24"/>
          <w:szCs w:val="24"/>
        </w:rPr>
        <w:t>day 60</w:t>
      </w:r>
      <w:r w:rsidRPr="00886F53">
        <w:rPr>
          <w:rFonts w:ascii="Times New Roman" w:hAnsi="Times New Roman" w:cs="Times New Roman"/>
          <w:color w:val="000000"/>
          <w:sz w:val="24"/>
          <w:szCs w:val="24"/>
        </w:rPr>
        <w:t xml:space="preserve">), </w:t>
      </w:r>
      <w:r w:rsidR="00EA599D">
        <w:rPr>
          <w:rFonts w:ascii="Times New Roman" w:hAnsi="Times New Roman" w:cs="Times New Roman"/>
          <w:color w:val="000000"/>
          <w:sz w:val="24"/>
          <w:szCs w:val="24"/>
        </w:rPr>
        <w:t>three</w:t>
      </w:r>
      <w:r w:rsidR="0048556E">
        <w:rPr>
          <w:rFonts w:ascii="Times New Roman" w:hAnsi="Times New Roman" w:cs="Times New Roman"/>
          <w:color w:val="000000"/>
          <w:sz w:val="24"/>
          <w:szCs w:val="24"/>
        </w:rPr>
        <w:t> </w:t>
      </w:r>
      <w:r w:rsidRPr="00886F53">
        <w:rPr>
          <w:rFonts w:ascii="Times New Roman" w:hAnsi="Times New Roman" w:cs="Times New Roman"/>
          <w:color w:val="000000"/>
          <w:sz w:val="24"/>
          <w:szCs w:val="24"/>
        </w:rPr>
        <w:t>months (</w:t>
      </w:r>
      <w:r w:rsidR="001A7E0E">
        <w:rPr>
          <w:rFonts w:ascii="Times New Roman" w:hAnsi="Times New Roman" w:cs="Times New Roman"/>
          <w:color w:val="000000"/>
          <w:sz w:val="24"/>
          <w:szCs w:val="24"/>
        </w:rPr>
        <w:t>day 90</w:t>
      </w:r>
      <w:r w:rsidRPr="00886F53">
        <w:rPr>
          <w:rFonts w:ascii="Times New Roman" w:hAnsi="Times New Roman" w:cs="Times New Roman"/>
          <w:color w:val="000000"/>
          <w:sz w:val="24"/>
          <w:szCs w:val="24"/>
        </w:rPr>
        <w:t xml:space="preserve">), and once every </w:t>
      </w:r>
      <w:r w:rsidR="00EA599D">
        <w:rPr>
          <w:rFonts w:ascii="Times New Roman" w:hAnsi="Times New Roman" w:cs="Times New Roman"/>
          <w:color w:val="000000"/>
          <w:sz w:val="24"/>
          <w:szCs w:val="24"/>
        </w:rPr>
        <w:t>three</w:t>
      </w:r>
      <w:r w:rsidRPr="00886F53">
        <w:rPr>
          <w:rFonts w:ascii="Times New Roman" w:hAnsi="Times New Roman" w:cs="Times New Roman"/>
          <w:color w:val="000000"/>
          <w:sz w:val="24"/>
          <w:szCs w:val="24"/>
        </w:rPr>
        <w:t xml:space="preserve"> months (90 d) thereafter until out</w:t>
      </w:r>
      <w:r w:rsidR="00EA599D">
        <w:rPr>
          <w:rFonts w:ascii="Times New Roman" w:hAnsi="Times New Roman" w:cs="Times New Roman"/>
          <w:color w:val="000000"/>
          <w:sz w:val="24"/>
          <w:szCs w:val="24"/>
        </w:rPr>
        <w:t>-</w:t>
      </w:r>
      <w:r w:rsidRPr="00886F53">
        <w:rPr>
          <w:rFonts w:ascii="Times New Roman" w:hAnsi="Times New Roman" w:cs="Times New Roman"/>
          <w:color w:val="000000"/>
          <w:sz w:val="24"/>
          <w:szCs w:val="24"/>
        </w:rPr>
        <w:t>of</w:t>
      </w:r>
      <w:r w:rsidR="00EA599D">
        <w:rPr>
          <w:rFonts w:ascii="Times New Roman" w:hAnsi="Times New Roman" w:cs="Times New Roman"/>
          <w:color w:val="000000"/>
          <w:sz w:val="24"/>
          <w:szCs w:val="24"/>
        </w:rPr>
        <w:t>-</w:t>
      </w:r>
      <w:r w:rsidRPr="00886F53">
        <w:rPr>
          <w:rFonts w:ascii="Times New Roman" w:hAnsi="Times New Roman" w:cs="Times New Roman"/>
          <w:color w:val="000000"/>
          <w:sz w:val="24"/>
          <w:szCs w:val="24"/>
        </w:rPr>
        <w:t xml:space="preserve">study </w:t>
      </w:r>
      <w:r w:rsidR="006C6092" w:rsidRPr="00886F53">
        <w:rPr>
          <w:rFonts w:ascii="Times New Roman" w:hAnsi="Times New Roman" w:cs="Times New Roman"/>
          <w:color w:val="000000"/>
          <w:sz w:val="24"/>
          <w:szCs w:val="24"/>
        </w:rPr>
        <w:t>visit.</w:t>
      </w:r>
    </w:p>
    <w:p w14:paraId="3901277B" w14:textId="6B522F37" w:rsidR="004D54F2" w:rsidRPr="00886F53" w:rsidRDefault="004D54F2" w:rsidP="0027517F">
      <w:pPr>
        <w:pStyle w:val="aff"/>
        <w:numPr>
          <w:ilvl w:val="3"/>
          <w:numId w:val="132"/>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Serum protein electrophoresis: it will be performed at </w:t>
      </w:r>
      <w:r w:rsidR="00EA599D">
        <w:rPr>
          <w:rFonts w:ascii="Times New Roman" w:hAnsi="Times New Roman" w:cs="Times New Roman"/>
          <w:color w:val="000000"/>
          <w:sz w:val="24"/>
          <w:szCs w:val="24"/>
        </w:rPr>
        <w:t>two</w:t>
      </w:r>
      <w:r w:rsidRPr="00886F53">
        <w:rPr>
          <w:rFonts w:ascii="Times New Roman" w:hAnsi="Times New Roman" w:cs="Times New Roman"/>
          <w:color w:val="000000"/>
          <w:sz w:val="24"/>
          <w:szCs w:val="24"/>
        </w:rPr>
        <w:t xml:space="preserve"> months (</w:t>
      </w:r>
      <w:r w:rsidR="001A7E0E">
        <w:rPr>
          <w:rFonts w:ascii="Times New Roman" w:hAnsi="Times New Roman" w:cs="Times New Roman"/>
          <w:color w:val="000000"/>
          <w:sz w:val="24"/>
          <w:szCs w:val="24"/>
        </w:rPr>
        <w:t>day 60</w:t>
      </w:r>
      <w:r w:rsidRPr="00886F53">
        <w:rPr>
          <w:rFonts w:ascii="Times New Roman" w:hAnsi="Times New Roman" w:cs="Times New Roman"/>
          <w:color w:val="000000"/>
          <w:sz w:val="24"/>
          <w:szCs w:val="24"/>
        </w:rPr>
        <w:t xml:space="preserve">), </w:t>
      </w:r>
      <w:r w:rsidR="00EA599D">
        <w:rPr>
          <w:rFonts w:ascii="Times New Roman" w:hAnsi="Times New Roman" w:cs="Times New Roman"/>
          <w:color w:val="000000"/>
          <w:sz w:val="24"/>
          <w:szCs w:val="24"/>
        </w:rPr>
        <w:t>three</w:t>
      </w:r>
      <w:r w:rsidRPr="00886F53">
        <w:rPr>
          <w:rFonts w:ascii="Times New Roman" w:hAnsi="Times New Roman" w:cs="Times New Roman"/>
          <w:color w:val="000000"/>
          <w:sz w:val="24"/>
          <w:szCs w:val="24"/>
        </w:rPr>
        <w:t xml:space="preserve"> months (</w:t>
      </w:r>
      <w:r w:rsidR="001A7E0E">
        <w:rPr>
          <w:rFonts w:ascii="Times New Roman" w:hAnsi="Times New Roman" w:cs="Times New Roman"/>
          <w:color w:val="000000"/>
          <w:sz w:val="24"/>
          <w:szCs w:val="24"/>
        </w:rPr>
        <w:t>day 90</w:t>
      </w:r>
      <w:r w:rsidRPr="00886F53">
        <w:rPr>
          <w:rFonts w:ascii="Times New Roman" w:hAnsi="Times New Roman" w:cs="Times New Roman"/>
          <w:color w:val="000000"/>
          <w:sz w:val="24"/>
          <w:szCs w:val="24"/>
        </w:rPr>
        <w:t xml:space="preserve">), and once every </w:t>
      </w:r>
      <w:r w:rsidR="00EA599D">
        <w:rPr>
          <w:rFonts w:ascii="Times New Roman" w:hAnsi="Times New Roman" w:cs="Times New Roman"/>
          <w:color w:val="000000"/>
          <w:sz w:val="24"/>
          <w:szCs w:val="24"/>
        </w:rPr>
        <w:t>three</w:t>
      </w:r>
      <w:r w:rsidRPr="00886F53">
        <w:rPr>
          <w:rFonts w:ascii="Times New Roman" w:hAnsi="Times New Roman" w:cs="Times New Roman"/>
          <w:color w:val="000000"/>
          <w:sz w:val="24"/>
          <w:szCs w:val="24"/>
        </w:rPr>
        <w:t xml:space="preserve"> months (90 d) thereafter until </w:t>
      </w:r>
      <w:r w:rsidR="00EA599D" w:rsidRPr="00886F53">
        <w:rPr>
          <w:rFonts w:ascii="Times New Roman" w:hAnsi="Times New Roman" w:cs="Times New Roman"/>
          <w:color w:val="000000"/>
          <w:sz w:val="24"/>
          <w:szCs w:val="24"/>
        </w:rPr>
        <w:t>out</w:t>
      </w:r>
      <w:r w:rsidR="00EA599D">
        <w:rPr>
          <w:rFonts w:ascii="Times New Roman" w:hAnsi="Times New Roman" w:cs="Times New Roman"/>
          <w:color w:val="000000"/>
          <w:sz w:val="24"/>
          <w:szCs w:val="24"/>
        </w:rPr>
        <w:t>-</w:t>
      </w:r>
      <w:r w:rsidR="00EA599D" w:rsidRPr="00886F53">
        <w:rPr>
          <w:rFonts w:ascii="Times New Roman" w:hAnsi="Times New Roman" w:cs="Times New Roman"/>
          <w:color w:val="000000"/>
          <w:sz w:val="24"/>
          <w:szCs w:val="24"/>
        </w:rPr>
        <w:t>of</w:t>
      </w:r>
      <w:r w:rsidR="00EA599D">
        <w:rPr>
          <w:rFonts w:ascii="Times New Roman" w:hAnsi="Times New Roman" w:cs="Times New Roman"/>
          <w:color w:val="000000"/>
          <w:sz w:val="24"/>
          <w:szCs w:val="24"/>
        </w:rPr>
        <w:t>-</w:t>
      </w:r>
      <w:r w:rsidR="00EA599D" w:rsidRPr="00886F53">
        <w:rPr>
          <w:rFonts w:ascii="Times New Roman" w:hAnsi="Times New Roman" w:cs="Times New Roman"/>
          <w:color w:val="000000"/>
          <w:sz w:val="24"/>
          <w:szCs w:val="24"/>
        </w:rPr>
        <w:t>study</w:t>
      </w:r>
      <w:r w:rsidRPr="00886F53">
        <w:rPr>
          <w:rFonts w:ascii="Times New Roman" w:hAnsi="Times New Roman" w:cs="Times New Roman"/>
          <w:color w:val="000000"/>
          <w:sz w:val="24"/>
          <w:szCs w:val="24"/>
        </w:rPr>
        <w:t xml:space="preserve"> </w:t>
      </w:r>
      <w:r w:rsidR="006C6092" w:rsidRPr="00886F53">
        <w:rPr>
          <w:rFonts w:ascii="Times New Roman" w:hAnsi="Times New Roman" w:cs="Times New Roman"/>
          <w:color w:val="000000"/>
          <w:sz w:val="24"/>
          <w:szCs w:val="24"/>
        </w:rPr>
        <w:t>visit.</w:t>
      </w:r>
    </w:p>
    <w:p w14:paraId="7C547B50" w14:textId="5B4D0259" w:rsidR="004D54F2" w:rsidRPr="00886F53" w:rsidRDefault="004D54F2" w:rsidP="0027517F">
      <w:pPr>
        <w:pStyle w:val="aff"/>
        <w:numPr>
          <w:ilvl w:val="3"/>
          <w:numId w:val="132"/>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Serum immunofixation electrophoresis: it will be performed at </w:t>
      </w:r>
      <w:r w:rsidR="00EA599D">
        <w:rPr>
          <w:rFonts w:ascii="Times New Roman" w:hAnsi="Times New Roman" w:cs="Times New Roman"/>
          <w:color w:val="000000"/>
          <w:sz w:val="24"/>
          <w:szCs w:val="24"/>
        </w:rPr>
        <w:t>two</w:t>
      </w:r>
      <w:r w:rsidRPr="00886F53">
        <w:rPr>
          <w:rFonts w:ascii="Times New Roman" w:hAnsi="Times New Roman" w:cs="Times New Roman"/>
          <w:color w:val="000000"/>
          <w:sz w:val="24"/>
          <w:szCs w:val="24"/>
        </w:rPr>
        <w:t xml:space="preserve"> months (</w:t>
      </w:r>
      <w:r w:rsidR="001A7E0E">
        <w:rPr>
          <w:rFonts w:ascii="Times New Roman" w:hAnsi="Times New Roman" w:cs="Times New Roman"/>
          <w:color w:val="000000"/>
          <w:sz w:val="24"/>
          <w:szCs w:val="24"/>
        </w:rPr>
        <w:t>day 60</w:t>
      </w:r>
      <w:r w:rsidRPr="00886F53">
        <w:rPr>
          <w:rFonts w:ascii="Times New Roman" w:hAnsi="Times New Roman" w:cs="Times New Roman"/>
          <w:color w:val="000000"/>
          <w:sz w:val="24"/>
          <w:szCs w:val="24"/>
        </w:rPr>
        <w:t xml:space="preserve">), </w:t>
      </w:r>
      <w:r w:rsidR="00EA599D">
        <w:rPr>
          <w:rFonts w:ascii="Times New Roman" w:hAnsi="Times New Roman" w:cs="Times New Roman"/>
          <w:color w:val="000000"/>
          <w:sz w:val="24"/>
          <w:szCs w:val="24"/>
        </w:rPr>
        <w:t>three</w:t>
      </w:r>
      <w:r w:rsidR="0048556E">
        <w:rPr>
          <w:rFonts w:ascii="Times New Roman" w:hAnsi="Times New Roman" w:cs="Times New Roman"/>
          <w:color w:val="000000"/>
          <w:sz w:val="24"/>
          <w:szCs w:val="24"/>
        </w:rPr>
        <w:t> </w:t>
      </w:r>
      <w:r w:rsidRPr="00886F53">
        <w:rPr>
          <w:rFonts w:ascii="Times New Roman" w:hAnsi="Times New Roman" w:cs="Times New Roman"/>
          <w:color w:val="000000"/>
          <w:sz w:val="24"/>
          <w:szCs w:val="24"/>
        </w:rPr>
        <w:t>months (</w:t>
      </w:r>
      <w:r w:rsidR="001A7E0E">
        <w:rPr>
          <w:rFonts w:ascii="Times New Roman" w:hAnsi="Times New Roman" w:cs="Times New Roman"/>
          <w:color w:val="000000"/>
          <w:sz w:val="24"/>
          <w:szCs w:val="24"/>
        </w:rPr>
        <w:t>day 90</w:t>
      </w:r>
      <w:r w:rsidRPr="00886F53">
        <w:rPr>
          <w:rFonts w:ascii="Times New Roman" w:hAnsi="Times New Roman" w:cs="Times New Roman"/>
          <w:color w:val="000000"/>
          <w:sz w:val="24"/>
          <w:szCs w:val="24"/>
        </w:rPr>
        <w:t xml:space="preserve">), and once every </w:t>
      </w:r>
      <w:r w:rsidR="00EA599D">
        <w:rPr>
          <w:rFonts w:ascii="Times New Roman" w:hAnsi="Times New Roman" w:cs="Times New Roman"/>
          <w:color w:val="000000"/>
          <w:sz w:val="24"/>
          <w:szCs w:val="24"/>
        </w:rPr>
        <w:t>three</w:t>
      </w:r>
      <w:r w:rsidRPr="00886F53">
        <w:rPr>
          <w:rFonts w:ascii="Times New Roman" w:hAnsi="Times New Roman" w:cs="Times New Roman"/>
          <w:color w:val="000000"/>
          <w:sz w:val="24"/>
          <w:szCs w:val="24"/>
        </w:rPr>
        <w:t xml:space="preserve"> months (90 d) thereafter until </w:t>
      </w:r>
      <w:r w:rsidR="00EA599D" w:rsidRPr="00886F53">
        <w:rPr>
          <w:rFonts w:ascii="Times New Roman" w:hAnsi="Times New Roman" w:cs="Times New Roman"/>
          <w:color w:val="000000"/>
          <w:sz w:val="24"/>
          <w:szCs w:val="24"/>
        </w:rPr>
        <w:t>out</w:t>
      </w:r>
      <w:r w:rsidR="00EA599D">
        <w:rPr>
          <w:rFonts w:ascii="Times New Roman" w:hAnsi="Times New Roman" w:cs="Times New Roman"/>
          <w:color w:val="000000"/>
          <w:sz w:val="24"/>
          <w:szCs w:val="24"/>
        </w:rPr>
        <w:t>-</w:t>
      </w:r>
      <w:r w:rsidR="00EA599D" w:rsidRPr="00886F53">
        <w:rPr>
          <w:rFonts w:ascii="Times New Roman" w:hAnsi="Times New Roman" w:cs="Times New Roman"/>
          <w:color w:val="000000"/>
          <w:sz w:val="24"/>
          <w:szCs w:val="24"/>
        </w:rPr>
        <w:t>of</w:t>
      </w:r>
      <w:r w:rsidR="00EA599D">
        <w:rPr>
          <w:rFonts w:ascii="Times New Roman" w:hAnsi="Times New Roman" w:cs="Times New Roman"/>
          <w:color w:val="000000"/>
          <w:sz w:val="24"/>
          <w:szCs w:val="24"/>
        </w:rPr>
        <w:t>-</w:t>
      </w:r>
      <w:r w:rsidR="00EA599D" w:rsidRPr="00886F53">
        <w:rPr>
          <w:rFonts w:ascii="Times New Roman" w:hAnsi="Times New Roman" w:cs="Times New Roman"/>
          <w:color w:val="000000"/>
          <w:sz w:val="24"/>
          <w:szCs w:val="24"/>
        </w:rPr>
        <w:t>study</w:t>
      </w:r>
      <w:r w:rsidRPr="00886F53">
        <w:rPr>
          <w:rFonts w:ascii="Times New Roman" w:hAnsi="Times New Roman" w:cs="Times New Roman"/>
          <w:color w:val="000000"/>
          <w:sz w:val="24"/>
          <w:szCs w:val="24"/>
        </w:rPr>
        <w:t xml:space="preserve"> </w:t>
      </w:r>
      <w:r w:rsidR="006C6092" w:rsidRPr="00886F53">
        <w:rPr>
          <w:rFonts w:ascii="Times New Roman" w:hAnsi="Times New Roman" w:cs="Times New Roman"/>
          <w:color w:val="000000"/>
          <w:sz w:val="24"/>
          <w:szCs w:val="24"/>
        </w:rPr>
        <w:t>visit.</w:t>
      </w:r>
    </w:p>
    <w:p w14:paraId="500B9FE7" w14:textId="2F3EDEE4" w:rsidR="004D54F2" w:rsidRPr="00886F53" w:rsidRDefault="004D54F2" w:rsidP="0027517F">
      <w:pPr>
        <w:pStyle w:val="aff"/>
        <w:numPr>
          <w:ilvl w:val="3"/>
          <w:numId w:val="132"/>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Quantification of 24 h urine M protein: it will be performed at </w:t>
      </w:r>
      <w:r w:rsidR="00EA599D">
        <w:rPr>
          <w:rFonts w:ascii="Times New Roman" w:hAnsi="Times New Roman" w:cs="Times New Roman"/>
          <w:color w:val="000000"/>
          <w:sz w:val="24"/>
          <w:szCs w:val="24"/>
        </w:rPr>
        <w:t>two</w:t>
      </w:r>
      <w:r w:rsidRPr="00886F53">
        <w:rPr>
          <w:rFonts w:ascii="Times New Roman" w:hAnsi="Times New Roman" w:cs="Times New Roman"/>
          <w:color w:val="000000"/>
          <w:sz w:val="24"/>
          <w:szCs w:val="24"/>
        </w:rPr>
        <w:t xml:space="preserve"> months (</w:t>
      </w:r>
      <w:r w:rsidR="001A7E0E">
        <w:rPr>
          <w:rFonts w:ascii="Times New Roman" w:hAnsi="Times New Roman" w:cs="Times New Roman"/>
          <w:color w:val="000000"/>
          <w:sz w:val="24"/>
          <w:szCs w:val="24"/>
        </w:rPr>
        <w:t>day 60</w:t>
      </w:r>
      <w:r w:rsidRPr="00886F53">
        <w:rPr>
          <w:rFonts w:ascii="Times New Roman" w:hAnsi="Times New Roman" w:cs="Times New Roman"/>
          <w:color w:val="000000"/>
          <w:sz w:val="24"/>
          <w:szCs w:val="24"/>
        </w:rPr>
        <w:t xml:space="preserve">), </w:t>
      </w:r>
      <w:r w:rsidR="00EA599D">
        <w:rPr>
          <w:rFonts w:ascii="Times New Roman" w:hAnsi="Times New Roman" w:cs="Times New Roman"/>
          <w:color w:val="000000"/>
          <w:sz w:val="24"/>
          <w:szCs w:val="24"/>
        </w:rPr>
        <w:t>three</w:t>
      </w:r>
      <w:r w:rsidR="0048556E">
        <w:rPr>
          <w:rFonts w:ascii="Times New Roman" w:hAnsi="Times New Roman" w:cs="Times New Roman"/>
          <w:color w:val="000000"/>
          <w:sz w:val="24"/>
          <w:szCs w:val="24"/>
        </w:rPr>
        <w:t> </w:t>
      </w:r>
      <w:r w:rsidRPr="00886F53">
        <w:rPr>
          <w:rFonts w:ascii="Times New Roman" w:hAnsi="Times New Roman" w:cs="Times New Roman"/>
          <w:color w:val="000000"/>
          <w:sz w:val="24"/>
          <w:szCs w:val="24"/>
        </w:rPr>
        <w:t>months (</w:t>
      </w:r>
      <w:r w:rsidR="001A7E0E">
        <w:rPr>
          <w:rFonts w:ascii="Times New Roman" w:hAnsi="Times New Roman" w:cs="Times New Roman"/>
          <w:color w:val="000000"/>
          <w:sz w:val="24"/>
          <w:szCs w:val="24"/>
        </w:rPr>
        <w:t>day 90</w:t>
      </w:r>
      <w:r w:rsidRPr="00886F53">
        <w:rPr>
          <w:rFonts w:ascii="Times New Roman" w:hAnsi="Times New Roman" w:cs="Times New Roman"/>
          <w:color w:val="000000"/>
          <w:sz w:val="24"/>
          <w:szCs w:val="24"/>
        </w:rPr>
        <w:t xml:space="preserve">), and once every </w:t>
      </w:r>
      <w:r w:rsidR="00EA599D">
        <w:rPr>
          <w:rFonts w:ascii="Times New Roman" w:hAnsi="Times New Roman" w:cs="Times New Roman"/>
          <w:color w:val="000000"/>
          <w:sz w:val="24"/>
          <w:szCs w:val="24"/>
        </w:rPr>
        <w:t>three</w:t>
      </w:r>
      <w:r w:rsidRPr="00886F53">
        <w:rPr>
          <w:rFonts w:ascii="Times New Roman" w:hAnsi="Times New Roman" w:cs="Times New Roman"/>
          <w:color w:val="000000"/>
          <w:sz w:val="24"/>
          <w:szCs w:val="24"/>
        </w:rPr>
        <w:t xml:space="preserve"> months (90 d) thereafter until </w:t>
      </w:r>
      <w:r w:rsidR="00EA599D" w:rsidRPr="00886F53">
        <w:rPr>
          <w:rFonts w:ascii="Times New Roman" w:hAnsi="Times New Roman" w:cs="Times New Roman"/>
          <w:color w:val="000000"/>
          <w:sz w:val="24"/>
          <w:szCs w:val="24"/>
        </w:rPr>
        <w:t>out</w:t>
      </w:r>
      <w:r w:rsidR="00EA599D">
        <w:rPr>
          <w:rFonts w:ascii="Times New Roman" w:hAnsi="Times New Roman" w:cs="Times New Roman"/>
          <w:color w:val="000000"/>
          <w:sz w:val="24"/>
          <w:szCs w:val="24"/>
        </w:rPr>
        <w:t>-</w:t>
      </w:r>
      <w:r w:rsidR="00EA599D" w:rsidRPr="00886F53">
        <w:rPr>
          <w:rFonts w:ascii="Times New Roman" w:hAnsi="Times New Roman" w:cs="Times New Roman"/>
          <w:color w:val="000000"/>
          <w:sz w:val="24"/>
          <w:szCs w:val="24"/>
        </w:rPr>
        <w:t>of</w:t>
      </w:r>
      <w:r w:rsidR="00EA599D">
        <w:rPr>
          <w:rFonts w:ascii="Times New Roman" w:hAnsi="Times New Roman" w:cs="Times New Roman"/>
          <w:color w:val="000000"/>
          <w:sz w:val="24"/>
          <w:szCs w:val="24"/>
        </w:rPr>
        <w:t>-</w:t>
      </w:r>
      <w:r w:rsidR="00EA599D" w:rsidRPr="00886F53">
        <w:rPr>
          <w:rFonts w:ascii="Times New Roman" w:hAnsi="Times New Roman" w:cs="Times New Roman"/>
          <w:color w:val="000000"/>
          <w:sz w:val="24"/>
          <w:szCs w:val="24"/>
        </w:rPr>
        <w:t>study</w:t>
      </w:r>
      <w:r w:rsidRPr="00886F53">
        <w:rPr>
          <w:rFonts w:ascii="Times New Roman" w:hAnsi="Times New Roman" w:cs="Times New Roman"/>
          <w:color w:val="000000"/>
          <w:sz w:val="24"/>
          <w:szCs w:val="24"/>
        </w:rPr>
        <w:t xml:space="preserve"> </w:t>
      </w:r>
      <w:r w:rsidR="006C6092" w:rsidRPr="00886F53">
        <w:rPr>
          <w:rFonts w:ascii="Times New Roman" w:hAnsi="Times New Roman" w:cs="Times New Roman"/>
          <w:color w:val="000000"/>
          <w:sz w:val="24"/>
          <w:szCs w:val="24"/>
        </w:rPr>
        <w:t>visit.</w:t>
      </w:r>
    </w:p>
    <w:p w14:paraId="690233DD" w14:textId="6410DFEA" w:rsidR="004D54F2" w:rsidRPr="00886F53" w:rsidRDefault="004D54F2" w:rsidP="0027517F">
      <w:pPr>
        <w:pStyle w:val="aff"/>
        <w:numPr>
          <w:ilvl w:val="3"/>
          <w:numId w:val="132"/>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Quantification of 24 h urine light chain: it will be performed at </w:t>
      </w:r>
      <w:r w:rsidR="00EA599D">
        <w:rPr>
          <w:rFonts w:ascii="Times New Roman" w:hAnsi="Times New Roman" w:cs="Times New Roman"/>
          <w:color w:val="000000"/>
          <w:sz w:val="24"/>
          <w:szCs w:val="24"/>
        </w:rPr>
        <w:t>two</w:t>
      </w:r>
      <w:r w:rsidRPr="00886F53">
        <w:rPr>
          <w:rFonts w:ascii="Times New Roman" w:hAnsi="Times New Roman" w:cs="Times New Roman"/>
          <w:color w:val="000000"/>
          <w:sz w:val="24"/>
          <w:szCs w:val="24"/>
        </w:rPr>
        <w:t xml:space="preserve"> months (</w:t>
      </w:r>
      <w:r w:rsidR="001A7E0E">
        <w:rPr>
          <w:rFonts w:ascii="Times New Roman" w:hAnsi="Times New Roman" w:cs="Times New Roman"/>
          <w:color w:val="000000"/>
          <w:sz w:val="24"/>
          <w:szCs w:val="24"/>
        </w:rPr>
        <w:t>day 60</w:t>
      </w:r>
      <w:r w:rsidRPr="00886F53">
        <w:rPr>
          <w:rFonts w:ascii="Times New Roman" w:hAnsi="Times New Roman" w:cs="Times New Roman"/>
          <w:color w:val="000000"/>
          <w:sz w:val="24"/>
          <w:szCs w:val="24"/>
        </w:rPr>
        <w:t xml:space="preserve">), </w:t>
      </w:r>
      <w:r w:rsidR="00EA599D">
        <w:rPr>
          <w:rFonts w:ascii="Times New Roman" w:hAnsi="Times New Roman" w:cs="Times New Roman"/>
          <w:color w:val="000000"/>
          <w:sz w:val="24"/>
          <w:szCs w:val="24"/>
        </w:rPr>
        <w:t>three</w:t>
      </w:r>
      <w:r w:rsidR="0048556E">
        <w:rPr>
          <w:rFonts w:ascii="Times New Roman" w:hAnsi="Times New Roman" w:cs="Times New Roman"/>
          <w:color w:val="000000"/>
          <w:sz w:val="24"/>
          <w:szCs w:val="24"/>
        </w:rPr>
        <w:t> </w:t>
      </w:r>
      <w:r w:rsidRPr="00886F53">
        <w:rPr>
          <w:rFonts w:ascii="Times New Roman" w:hAnsi="Times New Roman" w:cs="Times New Roman"/>
          <w:color w:val="000000"/>
          <w:sz w:val="24"/>
          <w:szCs w:val="24"/>
        </w:rPr>
        <w:t>months (</w:t>
      </w:r>
      <w:r w:rsidR="001A7E0E">
        <w:rPr>
          <w:rFonts w:ascii="Times New Roman" w:hAnsi="Times New Roman" w:cs="Times New Roman"/>
          <w:color w:val="000000"/>
          <w:sz w:val="24"/>
          <w:szCs w:val="24"/>
        </w:rPr>
        <w:t>day 90</w:t>
      </w:r>
      <w:r w:rsidRPr="00886F53">
        <w:rPr>
          <w:rFonts w:ascii="Times New Roman" w:hAnsi="Times New Roman" w:cs="Times New Roman"/>
          <w:color w:val="000000"/>
          <w:sz w:val="24"/>
          <w:szCs w:val="24"/>
        </w:rPr>
        <w:t xml:space="preserve">), and once every </w:t>
      </w:r>
      <w:r w:rsidR="00EA599D">
        <w:rPr>
          <w:rFonts w:ascii="Times New Roman" w:hAnsi="Times New Roman" w:cs="Times New Roman"/>
          <w:color w:val="000000"/>
          <w:sz w:val="24"/>
          <w:szCs w:val="24"/>
        </w:rPr>
        <w:t>three</w:t>
      </w:r>
      <w:r w:rsidRPr="00886F53">
        <w:rPr>
          <w:rFonts w:ascii="Times New Roman" w:hAnsi="Times New Roman" w:cs="Times New Roman"/>
          <w:color w:val="000000"/>
          <w:sz w:val="24"/>
          <w:szCs w:val="24"/>
        </w:rPr>
        <w:t xml:space="preserve"> months (90 d) thereafter until </w:t>
      </w:r>
      <w:r w:rsidR="00EA599D" w:rsidRPr="00886F53">
        <w:rPr>
          <w:rFonts w:ascii="Times New Roman" w:hAnsi="Times New Roman" w:cs="Times New Roman"/>
          <w:color w:val="000000"/>
          <w:sz w:val="24"/>
          <w:szCs w:val="24"/>
        </w:rPr>
        <w:t>out</w:t>
      </w:r>
      <w:r w:rsidR="00EA599D">
        <w:rPr>
          <w:rFonts w:ascii="Times New Roman" w:hAnsi="Times New Roman" w:cs="Times New Roman"/>
          <w:color w:val="000000"/>
          <w:sz w:val="24"/>
          <w:szCs w:val="24"/>
        </w:rPr>
        <w:t>-</w:t>
      </w:r>
      <w:r w:rsidR="00EA599D" w:rsidRPr="00886F53">
        <w:rPr>
          <w:rFonts w:ascii="Times New Roman" w:hAnsi="Times New Roman" w:cs="Times New Roman"/>
          <w:color w:val="000000"/>
          <w:sz w:val="24"/>
          <w:szCs w:val="24"/>
        </w:rPr>
        <w:t>of</w:t>
      </w:r>
      <w:r w:rsidR="00EA599D">
        <w:rPr>
          <w:rFonts w:ascii="Times New Roman" w:hAnsi="Times New Roman" w:cs="Times New Roman"/>
          <w:color w:val="000000"/>
          <w:sz w:val="24"/>
          <w:szCs w:val="24"/>
        </w:rPr>
        <w:t>-</w:t>
      </w:r>
      <w:r w:rsidR="00EA599D" w:rsidRPr="00886F53">
        <w:rPr>
          <w:rFonts w:ascii="Times New Roman" w:hAnsi="Times New Roman" w:cs="Times New Roman"/>
          <w:color w:val="000000"/>
          <w:sz w:val="24"/>
          <w:szCs w:val="24"/>
        </w:rPr>
        <w:t>study</w:t>
      </w:r>
      <w:r w:rsidRPr="00886F53">
        <w:rPr>
          <w:rFonts w:ascii="Times New Roman" w:hAnsi="Times New Roman" w:cs="Times New Roman"/>
          <w:color w:val="000000"/>
          <w:sz w:val="24"/>
          <w:szCs w:val="24"/>
        </w:rPr>
        <w:t xml:space="preserve"> </w:t>
      </w:r>
      <w:r w:rsidR="006C6092" w:rsidRPr="00886F53">
        <w:rPr>
          <w:rFonts w:ascii="Times New Roman" w:hAnsi="Times New Roman" w:cs="Times New Roman"/>
          <w:color w:val="000000"/>
          <w:sz w:val="24"/>
          <w:szCs w:val="24"/>
        </w:rPr>
        <w:t>visit.</w:t>
      </w:r>
    </w:p>
    <w:p w14:paraId="148C820D" w14:textId="3F6A45D8" w:rsidR="004D54F2" w:rsidRPr="00886F53" w:rsidRDefault="004D54F2" w:rsidP="0027517F">
      <w:pPr>
        <w:pStyle w:val="aff"/>
        <w:numPr>
          <w:ilvl w:val="3"/>
          <w:numId w:val="132"/>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Urine protein electrophoresis: it will be performed at </w:t>
      </w:r>
      <w:r w:rsidR="00EA599D">
        <w:rPr>
          <w:rFonts w:ascii="Times New Roman" w:hAnsi="Times New Roman" w:cs="Times New Roman"/>
          <w:color w:val="000000"/>
          <w:sz w:val="24"/>
          <w:szCs w:val="24"/>
        </w:rPr>
        <w:t>two</w:t>
      </w:r>
      <w:r w:rsidRPr="00886F53">
        <w:rPr>
          <w:rFonts w:ascii="Times New Roman" w:hAnsi="Times New Roman" w:cs="Times New Roman"/>
          <w:color w:val="000000"/>
          <w:sz w:val="24"/>
          <w:szCs w:val="24"/>
        </w:rPr>
        <w:t xml:space="preserve"> months (</w:t>
      </w:r>
      <w:r w:rsidR="001A7E0E">
        <w:rPr>
          <w:rFonts w:ascii="Times New Roman" w:hAnsi="Times New Roman" w:cs="Times New Roman"/>
          <w:color w:val="000000"/>
          <w:sz w:val="24"/>
          <w:szCs w:val="24"/>
        </w:rPr>
        <w:t>day 60</w:t>
      </w:r>
      <w:r w:rsidRPr="00886F53">
        <w:rPr>
          <w:rFonts w:ascii="Times New Roman" w:hAnsi="Times New Roman" w:cs="Times New Roman"/>
          <w:color w:val="000000"/>
          <w:sz w:val="24"/>
          <w:szCs w:val="24"/>
        </w:rPr>
        <w:t xml:space="preserve">), </w:t>
      </w:r>
      <w:r w:rsidR="00EA599D">
        <w:rPr>
          <w:rFonts w:ascii="Times New Roman" w:hAnsi="Times New Roman" w:cs="Times New Roman"/>
          <w:color w:val="000000"/>
          <w:sz w:val="24"/>
          <w:szCs w:val="24"/>
        </w:rPr>
        <w:t>three</w:t>
      </w:r>
      <w:r w:rsidRPr="00886F53">
        <w:rPr>
          <w:rFonts w:ascii="Times New Roman" w:hAnsi="Times New Roman" w:cs="Times New Roman"/>
          <w:color w:val="000000"/>
          <w:sz w:val="24"/>
          <w:szCs w:val="24"/>
        </w:rPr>
        <w:t xml:space="preserve"> months (</w:t>
      </w:r>
      <w:r w:rsidR="001A7E0E">
        <w:rPr>
          <w:rFonts w:ascii="Times New Roman" w:hAnsi="Times New Roman" w:cs="Times New Roman"/>
          <w:color w:val="000000"/>
          <w:sz w:val="24"/>
          <w:szCs w:val="24"/>
        </w:rPr>
        <w:t>day 90</w:t>
      </w:r>
      <w:r w:rsidRPr="00886F53">
        <w:rPr>
          <w:rFonts w:ascii="Times New Roman" w:hAnsi="Times New Roman" w:cs="Times New Roman"/>
          <w:color w:val="000000"/>
          <w:sz w:val="24"/>
          <w:szCs w:val="24"/>
        </w:rPr>
        <w:t xml:space="preserve">), and once every </w:t>
      </w:r>
      <w:r w:rsidR="00EA599D">
        <w:rPr>
          <w:rFonts w:ascii="Times New Roman" w:hAnsi="Times New Roman" w:cs="Times New Roman"/>
          <w:color w:val="000000"/>
          <w:sz w:val="24"/>
          <w:szCs w:val="24"/>
        </w:rPr>
        <w:t>three</w:t>
      </w:r>
      <w:r w:rsidRPr="00886F53">
        <w:rPr>
          <w:rFonts w:ascii="Times New Roman" w:hAnsi="Times New Roman" w:cs="Times New Roman"/>
          <w:color w:val="000000"/>
          <w:sz w:val="24"/>
          <w:szCs w:val="24"/>
        </w:rPr>
        <w:t xml:space="preserve"> months (90 d) thereafter until </w:t>
      </w:r>
      <w:r w:rsidR="00EA599D" w:rsidRPr="00886F53">
        <w:rPr>
          <w:rFonts w:ascii="Times New Roman" w:hAnsi="Times New Roman" w:cs="Times New Roman"/>
          <w:color w:val="000000"/>
          <w:sz w:val="24"/>
          <w:szCs w:val="24"/>
        </w:rPr>
        <w:t>out</w:t>
      </w:r>
      <w:r w:rsidR="00EA599D">
        <w:rPr>
          <w:rFonts w:ascii="Times New Roman" w:hAnsi="Times New Roman" w:cs="Times New Roman"/>
          <w:color w:val="000000"/>
          <w:sz w:val="24"/>
          <w:szCs w:val="24"/>
        </w:rPr>
        <w:t>-</w:t>
      </w:r>
      <w:r w:rsidR="00EA599D" w:rsidRPr="00886F53">
        <w:rPr>
          <w:rFonts w:ascii="Times New Roman" w:hAnsi="Times New Roman" w:cs="Times New Roman"/>
          <w:color w:val="000000"/>
          <w:sz w:val="24"/>
          <w:szCs w:val="24"/>
        </w:rPr>
        <w:t>of</w:t>
      </w:r>
      <w:r w:rsidR="00EA599D">
        <w:rPr>
          <w:rFonts w:ascii="Times New Roman" w:hAnsi="Times New Roman" w:cs="Times New Roman"/>
          <w:color w:val="000000"/>
          <w:sz w:val="24"/>
          <w:szCs w:val="24"/>
        </w:rPr>
        <w:t>-</w:t>
      </w:r>
      <w:r w:rsidR="00EA599D" w:rsidRPr="00886F53">
        <w:rPr>
          <w:rFonts w:ascii="Times New Roman" w:hAnsi="Times New Roman" w:cs="Times New Roman"/>
          <w:color w:val="000000"/>
          <w:sz w:val="24"/>
          <w:szCs w:val="24"/>
        </w:rPr>
        <w:t>study</w:t>
      </w:r>
      <w:r w:rsidRPr="00886F53">
        <w:rPr>
          <w:rFonts w:ascii="Times New Roman" w:hAnsi="Times New Roman" w:cs="Times New Roman"/>
          <w:color w:val="000000"/>
          <w:sz w:val="24"/>
          <w:szCs w:val="24"/>
        </w:rPr>
        <w:t xml:space="preserve"> </w:t>
      </w:r>
      <w:r w:rsidR="006C6092" w:rsidRPr="00886F53">
        <w:rPr>
          <w:rFonts w:ascii="Times New Roman" w:hAnsi="Times New Roman" w:cs="Times New Roman"/>
          <w:color w:val="000000"/>
          <w:sz w:val="24"/>
          <w:szCs w:val="24"/>
        </w:rPr>
        <w:t>visit.</w:t>
      </w:r>
    </w:p>
    <w:p w14:paraId="6D65DB40" w14:textId="47B49201" w:rsidR="004D54F2" w:rsidRPr="00886F53" w:rsidRDefault="004D54F2" w:rsidP="0027517F">
      <w:pPr>
        <w:pStyle w:val="aff"/>
        <w:numPr>
          <w:ilvl w:val="3"/>
          <w:numId w:val="132"/>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Urine protein immunofixation electrophoresis: it will be performed at </w:t>
      </w:r>
      <w:r w:rsidR="00EA599D">
        <w:rPr>
          <w:rFonts w:ascii="Times New Roman" w:hAnsi="Times New Roman" w:cs="Times New Roman"/>
          <w:color w:val="000000"/>
          <w:sz w:val="24"/>
          <w:szCs w:val="24"/>
        </w:rPr>
        <w:t>two</w:t>
      </w:r>
      <w:r w:rsidRPr="00886F53">
        <w:rPr>
          <w:rFonts w:ascii="Times New Roman" w:hAnsi="Times New Roman" w:cs="Times New Roman"/>
          <w:color w:val="000000"/>
          <w:sz w:val="24"/>
          <w:szCs w:val="24"/>
        </w:rPr>
        <w:t xml:space="preserve"> months (</w:t>
      </w:r>
      <w:r w:rsidR="001A7E0E">
        <w:rPr>
          <w:rFonts w:ascii="Times New Roman" w:hAnsi="Times New Roman" w:cs="Times New Roman"/>
          <w:color w:val="000000"/>
          <w:sz w:val="24"/>
          <w:szCs w:val="24"/>
        </w:rPr>
        <w:t>day 60</w:t>
      </w:r>
      <w:r w:rsidRPr="00886F53">
        <w:rPr>
          <w:rFonts w:ascii="Times New Roman" w:hAnsi="Times New Roman" w:cs="Times New Roman"/>
          <w:color w:val="000000"/>
          <w:sz w:val="24"/>
          <w:szCs w:val="24"/>
        </w:rPr>
        <w:t xml:space="preserve">), </w:t>
      </w:r>
      <w:r w:rsidR="00EA599D">
        <w:rPr>
          <w:rFonts w:ascii="Times New Roman" w:hAnsi="Times New Roman" w:cs="Times New Roman"/>
          <w:color w:val="000000"/>
          <w:sz w:val="24"/>
          <w:szCs w:val="24"/>
        </w:rPr>
        <w:t>three</w:t>
      </w:r>
      <w:r w:rsidRPr="00886F53">
        <w:rPr>
          <w:rFonts w:ascii="Times New Roman" w:hAnsi="Times New Roman" w:cs="Times New Roman"/>
          <w:color w:val="000000"/>
          <w:sz w:val="24"/>
          <w:szCs w:val="24"/>
        </w:rPr>
        <w:t xml:space="preserve"> months (</w:t>
      </w:r>
      <w:r w:rsidR="001A7E0E">
        <w:rPr>
          <w:rFonts w:ascii="Times New Roman" w:hAnsi="Times New Roman" w:cs="Times New Roman"/>
          <w:color w:val="000000"/>
          <w:sz w:val="24"/>
          <w:szCs w:val="24"/>
        </w:rPr>
        <w:t>day 90</w:t>
      </w:r>
      <w:r w:rsidRPr="00886F53">
        <w:rPr>
          <w:rFonts w:ascii="Times New Roman" w:hAnsi="Times New Roman" w:cs="Times New Roman"/>
          <w:color w:val="000000"/>
          <w:sz w:val="24"/>
          <w:szCs w:val="24"/>
        </w:rPr>
        <w:t xml:space="preserve">), and once every </w:t>
      </w:r>
      <w:r w:rsidR="00EA599D">
        <w:rPr>
          <w:rFonts w:ascii="Times New Roman" w:hAnsi="Times New Roman" w:cs="Times New Roman"/>
          <w:color w:val="000000"/>
          <w:sz w:val="24"/>
          <w:szCs w:val="24"/>
        </w:rPr>
        <w:t>three</w:t>
      </w:r>
      <w:r w:rsidRPr="00886F53">
        <w:rPr>
          <w:rFonts w:ascii="Times New Roman" w:hAnsi="Times New Roman" w:cs="Times New Roman"/>
          <w:color w:val="000000"/>
          <w:sz w:val="24"/>
          <w:szCs w:val="24"/>
        </w:rPr>
        <w:t xml:space="preserve"> months (90 d) thereafter until </w:t>
      </w:r>
      <w:r w:rsidR="00EA599D" w:rsidRPr="00886F53">
        <w:rPr>
          <w:rFonts w:ascii="Times New Roman" w:hAnsi="Times New Roman" w:cs="Times New Roman"/>
          <w:color w:val="000000"/>
          <w:sz w:val="24"/>
          <w:szCs w:val="24"/>
        </w:rPr>
        <w:t>out</w:t>
      </w:r>
      <w:r w:rsidR="00EA599D">
        <w:rPr>
          <w:rFonts w:ascii="Times New Roman" w:hAnsi="Times New Roman" w:cs="Times New Roman"/>
          <w:color w:val="000000"/>
          <w:sz w:val="24"/>
          <w:szCs w:val="24"/>
        </w:rPr>
        <w:t>-</w:t>
      </w:r>
      <w:r w:rsidR="00EA599D" w:rsidRPr="00886F53">
        <w:rPr>
          <w:rFonts w:ascii="Times New Roman" w:hAnsi="Times New Roman" w:cs="Times New Roman"/>
          <w:color w:val="000000"/>
          <w:sz w:val="24"/>
          <w:szCs w:val="24"/>
        </w:rPr>
        <w:t>of</w:t>
      </w:r>
      <w:r w:rsidR="00EA599D">
        <w:rPr>
          <w:rFonts w:ascii="Times New Roman" w:hAnsi="Times New Roman" w:cs="Times New Roman"/>
          <w:color w:val="000000"/>
          <w:sz w:val="24"/>
          <w:szCs w:val="24"/>
        </w:rPr>
        <w:t>-</w:t>
      </w:r>
      <w:r w:rsidR="00EA599D" w:rsidRPr="00886F53">
        <w:rPr>
          <w:rFonts w:ascii="Times New Roman" w:hAnsi="Times New Roman" w:cs="Times New Roman"/>
          <w:color w:val="000000"/>
          <w:sz w:val="24"/>
          <w:szCs w:val="24"/>
        </w:rPr>
        <w:t>study</w:t>
      </w:r>
      <w:r w:rsidRPr="00886F53">
        <w:rPr>
          <w:rFonts w:ascii="Times New Roman" w:hAnsi="Times New Roman" w:cs="Times New Roman"/>
          <w:color w:val="000000"/>
          <w:sz w:val="24"/>
          <w:szCs w:val="24"/>
        </w:rPr>
        <w:t xml:space="preserve"> </w:t>
      </w:r>
      <w:r w:rsidR="006C6092" w:rsidRPr="00886F53">
        <w:rPr>
          <w:rFonts w:ascii="Times New Roman" w:hAnsi="Times New Roman" w:cs="Times New Roman"/>
          <w:color w:val="000000"/>
          <w:sz w:val="24"/>
          <w:szCs w:val="24"/>
        </w:rPr>
        <w:t>visit.</w:t>
      </w:r>
    </w:p>
    <w:p w14:paraId="77991EBB" w14:textId="7FB3E1A2" w:rsidR="004D54F2" w:rsidRPr="00886F53" w:rsidRDefault="004D54F2" w:rsidP="0027517F">
      <w:pPr>
        <w:pStyle w:val="aff"/>
        <w:numPr>
          <w:ilvl w:val="3"/>
          <w:numId w:val="132"/>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Bone marrow aspiration (required if the investigator determines CR/</w:t>
      </w:r>
      <w:proofErr w:type="spellStart"/>
      <w:r w:rsidRPr="00886F53">
        <w:rPr>
          <w:rFonts w:ascii="Times New Roman" w:hAnsi="Times New Roman" w:cs="Times New Roman"/>
          <w:color w:val="000000"/>
          <w:sz w:val="24"/>
          <w:szCs w:val="24"/>
        </w:rPr>
        <w:t>sCR</w:t>
      </w:r>
      <w:proofErr w:type="spellEnd"/>
      <w:r w:rsidRPr="00886F53">
        <w:rPr>
          <w:rFonts w:ascii="Times New Roman" w:hAnsi="Times New Roman" w:cs="Times New Roman"/>
          <w:color w:val="000000"/>
          <w:sz w:val="24"/>
          <w:szCs w:val="24"/>
        </w:rPr>
        <w:t xml:space="preserve"> is achieved or disease progression occurs, other follow-up visits could be determined by the investigator whether bone marrow aspiration/biopsy is required; however, for non-secretory patients, tests are required at each when efficacy is assessed): 3</w:t>
      </w:r>
      <w:r w:rsidR="0048556E">
        <w:rPr>
          <w:rFonts w:ascii="Times New Roman" w:hAnsi="Times New Roman" w:cs="Times New Roman"/>
          <w:color w:val="000000"/>
          <w:sz w:val="24"/>
          <w:szCs w:val="24"/>
        </w:rPr>
        <w:t> </w:t>
      </w:r>
      <w:r w:rsidRPr="00886F53">
        <w:rPr>
          <w:rFonts w:ascii="Times New Roman" w:hAnsi="Times New Roman" w:cs="Times New Roman"/>
          <w:color w:val="000000"/>
          <w:sz w:val="24"/>
          <w:szCs w:val="24"/>
        </w:rPr>
        <w:t>months (</w:t>
      </w:r>
      <w:r w:rsidR="00774B22">
        <w:rPr>
          <w:rFonts w:ascii="Times New Roman" w:hAnsi="Times New Roman" w:cs="Times New Roman"/>
          <w:color w:val="000000"/>
          <w:sz w:val="24"/>
          <w:szCs w:val="24"/>
        </w:rPr>
        <w:t xml:space="preserve">day </w:t>
      </w:r>
      <w:r w:rsidRPr="00886F53">
        <w:rPr>
          <w:rFonts w:ascii="Times New Roman" w:hAnsi="Times New Roman" w:cs="Times New Roman"/>
          <w:color w:val="000000"/>
          <w:sz w:val="24"/>
          <w:szCs w:val="24"/>
        </w:rPr>
        <w:t xml:space="preserve">90), </w:t>
      </w:r>
      <w:r w:rsidR="00EA599D">
        <w:rPr>
          <w:rFonts w:ascii="Times New Roman" w:hAnsi="Times New Roman" w:cs="Times New Roman"/>
          <w:color w:val="000000"/>
          <w:sz w:val="24"/>
          <w:szCs w:val="24"/>
        </w:rPr>
        <w:t xml:space="preserve">a </w:t>
      </w:r>
      <w:r w:rsidRPr="00886F53">
        <w:rPr>
          <w:rFonts w:ascii="Times New Roman" w:hAnsi="Times New Roman" w:cs="Times New Roman"/>
          <w:color w:val="000000"/>
          <w:sz w:val="24"/>
          <w:szCs w:val="24"/>
        </w:rPr>
        <w:t xml:space="preserve">re-examination of once every </w:t>
      </w:r>
      <w:r w:rsidR="00EA599D">
        <w:rPr>
          <w:rFonts w:ascii="Times New Roman" w:hAnsi="Times New Roman" w:cs="Times New Roman"/>
          <w:color w:val="000000"/>
          <w:sz w:val="24"/>
          <w:szCs w:val="24"/>
        </w:rPr>
        <w:t>three</w:t>
      </w:r>
      <w:r w:rsidRPr="00886F53">
        <w:rPr>
          <w:rFonts w:ascii="Times New Roman" w:hAnsi="Times New Roman" w:cs="Times New Roman"/>
          <w:color w:val="000000"/>
          <w:sz w:val="24"/>
          <w:szCs w:val="24"/>
        </w:rPr>
        <w:t xml:space="preserve"> months (90 days) thereafter until out of study visit (including cell smear morphology, bone marrow biopsy pathology + </w:t>
      </w:r>
      <w:r w:rsidRPr="00886F53">
        <w:rPr>
          <w:rFonts w:ascii="Times New Roman" w:hAnsi="Times New Roman" w:cs="Times New Roman"/>
          <w:color w:val="000000"/>
          <w:sz w:val="24"/>
          <w:szCs w:val="24"/>
        </w:rPr>
        <w:lastRenderedPageBreak/>
        <w:t xml:space="preserve">immunohistochemistry, bone marrow immunophenotyping test by flow cytometry including MRD); </w:t>
      </w:r>
    </w:p>
    <w:p w14:paraId="483CEF22" w14:textId="6B7AAEB2" w:rsidR="004D54F2" w:rsidRPr="00886F53" w:rsidRDefault="004D54F2" w:rsidP="0027517F">
      <w:pPr>
        <w:pStyle w:val="aff"/>
        <w:numPr>
          <w:ilvl w:val="3"/>
          <w:numId w:val="132"/>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Imaging evaluation: the assessment method is determined by the investigator according to the clinical indications of the patient. The examination methods of the same patient should be consistent during the follow-up period.</w:t>
      </w:r>
    </w:p>
    <w:p w14:paraId="64AEC749" w14:textId="56950179" w:rsidR="004D54F2" w:rsidRPr="00886F53" w:rsidRDefault="004D54F2" w:rsidP="0027517F">
      <w:pPr>
        <w:pStyle w:val="aff"/>
        <w:numPr>
          <w:ilvl w:val="3"/>
          <w:numId w:val="132"/>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PK blood collection (</w:t>
      </w:r>
      <w:r w:rsidR="00EA599D">
        <w:rPr>
          <w:rFonts w:ascii="Times New Roman" w:hAnsi="Times New Roman" w:cs="Times New Roman"/>
          <w:color w:val="000000"/>
          <w:sz w:val="24"/>
          <w:szCs w:val="24"/>
        </w:rPr>
        <w:t xml:space="preserve">an </w:t>
      </w:r>
      <w:r w:rsidRPr="00886F53">
        <w:rPr>
          <w:rFonts w:ascii="Times New Roman" w:hAnsi="Times New Roman" w:cs="Times New Roman"/>
          <w:color w:val="000000"/>
          <w:sz w:val="24"/>
          <w:szCs w:val="24"/>
        </w:rPr>
        <w:t xml:space="preserve">additional 3 mL is collected for exploratory studies); venous blood will be collected according to the laboratory manual of the study center for VCN assay and peripheral blood CT103A cell test. PK blood collection will be performed at </w:t>
      </w:r>
      <w:r w:rsidR="0031079A">
        <w:rPr>
          <w:rFonts w:ascii="Times New Roman" w:hAnsi="Times New Roman" w:cs="Times New Roman"/>
          <w:color w:val="000000"/>
          <w:sz w:val="24"/>
          <w:szCs w:val="24"/>
        </w:rPr>
        <w:t xml:space="preserve">day </w:t>
      </w:r>
      <w:r w:rsidRPr="00886F53">
        <w:rPr>
          <w:rFonts w:ascii="Times New Roman" w:hAnsi="Times New Roman" w:cs="Times New Roman"/>
          <w:color w:val="000000"/>
          <w:sz w:val="24"/>
          <w:szCs w:val="24"/>
        </w:rPr>
        <w:t xml:space="preserve">60 (time window is ±14 days), </w:t>
      </w:r>
      <w:r w:rsidR="0031079A">
        <w:rPr>
          <w:rFonts w:ascii="Times New Roman" w:hAnsi="Times New Roman" w:cs="Times New Roman"/>
          <w:color w:val="000000"/>
          <w:sz w:val="24"/>
          <w:szCs w:val="24"/>
        </w:rPr>
        <w:t xml:space="preserve">day </w:t>
      </w:r>
      <w:r w:rsidRPr="00886F53">
        <w:rPr>
          <w:rFonts w:ascii="Times New Roman" w:hAnsi="Times New Roman" w:cs="Times New Roman"/>
          <w:color w:val="000000"/>
          <w:sz w:val="24"/>
          <w:szCs w:val="24"/>
        </w:rPr>
        <w:t xml:space="preserve">90 (time window is ±14 days), and once every </w:t>
      </w:r>
      <w:r w:rsidR="00EA599D">
        <w:rPr>
          <w:rFonts w:ascii="Times New Roman" w:hAnsi="Times New Roman" w:cs="Times New Roman"/>
          <w:color w:val="000000"/>
          <w:sz w:val="24"/>
          <w:szCs w:val="24"/>
        </w:rPr>
        <w:t>three</w:t>
      </w:r>
      <w:r w:rsidRPr="00886F53">
        <w:rPr>
          <w:rFonts w:ascii="Times New Roman" w:hAnsi="Times New Roman" w:cs="Times New Roman"/>
          <w:color w:val="000000"/>
          <w:sz w:val="24"/>
          <w:szCs w:val="24"/>
        </w:rPr>
        <w:t xml:space="preserve"> months (time window is ±14 days for e</w:t>
      </w:r>
      <w:r w:rsidR="00EA599D">
        <w:rPr>
          <w:rFonts w:ascii="Times New Roman" w:hAnsi="Times New Roman" w:cs="Times New Roman"/>
          <w:color w:val="000000"/>
          <w:sz w:val="24"/>
          <w:szCs w:val="24"/>
        </w:rPr>
        <w:t>very</w:t>
      </w:r>
      <w:r w:rsidRPr="00886F53">
        <w:rPr>
          <w:rFonts w:ascii="Times New Roman" w:hAnsi="Times New Roman" w:cs="Times New Roman"/>
          <w:color w:val="000000"/>
          <w:sz w:val="24"/>
          <w:szCs w:val="24"/>
        </w:rPr>
        <w:t xml:space="preserve"> 90 days) thereafter until </w:t>
      </w:r>
      <w:r w:rsidR="00EA599D" w:rsidRPr="00886F53">
        <w:rPr>
          <w:rFonts w:ascii="Times New Roman" w:hAnsi="Times New Roman" w:cs="Times New Roman"/>
          <w:color w:val="000000"/>
          <w:sz w:val="24"/>
          <w:szCs w:val="24"/>
        </w:rPr>
        <w:t>out</w:t>
      </w:r>
      <w:r w:rsidR="00EA599D">
        <w:rPr>
          <w:rFonts w:ascii="Times New Roman" w:hAnsi="Times New Roman" w:cs="Times New Roman"/>
          <w:color w:val="000000"/>
          <w:sz w:val="24"/>
          <w:szCs w:val="24"/>
        </w:rPr>
        <w:t>-</w:t>
      </w:r>
      <w:r w:rsidR="00EA599D" w:rsidRPr="00886F53">
        <w:rPr>
          <w:rFonts w:ascii="Times New Roman" w:hAnsi="Times New Roman" w:cs="Times New Roman"/>
          <w:color w:val="000000"/>
          <w:sz w:val="24"/>
          <w:szCs w:val="24"/>
        </w:rPr>
        <w:t>of</w:t>
      </w:r>
      <w:r w:rsidR="00EA599D">
        <w:rPr>
          <w:rFonts w:ascii="Times New Roman" w:hAnsi="Times New Roman" w:cs="Times New Roman"/>
          <w:color w:val="000000"/>
          <w:sz w:val="24"/>
          <w:szCs w:val="24"/>
        </w:rPr>
        <w:t>-</w:t>
      </w:r>
      <w:r w:rsidR="00EA599D" w:rsidRPr="00886F53">
        <w:rPr>
          <w:rFonts w:ascii="Times New Roman" w:hAnsi="Times New Roman" w:cs="Times New Roman"/>
          <w:color w:val="000000"/>
          <w:sz w:val="24"/>
          <w:szCs w:val="24"/>
        </w:rPr>
        <w:t>study</w:t>
      </w:r>
      <w:r w:rsidRPr="00886F53">
        <w:rPr>
          <w:rFonts w:ascii="Times New Roman" w:hAnsi="Times New Roman" w:cs="Times New Roman"/>
          <w:color w:val="000000"/>
          <w:sz w:val="24"/>
          <w:szCs w:val="24"/>
        </w:rPr>
        <w:t xml:space="preserve"> or termination of the study, which occurs </w:t>
      </w:r>
      <w:r w:rsidR="006C6092" w:rsidRPr="00886F53">
        <w:rPr>
          <w:rFonts w:ascii="Times New Roman" w:hAnsi="Times New Roman" w:cs="Times New Roman"/>
          <w:color w:val="000000"/>
          <w:sz w:val="24"/>
          <w:szCs w:val="24"/>
        </w:rPr>
        <w:t>first.</w:t>
      </w:r>
    </w:p>
    <w:p w14:paraId="202036DB" w14:textId="6FDF61CD" w:rsidR="004D54F2" w:rsidRPr="00886F53" w:rsidRDefault="004D54F2" w:rsidP="0027517F">
      <w:pPr>
        <w:pStyle w:val="aff"/>
        <w:numPr>
          <w:ilvl w:val="3"/>
          <w:numId w:val="132"/>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IMWG efficacy evaluation: it will be performed at </w:t>
      </w:r>
      <w:r w:rsidR="00EA599D">
        <w:rPr>
          <w:rFonts w:ascii="Times New Roman" w:hAnsi="Times New Roman" w:cs="Times New Roman"/>
          <w:color w:val="000000"/>
          <w:sz w:val="24"/>
          <w:szCs w:val="24"/>
        </w:rPr>
        <w:t>two</w:t>
      </w:r>
      <w:r w:rsidRPr="00886F53">
        <w:rPr>
          <w:rFonts w:ascii="Times New Roman" w:hAnsi="Times New Roman" w:cs="Times New Roman"/>
          <w:color w:val="000000"/>
          <w:sz w:val="24"/>
          <w:szCs w:val="24"/>
        </w:rPr>
        <w:t xml:space="preserve"> months (</w:t>
      </w:r>
      <w:r w:rsidR="0031079A">
        <w:rPr>
          <w:rFonts w:ascii="Times New Roman" w:hAnsi="Times New Roman" w:cs="Times New Roman"/>
          <w:color w:val="000000"/>
          <w:sz w:val="24"/>
          <w:szCs w:val="24"/>
        </w:rPr>
        <w:t xml:space="preserve">day </w:t>
      </w:r>
      <w:r w:rsidRPr="00886F53">
        <w:rPr>
          <w:rFonts w:ascii="Times New Roman" w:hAnsi="Times New Roman" w:cs="Times New Roman"/>
          <w:color w:val="000000"/>
          <w:sz w:val="24"/>
          <w:szCs w:val="24"/>
        </w:rPr>
        <w:t xml:space="preserve">60), </w:t>
      </w:r>
      <w:r w:rsidR="00EA599D">
        <w:rPr>
          <w:rFonts w:ascii="Times New Roman" w:hAnsi="Times New Roman" w:cs="Times New Roman"/>
          <w:color w:val="000000"/>
          <w:sz w:val="24"/>
          <w:szCs w:val="24"/>
        </w:rPr>
        <w:t>three</w:t>
      </w:r>
      <w:r w:rsidRPr="00886F53">
        <w:rPr>
          <w:rFonts w:ascii="Times New Roman" w:hAnsi="Times New Roman" w:cs="Times New Roman"/>
          <w:color w:val="000000"/>
          <w:sz w:val="24"/>
          <w:szCs w:val="24"/>
        </w:rPr>
        <w:t xml:space="preserve"> months (</w:t>
      </w:r>
      <w:r w:rsidR="0031079A">
        <w:rPr>
          <w:rFonts w:ascii="Times New Roman" w:hAnsi="Times New Roman" w:cs="Times New Roman"/>
          <w:color w:val="000000"/>
          <w:sz w:val="24"/>
          <w:szCs w:val="24"/>
        </w:rPr>
        <w:t xml:space="preserve">day </w:t>
      </w:r>
      <w:r w:rsidRPr="00886F53">
        <w:rPr>
          <w:rFonts w:ascii="Times New Roman" w:hAnsi="Times New Roman" w:cs="Times New Roman"/>
          <w:color w:val="000000"/>
          <w:sz w:val="24"/>
          <w:szCs w:val="24"/>
        </w:rPr>
        <w:t xml:space="preserve">90), and once every </w:t>
      </w:r>
      <w:r w:rsidR="00EA599D">
        <w:rPr>
          <w:rFonts w:ascii="Times New Roman" w:hAnsi="Times New Roman" w:cs="Times New Roman"/>
          <w:color w:val="000000"/>
          <w:sz w:val="24"/>
          <w:szCs w:val="24"/>
        </w:rPr>
        <w:t>three</w:t>
      </w:r>
      <w:r w:rsidRPr="00886F53">
        <w:rPr>
          <w:rFonts w:ascii="Times New Roman" w:hAnsi="Times New Roman" w:cs="Times New Roman"/>
          <w:color w:val="000000"/>
          <w:sz w:val="24"/>
          <w:szCs w:val="24"/>
        </w:rPr>
        <w:t xml:space="preserve"> months (90 days) thereafter until </w:t>
      </w:r>
      <w:r w:rsidR="00EA599D" w:rsidRPr="00886F53">
        <w:rPr>
          <w:rFonts w:ascii="Times New Roman" w:hAnsi="Times New Roman" w:cs="Times New Roman"/>
          <w:color w:val="000000"/>
          <w:sz w:val="24"/>
          <w:szCs w:val="24"/>
        </w:rPr>
        <w:t>out</w:t>
      </w:r>
      <w:r w:rsidR="00EA599D">
        <w:rPr>
          <w:rFonts w:ascii="Times New Roman" w:hAnsi="Times New Roman" w:cs="Times New Roman"/>
          <w:color w:val="000000"/>
          <w:sz w:val="24"/>
          <w:szCs w:val="24"/>
        </w:rPr>
        <w:t>-</w:t>
      </w:r>
      <w:r w:rsidR="00EA599D" w:rsidRPr="00886F53">
        <w:rPr>
          <w:rFonts w:ascii="Times New Roman" w:hAnsi="Times New Roman" w:cs="Times New Roman"/>
          <w:color w:val="000000"/>
          <w:sz w:val="24"/>
          <w:szCs w:val="24"/>
        </w:rPr>
        <w:t>of</w:t>
      </w:r>
      <w:r w:rsidR="00EA599D">
        <w:rPr>
          <w:rFonts w:ascii="Times New Roman" w:hAnsi="Times New Roman" w:cs="Times New Roman"/>
          <w:color w:val="000000"/>
          <w:sz w:val="24"/>
          <w:szCs w:val="24"/>
        </w:rPr>
        <w:t>-</w:t>
      </w:r>
      <w:r w:rsidR="00EA599D" w:rsidRPr="00886F53">
        <w:rPr>
          <w:rFonts w:ascii="Times New Roman" w:hAnsi="Times New Roman" w:cs="Times New Roman"/>
          <w:color w:val="000000"/>
          <w:sz w:val="24"/>
          <w:szCs w:val="24"/>
        </w:rPr>
        <w:t>study</w:t>
      </w:r>
      <w:r w:rsidRPr="00886F53">
        <w:rPr>
          <w:rFonts w:ascii="Times New Roman" w:hAnsi="Times New Roman" w:cs="Times New Roman"/>
          <w:color w:val="000000"/>
          <w:sz w:val="24"/>
          <w:szCs w:val="24"/>
        </w:rPr>
        <w:t xml:space="preserve"> visit; IMWG efficacy criteria and MRD efficacy criteria will be used</w:t>
      </w:r>
      <w:r w:rsidR="006C6092">
        <w:rPr>
          <w:rFonts w:ascii="Times New Roman" w:hAnsi="Times New Roman" w:cs="Times New Roman"/>
          <w:color w:val="000000"/>
          <w:sz w:val="24"/>
          <w:szCs w:val="24"/>
        </w:rPr>
        <w:t xml:space="preserve"> </w:t>
      </w:r>
      <w:r w:rsidRPr="00886F53">
        <w:rPr>
          <w:rFonts w:ascii="Times New Roman" w:hAnsi="Times New Roman" w:cs="Times New Roman"/>
          <w:color w:val="000000"/>
          <w:sz w:val="24"/>
          <w:szCs w:val="24"/>
        </w:rPr>
        <w:t xml:space="preserve">for </w:t>
      </w:r>
      <w:r w:rsidR="006C6092" w:rsidRPr="00886F53">
        <w:rPr>
          <w:rFonts w:ascii="Times New Roman" w:hAnsi="Times New Roman" w:cs="Times New Roman"/>
          <w:color w:val="000000"/>
          <w:sz w:val="24"/>
          <w:szCs w:val="24"/>
        </w:rPr>
        <w:t>assessment.</w:t>
      </w:r>
    </w:p>
    <w:p w14:paraId="0EE5224A" w14:textId="40B47C1C" w:rsidR="004D54F2" w:rsidRPr="00886F53" w:rsidRDefault="004D54F2" w:rsidP="0027517F">
      <w:pPr>
        <w:pStyle w:val="aff"/>
        <w:numPr>
          <w:ilvl w:val="3"/>
          <w:numId w:val="132"/>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Record concomitant treatment: it will be performed at </w:t>
      </w:r>
      <w:r w:rsidR="00EA599D">
        <w:rPr>
          <w:rFonts w:ascii="Times New Roman" w:hAnsi="Times New Roman" w:cs="Times New Roman"/>
          <w:color w:val="000000"/>
          <w:sz w:val="24"/>
          <w:szCs w:val="24"/>
        </w:rPr>
        <w:t>two</w:t>
      </w:r>
      <w:r w:rsidRPr="00886F53">
        <w:rPr>
          <w:rFonts w:ascii="Times New Roman" w:hAnsi="Times New Roman" w:cs="Times New Roman"/>
          <w:color w:val="000000"/>
          <w:sz w:val="24"/>
          <w:szCs w:val="24"/>
        </w:rPr>
        <w:t xml:space="preserve"> months (</w:t>
      </w:r>
      <w:r w:rsidR="0031079A">
        <w:rPr>
          <w:rFonts w:ascii="Times New Roman" w:hAnsi="Times New Roman" w:cs="Times New Roman"/>
          <w:color w:val="000000"/>
          <w:sz w:val="24"/>
          <w:szCs w:val="24"/>
        </w:rPr>
        <w:t xml:space="preserve">day </w:t>
      </w:r>
      <w:r w:rsidRPr="00886F53">
        <w:rPr>
          <w:rFonts w:ascii="Times New Roman" w:hAnsi="Times New Roman" w:cs="Times New Roman"/>
          <w:color w:val="000000"/>
          <w:sz w:val="24"/>
          <w:szCs w:val="24"/>
        </w:rPr>
        <w:t xml:space="preserve">60), </w:t>
      </w:r>
      <w:r w:rsidR="00EA599D">
        <w:rPr>
          <w:rFonts w:ascii="Times New Roman" w:hAnsi="Times New Roman" w:cs="Times New Roman"/>
          <w:color w:val="000000"/>
          <w:sz w:val="24"/>
          <w:szCs w:val="24"/>
        </w:rPr>
        <w:t>three</w:t>
      </w:r>
      <w:r w:rsidRPr="00886F53">
        <w:rPr>
          <w:rFonts w:ascii="Times New Roman" w:hAnsi="Times New Roman" w:cs="Times New Roman"/>
          <w:color w:val="000000"/>
          <w:sz w:val="24"/>
          <w:szCs w:val="24"/>
        </w:rPr>
        <w:t xml:space="preserve"> months (90 d)</w:t>
      </w:r>
      <w:r w:rsidR="00EA599D">
        <w:rPr>
          <w:rFonts w:ascii="Times New Roman" w:hAnsi="Times New Roman" w:cs="Times New Roman"/>
          <w:color w:val="000000"/>
          <w:sz w:val="24"/>
          <w:szCs w:val="24"/>
        </w:rPr>
        <w:t>,</w:t>
      </w:r>
      <w:r w:rsidRPr="00886F53">
        <w:rPr>
          <w:rFonts w:ascii="Times New Roman" w:hAnsi="Times New Roman" w:cs="Times New Roman"/>
          <w:color w:val="000000"/>
          <w:sz w:val="24"/>
          <w:szCs w:val="24"/>
        </w:rPr>
        <w:t xml:space="preserve"> and once every </w:t>
      </w:r>
      <w:r w:rsidR="00EA599D">
        <w:rPr>
          <w:rFonts w:ascii="Times New Roman" w:hAnsi="Times New Roman" w:cs="Times New Roman"/>
          <w:color w:val="000000"/>
          <w:sz w:val="24"/>
          <w:szCs w:val="24"/>
        </w:rPr>
        <w:t>three</w:t>
      </w:r>
      <w:r w:rsidRPr="00886F53">
        <w:rPr>
          <w:rFonts w:ascii="Times New Roman" w:hAnsi="Times New Roman" w:cs="Times New Roman"/>
          <w:color w:val="000000"/>
          <w:sz w:val="24"/>
          <w:szCs w:val="24"/>
        </w:rPr>
        <w:t xml:space="preserve"> months (90 d) thereafter until </w:t>
      </w:r>
      <w:r w:rsidR="00EA599D">
        <w:rPr>
          <w:rFonts w:ascii="Times New Roman" w:hAnsi="Times New Roman" w:cs="Times New Roman"/>
          <w:color w:val="000000"/>
          <w:sz w:val="24"/>
          <w:szCs w:val="24"/>
        </w:rPr>
        <w:t>one</w:t>
      </w:r>
      <w:r w:rsidRPr="00886F53">
        <w:rPr>
          <w:rFonts w:ascii="Times New Roman" w:hAnsi="Times New Roman" w:cs="Times New Roman"/>
          <w:color w:val="000000"/>
          <w:sz w:val="24"/>
          <w:szCs w:val="24"/>
        </w:rPr>
        <w:t xml:space="preserve"> year after the CT103A cell infusion (if PFS </w:t>
      </w:r>
      <w:r w:rsidR="00F458B7">
        <w:rPr>
          <w:rFonts w:ascii="Times New Roman" w:hAnsi="Times New Roman" w:cs="Times New Roman"/>
          <w:color w:val="000000"/>
          <w:sz w:val="24"/>
          <w:szCs w:val="24"/>
        </w:rPr>
        <w:t>≥</w:t>
      </w:r>
      <w:r w:rsidR="00EA599D">
        <w:rPr>
          <w:rFonts w:ascii="Times New Roman" w:hAnsi="Times New Roman" w:cs="Times New Roman"/>
          <w:color w:val="000000"/>
          <w:sz w:val="24"/>
          <w:szCs w:val="24"/>
        </w:rPr>
        <w:t xml:space="preserve"> </w:t>
      </w:r>
      <w:r w:rsidRPr="00886F53">
        <w:rPr>
          <w:rFonts w:ascii="Times New Roman" w:hAnsi="Times New Roman" w:cs="Times New Roman"/>
          <w:color w:val="000000"/>
          <w:sz w:val="24"/>
          <w:szCs w:val="24"/>
        </w:rPr>
        <w:t xml:space="preserve">12 months) or out of study visit (12 months </w:t>
      </w:r>
      <w:r w:rsidR="00F458B7">
        <w:rPr>
          <w:rFonts w:ascii="Times New Roman" w:hAnsi="Times New Roman" w:cs="Times New Roman"/>
          <w:color w:val="000000"/>
          <w:sz w:val="24"/>
          <w:szCs w:val="24"/>
        </w:rPr>
        <w:t>&gt;</w:t>
      </w:r>
      <w:r w:rsidR="00EA599D">
        <w:rPr>
          <w:rFonts w:ascii="Times New Roman" w:hAnsi="Times New Roman" w:cs="Times New Roman"/>
          <w:color w:val="000000"/>
          <w:sz w:val="24"/>
          <w:szCs w:val="24"/>
        </w:rPr>
        <w:t xml:space="preserve"> </w:t>
      </w:r>
      <w:r w:rsidRPr="00886F53">
        <w:rPr>
          <w:rFonts w:ascii="Times New Roman" w:hAnsi="Times New Roman" w:cs="Times New Roman"/>
          <w:color w:val="000000"/>
          <w:sz w:val="24"/>
          <w:szCs w:val="24"/>
        </w:rPr>
        <w:t xml:space="preserve">PFS </w:t>
      </w:r>
      <w:r w:rsidR="00F458B7">
        <w:rPr>
          <w:rFonts w:ascii="Times New Roman" w:hAnsi="Times New Roman" w:cs="Times New Roman"/>
          <w:color w:val="000000"/>
          <w:sz w:val="24"/>
          <w:szCs w:val="24"/>
        </w:rPr>
        <w:t>≥</w:t>
      </w:r>
      <w:r w:rsidR="00EA599D">
        <w:rPr>
          <w:rFonts w:ascii="Times New Roman" w:hAnsi="Times New Roman" w:cs="Times New Roman"/>
          <w:color w:val="000000"/>
          <w:sz w:val="24"/>
          <w:szCs w:val="24"/>
        </w:rPr>
        <w:t xml:space="preserve"> </w:t>
      </w:r>
      <w:r w:rsidRPr="00886F53">
        <w:rPr>
          <w:rFonts w:ascii="Times New Roman" w:hAnsi="Times New Roman" w:cs="Times New Roman"/>
          <w:color w:val="000000"/>
          <w:sz w:val="24"/>
          <w:szCs w:val="24"/>
        </w:rPr>
        <w:t xml:space="preserve">3 months). If disease progression occurs within </w:t>
      </w:r>
      <w:r w:rsidR="00EA599D">
        <w:rPr>
          <w:rFonts w:ascii="Times New Roman" w:hAnsi="Times New Roman" w:cs="Times New Roman"/>
          <w:color w:val="000000"/>
          <w:sz w:val="24"/>
          <w:szCs w:val="24"/>
        </w:rPr>
        <w:t>three</w:t>
      </w:r>
      <w:r w:rsidRPr="00886F53">
        <w:rPr>
          <w:rFonts w:ascii="Times New Roman" w:hAnsi="Times New Roman" w:cs="Times New Roman"/>
          <w:color w:val="000000"/>
          <w:sz w:val="24"/>
          <w:szCs w:val="24"/>
        </w:rPr>
        <w:t xml:space="preserve"> months after the CT103A cell infusion, AEs will be collected for up to 3 months after the cell infusion, under the patient'</w:t>
      </w:r>
      <w:r w:rsidR="00553CA1">
        <w:rPr>
          <w:rFonts w:ascii="Times New Roman" w:hAnsi="Times New Roman" w:cs="Times New Roman"/>
          <w:color w:val="000000"/>
          <w:sz w:val="24"/>
          <w:szCs w:val="24"/>
        </w:rPr>
        <w:t xml:space="preserve"> </w:t>
      </w:r>
      <w:r w:rsidRPr="00886F53">
        <w:rPr>
          <w:rFonts w:ascii="Times New Roman" w:hAnsi="Times New Roman" w:cs="Times New Roman"/>
          <w:color w:val="000000"/>
          <w:sz w:val="24"/>
          <w:szCs w:val="24"/>
        </w:rPr>
        <w:t xml:space="preserve">s </w:t>
      </w:r>
      <w:r w:rsidR="006C6092" w:rsidRPr="00886F53">
        <w:rPr>
          <w:rFonts w:ascii="Times New Roman" w:hAnsi="Times New Roman" w:cs="Times New Roman"/>
          <w:color w:val="000000"/>
          <w:sz w:val="24"/>
          <w:szCs w:val="24"/>
        </w:rPr>
        <w:t>cooperation.</w:t>
      </w:r>
    </w:p>
    <w:p w14:paraId="0761233D" w14:textId="0AB7EC36" w:rsidR="004D54F2" w:rsidRPr="00886F53" w:rsidRDefault="004D54F2" w:rsidP="0027517F">
      <w:pPr>
        <w:pStyle w:val="aff"/>
        <w:numPr>
          <w:ilvl w:val="3"/>
          <w:numId w:val="132"/>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AEs: AEs should be collected at </w:t>
      </w:r>
      <w:r w:rsidR="00EA599D">
        <w:rPr>
          <w:rFonts w:ascii="Times New Roman" w:hAnsi="Times New Roman" w:cs="Times New Roman"/>
          <w:color w:val="000000"/>
          <w:sz w:val="24"/>
          <w:szCs w:val="24"/>
        </w:rPr>
        <w:t>two</w:t>
      </w:r>
      <w:r w:rsidRPr="00886F53">
        <w:rPr>
          <w:rFonts w:ascii="Times New Roman" w:hAnsi="Times New Roman" w:cs="Times New Roman"/>
          <w:color w:val="000000"/>
          <w:sz w:val="24"/>
          <w:szCs w:val="24"/>
        </w:rPr>
        <w:t xml:space="preserve"> months (</w:t>
      </w:r>
      <w:r w:rsidR="0031079A">
        <w:rPr>
          <w:rFonts w:ascii="Times New Roman" w:hAnsi="Times New Roman" w:cs="Times New Roman"/>
          <w:color w:val="000000"/>
          <w:sz w:val="24"/>
          <w:szCs w:val="24"/>
        </w:rPr>
        <w:t>day 60</w:t>
      </w:r>
      <w:r w:rsidRPr="00886F53">
        <w:rPr>
          <w:rFonts w:ascii="Times New Roman" w:hAnsi="Times New Roman" w:cs="Times New Roman"/>
          <w:color w:val="000000"/>
          <w:sz w:val="24"/>
          <w:szCs w:val="24"/>
        </w:rPr>
        <w:t xml:space="preserve">), </w:t>
      </w:r>
      <w:r w:rsidR="00EA599D">
        <w:rPr>
          <w:rFonts w:ascii="Times New Roman" w:hAnsi="Times New Roman" w:cs="Times New Roman"/>
          <w:color w:val="000000"/>
          <w:sz w:val="24"/>
          <w:szCs w:val="24"/>
        </w:rPr>
        <w:t>three</w:t>
      </w:r>
      <w:r w:rsidRPr="00886F53">
        <w:rPr>
          <w:rFonts w:ascii="Times New Roman" w:hAnsi="Times New Roman" w:cs="Times New Roman"/>
          <w:color w:val="000000"/>
          <w:sz w:val="24"/>
          <w:szCs w:val="24"/>
        </w:rPr>
        <w:t xml:space="preserve"> months (</w:t>
      </w:r>
      <w:r w:rsidR="0031079A">
        <w:rPr>
          <w:rFonts w:ascii="Times New Roman" w:hAnsi="Times New Roman" w:cs="Times New Roman"/>
          <w:color w:val="000000"/>
          <w:sz w:val="24"/>
          <w:szCs w:val="24"/>
        </w:rPr>
        <w:t>day 90</w:t>
      </w:r>
      <w:r w:rsidRPr="00886F53">
        <w:rPr>
          <w:rFonts w:ascii="Times New Roman" w:hAnsi="Times New Roman" w:cs="Times New Roman"/>
          <w:color w:val="000000"/>
          <w:sz w:val="24"/>
          <w:szCs w:val="24"/>
        </w:rPr>
        <w:t>)</w:t>
      </w:r>
      <w:r w:rsidR="00EA599D">
        <w:rPr>
          <w:rFonts w:ascii="Times New Roman" w:hAnsi="Times New Roman" w:cs="Times New Roman"/>
          <w:color w:val="000000"/>
          <w:sz w:val="24"/>
          <w:szCs w:val="24"/>
        </w:rPr>
        <w:t>,</w:t>
      </w:r>
      <w:r w:rsidRPr="00886F53">
        <w:rPr>
          <w:rFonts w:ascii="Times New Roman" w:hAnsi="Times New Roman" w:cs="Times New Roman"/>
          <w:color w:val="000000"/>
          <w:sz w:val="24"/>
          <w:szCs w:val="24"/>
        </w:rPr>
        <w:t xml:space="preserve"> and once every </w:t>
      </w:r>
      <w:r w:rsidR="00EA599D">
        <w:rPr>
          <w:rFonts w:ascii="Times New Roman" w:hAnsi="Times New Roman" w:cs="Times New Roman"/>
          <w:color w:val="000000"/>
          <w:sz w:val="24"/>
          <w:szCs w:val="24"/>
        </w:rPr>
        <w:t>three</w:t>
      </w:r>
      <w:r w:rsidRPr="00886F53">
        <w:rPr>
          <w:rFonts w:ascii="Times New Roman" w:hAnsi="Times New Roman" w:cs="Times New Roman"/>
          <w:color w:val="000000"/>
          <w:sz w:val="24"/>
          <w:szCs w:val="24"/>
        </w:rPr>
        <w:t xml:space="preserve"> months (90 d) thereafter until </w:t>
      </w:r>
      <w:r w:rsidR="00EA599D">
        <w:rPr>
          <w:rFonts w:ascii="Times New Roman" w:hAnsi="Times New Roman" w:cs="Times New Roman"/>
          <w:color w:val="000000"/>
          <w:sz w:val="24"/>
          <w:szCs w:val="24"/>
        </w:rPr>
        <w:t>one</w:t>
      </w:r>
      <w:r w:rsidRPr="00886F53">
        <w:rPr>
          <w:rFonts w:ascii="Times New Roman" w:hAnsi="Times New Roman" w:cs="Times New Roman"/>
          <w:color w:val="000000"/>
          <w:sz w:val="24"/>
          <w:szCs w:val="24"/>
        </w:rPr>
        <w:t xml:space="preserve"> year after the CT103A cell infusion (if PFS </w:t>
      </w:r>
      <w:r w:rsidR="00F458B7">
        <w:rPr>
          <w:rFonts w:ascii="Times New Roman" w:hAnsi="Times New Roman" w:cs="Times New Roman"/>
          <w:color w:val="000000"/>
          <w:sz w:val="24"/>
          <w:szCs w:val="24"/>
        </w:rPr>
        <w:t>≥</w:t>
      </w:r>
      <w:r w:rsidR="00EA599D">
        <w:rPr>
          <w:rFonts w:ascii="Times New Roman" w:hAnsi="Times New Roman" w:cs="Times New Roman"/>
          <w:color w:val="000000"/>
          <w:sz w:val="24"/>
          <w:szCs w:val="24"/>
        </w:rPr>
        <w:t xml:space="preserve"> </w:t>
      </w:r>
      <w:r w:rsidRPr="00886F53">
        <w:rPr>
          <w:rFonts w:ascii="Times New Roman" w:hAnsi="Times New Roman" w:cs="Times New Roman"/>
          <w:color w:val="000000"/>
          <w:sz w:val="24"/>
          <w:szCs w:val="24"/>
        </w:rPr>
        <w:t xml:space="preserve">12 months) or out of study visit (12 months </w:t>
      </w:r>
      <w:r w:rsidR="00F458B7">
        <w:rPr>
          <w:rFonts w:ascii="Times New Roman" w:hAnsi="Times New Roman" w:cs="Times New Roman"/>
          <w:color w:val="000000"/>
          <w:sz w:val="24"/>
          <w:szCs w:val="24"/>
        </w:rPr>
        <w:t>&gt;</w:t>
      </w:r>
      <w:r w:rsidR="00EA599D">
        <w:rPr>
          <w:rFonts w:ascii="Times New Roman" w:hAnsi="Times New Roman" w:cs="Times New Roman"/>
          <w:color w:val="000000"/>
          <w:sz w:val="24"/>
          <w:szCs w:val="24"/>
        </w:rPr>
        <w:t xml:space="preserve"> </w:t>
      </w:r>
      <w:r w:rsidRPr="00886F53">
        <w:rPr>
          <w:rFonts w:ascii="Times New Roman" w:hAnsi="Times New Roman" w:cs="Times New Roman"/>
          <w:color w:val="000000"/>
          <w:sz w:val="24"/>
          <w:szCs w:val="24"/>
        </w:rPr>
        <w:t xml:space="preserve">PFS </w:t>
      </w:r>
      <w:r w:rsidR="00F458B7">
        <w:rPr>
          <w:rFonts w:ascii="Times New Roman" w:hAnsi="Times New Roman" w:cs="Times New Roman"/>
          <w:color w:val="000000"/>
          <w:sz w:val="24"/>
          <w:szCs w:val="24"/>
        </w:rPr>
        <w:t>≥</w:t>
      </w:r>
      <w:r w:rsidR="00EA599D">
        <w:rPr>
          <w:rFonts w:ascii="Times New Roman" w:hAnsi="Times New Roman" w:cs="Times New Roman"/>
          <w:color w:val="000000"/>
          <w:sz w:val="24"/>
          <w:szCs w:val="24"/>
        </w:rPr>
        <w:t xml:space="preserve"> </w:t>
      </w:r>
      <w:r w:rsidRPr="00886F53">
        <w:rPr>
          <w:rFonts w:ascii="Times New Roman" w:hAnsi="Times New Roman" w:cs="Times New Roman"/>
          <w:color w:val="000000"/>
          <w:sz w:val="24"/>
          <w:szCs w:val="24"/>
        </w:rPr>
        <w:t xml:space="preserve">3 months). If disease progression occurs within </w:t>
      </w:r>
      <w:r w:rsidR="00EA599D">
        <w:rPr>
          <w:rFonts w:ascii="Times New Roman" w:hAnsi="Times New Roman" w:cs="Times New Roman"/>
          <w:color w:val="000000"/>
          <w:sz w:val="24"/>
          <w:szCs w:val="24"/>
        </w:rPr>
        <w:t>three</w:t>
      </w:r>
      <w:r w:rsidRPr="00886F53">
        <w:rPr>
          <w:rFonts w:ascii="Times New Roman" w:hAnsi="Times New Roman" w:cs="Times New Roman"/>
          <w:color w:val="000000"/>
          <w:sz w:val="24"/>
          <w:szCs w:val="24"/>
        </w:rPr>
        <w:t xml:space="preserve"> months after the CT103A cell infusion, AEs will be collected for up to 3 months after the cell infusion, under the patient’ s </w:t>
      </w:r>
      <w:r w:rsidR="006C6092" w:rsidRPr="00886F53">
        <w:rPr>
          <w:rFonts w:ascii="Times New Roman" w:hAnsi="Times New Roman" w:cs="Times New Roman"/>
          <w:color w:val="000000"/>
          <w:sz w:val="24"/>
          <w:szCs w:val="24"/>
        </w:rPr>
        <w:t>cooperation.</w:t>
      </w:r>
    </w:p>
    <w:p w14:paraId="34919109" w14:textId="3852CE0F" w:rsidR="004D54F2" w:rsidRPr="00886F53" w:rsidRDefault="004D54F2" w:rsidP="0027517F">
      <w:pPr>
        <w:pStyle w:val="aff"/>
        <w:numPr>
          <w:ilvl w:val="3"/>
          <w:numId w:val="132"/>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SAEs: SAEs should be collected at </w:t>
      </w:r>
      <w:r w:rsidR="00EA599D">
        <w:rPr>
          <w:rFonts w:ascii="Times New Roman" w:hAnsi="Times New Roman" w:cs="Times New Roman"/>
          <w:color w:val="000000"/>
          <w:sz w:val="24"/>
          <w:szCs w:val="24"/>
        </w:rPr>
        <w:t>two</w:t>
      </w:r>
      <w:r w:rsidRPr="00886F53">
        <w:rPr>
          <w:rFonts w:ascii="Times New Roman" w:hAnsi="Times New Roman" w:cs="Times New Roman"/>
          <w:color w:val="000000"/>
          <w:sz w:val="24"/>
          <w:szCs w:val="24"/>
        </w:rPr>
        <w:t xml:space="preserve"> months (</w:t>
      </w:r>
      <w:r w:rsidR="0031079A">
        <w:rPr>
          <w:rFonts w:ascii="Times New Roman" w:hAnsi="Times New Roman" w:cs="Times New Roman"/>
          <w:color w:val="000000"/>
          <w:sz w:val="24"/>
          <w:szCs w:val="24"/>
        </w:rPr>
        <w:t>day 60</w:t>
      </w:r>
      <w:r w:rsidRPr="00886F53">
        <w:rPr>
          <w:rFonts w:ascii="Times New Roman" w:hAnsi="Times New Roman" w:cs="Times New Roman"/>
          <w:color w:val="000000"/>
          <w:sz w:val="24"/>
          <w:szCs w:val="24"/>
        </w:rPr>
        <w:t xml:space="preserve">), </w:t>
      </w:r>
      <w:r w:rsidR="00EA599D">
        <w:rPr>
          <w:rFonts w:ascii="Times New Roman" w:hAnsi="Times New Roman" w:cs="Times New Roman"/>
          <w:color w:val="000000"/>
          <w:sz w:val="24"/>
          <w:szCs w:val="24"/>
        </w:rPr>
        <w:t>three</w:t>
      </w:r>
      <w:r w:rsidRPr="00886F53">
        <w:rPr>
          <w:rFonts w:ascii="Times New Roman" w:hAnsi="Times New Roman" w:cs="Times New Roman"/>
          <w:color w:val="000000"/>
          <w:sz w:val="24"/>
          <w:szCs w:val="24"/>
        </w:rPr>
        <w:t xml:space="preserve"> months (</w:t>
      </w:r>
      <w:r w:rsidR="0031079A">
        <w:rPr>
          <w:rFonts w:ascii="Times New Roman" w:hAnsi="Times New Roman" w:cs="Times New Roman"/>
          <w:color w:val="000000"/>
          <w:sz w:val="24"/>
          <w:szCs w:val="24"/>
        </w:rPr>
        <w:t>day 90</w:t>
      </w:r>
      <w:r w:rsidRPr="00886F53">
        <w:rPr>
          <w:rFonts w:ascii="Times New Roman" w:hAnsi="Times New Roman" w:cs="Times New Roman"/>
          <w:color w:val="000000"/>
          <w:sz w:val="24"/>
          <w:szCs w:val="24"/>
        </w:rPr>
        <w:t>)</w:t>
      </w:r>
      <w:r w:rsidR="00EA599D">
        <w:rPr>
          <w:rFonts w:ascii="Times New Roman" w:hAnsi="Times New Roman" w:cs="Times New Roman"/>
          <w:color w:val="000000"/>
          <w:sz w:val="24"/>
          <w:szCs w:val="24"/>
        </w:rPr>
        <w:t>,</w:t>
      </w:r>
      <w:r w:rsidRPr="00886F53">
        <w:rPr>
          <w:rFonts w:ascii="Times New Roman" w:hAnsi="Times New Roman" w:cs="Times New Roman"/>
          <w:color w:val="000000"/>
          <w:sz w:val="24"/>
          <w:szCs w:val="24"/>
        </w:rPr>
        <w:t xml:space="preserve"> and once every </w:t>
      </w:r>
      <w:r w:rsidR="00EA599D">
        <w:rPr>
          <w:rFonts w:ascii="Times New Roman" w:hAnsi="Times New Roman" w:cs="Times New Roman"/>
          <w:color w:val="000000"/>
          <w:sz w:val="24"/>
          <w:szCs w:val="24"/>
        </w:rPr>
        <w:t>three</w:t>
      </w:r>
      <w:r w:rsidRPr="00886F53">
        <w:rPr>
          <w:rFonts w:ascii="Times New Roman" w:hAnsi="Times New Roman" w:cs="Times New Roman"/>
          <w:color w:val="000000"/>
          <w:sz w:val="24"/>
          <w:szCs w:val="24"/>
        </w:rPr>
        <w:t xml:space="preserve"> months (90 d) thereafter until </w:t>
      </w:r>
      <w:r w:rsidR="00EA599D">
        <w:rPr>
          <w:rFonts w:ascii="Times New Roman" w:hAnsi="Times New Roman" w:cs="Times New Roman"/>
          <w:color w:val="000000"/>
          <w:sz w:val="24"/>
          <w:szCs w:val="24"/>
        </w:rPr>
        <w:t>one</w:t>
      </w:r>
      <w:r w:rsidRPr="00886F53">
        <w:rPr>
          <w:rFonts w:ascii="Times New Roman" w:hAnsi="Times New Roman" w:cs="Times New Roman"/>
          <w:color w:val="000000"/>
          <w:sz w:val="24"/>
          <w:szCs w:val="24"/>
        </w:rPr>
        <w:t xml:space="preserve"> year after the CT103A cell infusion (if PFS </w:t>
      </w:r>
      <w:r w:rsidR="00F458B7">
        <w:rPr>
          <w:rFonts w:ascii="Times New Roman" w:hAnsi="Times New Roman" w:cs="Times New Roman"/>
          <w:color w:val="000000"/>
          <w:sz w:val="24"/>
          <w:szCs w:val="24"/>
        </w:rPr>
        <w:t>≥</w:t>
      </w:r>
      <w:r w:rsidR="00EA599D">
        <w:rPr>
          <w:rFonts w:ascii="Times New Roman" w:hAnsi="Times New Roman" w:cs="Times New Roman"/>
          <w:color w:val="000000"/>
          <w:sz w:val="24"/>
          <w:szCs w:val="24"/>
        </w:rPr>
        <w:t xml:space="preserve"> </w:t>
      </w:r>
      <w:r w:rsidRPr="00886F53">
        <w:rPr>
          <w:rFonts w:ascii="Times New Roman" w:hAnsi="Times New Roman" w:cs="Times New Roman"/>
          <w:color w:val="000000"/>
          <w:sz w:val="24"/>
          <w:szCs w:val="24"/>
        </w:rPr>
        <w:t xml:space="preserve">12 months) or out of study visit (12 months </w:t>
      </w:r>
      <w:r w:rsidR="00F458B7">
        <w:rPr>
          <w:rFonts w:ascii="Times New Roman" w:hAnsi="Times New Roman" w:cs="Times New Roman"/>
          <w:color w:val="000000"/>
          <w:sz w:val="24"/>
          <w:szCs w:val="24"/>
        </w:rPr>
        <w:t>&gt;</w:t>
      </w:r>
      <w:r w:rsidR="00EA599D">
        <w:rPr>
          <w:rFonts w:ascii="Times New Roman" w:hAnsi="Times New Roman" w:cs="Times New Roman"/>
          <w:color w:val="000000"/>
          <w:sz w:val="24"/>
          <w:szCs w:val="24"/>
        </w:rPr>
        <w:t xml:space="preserve"> </w:t>
      </w:r>
      <w:r w:rsidRPr="00886F53">
        <w:rPr>
          <w:rFonts w:ascii="Times New Roman" w:hAnsi="Times New Roman" w:cs="Times New Roman"/>
          <w:color w:val="000000"/>
          <w:sz w:val="24"/>
          <w:szCs w:val="24"/>
        </w:rPr>
        <w:t xml:space="preserve">PFS </w:t>
      </w:r>
      <w:r w:rsidR="00F458B7">
        <w:rPr>
          <w:rFonts w:ascii="Times New Roman" w:hAnsi="Times New Roman" w:cs="Times New Roman"/>
          <w:color w:val="000000"/>
          <w:sz w:val="24"/>
          <w:szCs w:val="24"/>
        </w:rPr>
        <w:t>≥</w:t>
      </w:r>
      <w:r w:rsidR="00EA599D">
        <w:rPr>
          <w:rFonts w:ascii="Times New Roman" w:hAnsi="Times New Roman" w:cs="Times New Roman"/>
          <w:color w:val="000000"/>
          <w:sz w:val="24"/>
          <w:szCs w:val="24"/>
        </w:rPr>
        <w:t xml:space="preserve"> </w:t>
      </w:r>
      <w:r w:rsidRPr="00886F53">
        <w:rPr>
          <w:rFonts w:ascii="Times New Roman" w:hAnsi="Times New Roman" w:cs="Times New Roman"/>
          <w:color w:val="000000"/>
          <w:sz w:val="24"/>
          <w:szCs w:val="24"/>
        </w:rPr>
        <w:t xml:space="preserve">3 months). If disease progression occurs within </w:t>
      </w:r>
      <w:r w:rsidR="00EA599D">
        <w:rPr>
          <w:rFonts w:ascii="Times New Roman" w:hAnsi="Times New Roman" w:cs="Times New Roman"/>
          <w:color w:val="000000"/>
          <w:sz w:val="24"/>
          <w:szCs w:val="24"/>
        </w:rPr>
        <w:t>three</w:t>
      </w:r>
      <w:r w:rsidRPr="00886F53">
        <w:rPr>
          <w:rFonts w:ascii="Times New Roman" w:hAnsi="Times New Roman" w:cs="Times New Roman"/>
          <w:color w:val="000000"/>
          <w:sz w:val="24"/>
          <w:szCs w:val="24"/>
        </w:rPr>
        <w:t xml:space="preserve"> months after the CT103A cell infusion, SAEs will be collected for up to 3 months after cell infusion, under the patient' s cooperation.</w:t>
      </w:r>
    </w:p>
    <w:p w14:paraId="4F75D0BF" w14:textId="29F8AFAB" w:rsidR="004D54F2" w:rsidRPr="00886F53" w:rsidRDefault="004D54F2" w:rsidP="0027517F">
      <w:pPr>
        <w:pStyle w:val="aff"/>
        <w:numPr>
          <w:ilvl w:val="3"/>
          <w:numId w:val="132"/>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Quality of life evaluation: it will be performed at </w:t>
      </w:r>
      <w:r w:rsidR="00EA599D">
        <w:rPr>
          <w:rFonts w:ascii="Times New Roman" w:hAnsi="Times New Roman" w:cs="Times New Roman"/>
          <w:color w:val="000000"/>
          <w:sz w:val="24"/>
          <w:szCs w:val="24"/>
        </w:rPr>
        <w:t>two</w:t>
      </w:r>
      <w:r w:rsidRPr="00886F53">
        <w:rPr>
          <w:rFonts w:ascii="Times New Roman" w:hAnsi="Times New Roman" w:cs="Times New Roman"/>
          <w:color w:val="000000"/>
          <w:sz w:val="24"/>
          <w:szCs w:val="24"/>
        </w:rPr>
        <w:t xml:space="preserve"> months (</w:t>
      </w:r>
      <w:r w:rsidR="0031079A">
        <w:rPr>
          <w:rFonts w:ascii="Times New Roman" w:hAnsi="Times New Roman" w:cs="Times New Roman"/>
          <w:color w:val="000000"/>
          <w:sz w:val="24"/>
          <w:szCs w:val="24"/>
        </w:rPr>
        <w:t>day 60</w:t>
      </w:r>
      <w:r w:rsidRPr="00886F53">
        <w:rPr>
          <w:rFonts w:ascii="Times New Roman" w:hAnsi="Times New Roman" w:cs="Times New Roman"/>
          <w:color w:val="000000"/>
          <w:sz w:val="24"/>
          <w:szCs w:val="24"/>
        </w:rPr>
        <w:t xml:space="preserve">), </w:t>
      </w:r>
      <w:r w:rsidR="00EA599D">
        <w:rPr>
          <w:rFonts w:ascii="Times New Roman" w:hAnsi="Times New Roman" w:cs="Times New Roman"/>
          <w:color w:val="000000"/>
          <w:sz w:val="24"/>
          <w:szCs w:val="24"/>
        </w:rPr>
        <w:t>three</w:t>
      </w:r>
      <w:r w:rsidRPr="00886F53">
        <w:rPr>
          <w:rFonts w:ascii="Times New Roman" w:hAnsi="Times New Roman" w:cs="Times New Roman"/>
          <w:color w:val="000000"/>
          <w:sz w:val="24"/>
          <w:szCs w:val="24"/>
        </w:rPr>
        <w:t xml:space="preserve"> months (</w:t>
      </w:r>
      <w:r w:rsidR="0031079A">
        <w:rPr>
          <w:rFonts w:ascii="Times New Roman" w:hAnsi="Times New Roman" w:cs="Times New Roman"/>
          <w:color w:val="000000"/>
          <w:sz w:val="24"/>
          <w:szCs w:val="24"/>
        </w:rPr>
        <w:t>day 90</w:t>
      </w:r>
      <w:r w:rsidRPr="00886F53">
        <w:rPr>
          <w:rFonts w:ascii="Times New Roman" w:hAnsi="Times New Roman" w:cs="Times New Roman"/>
          <w:color w:val="000000"/>
          <w:sz w:val="24"/>
          <w:szCs w:val="24"/>
        </w:rPr>
        <w:t xml:space="preserve">), and once every </w:t>
      </w:r>
      <w:r w:rsidR="00EA599D">
        <w:rPr>
          <w:rFonts w:ascii="Times New Roman" w:hAnsi="Times New Roman" w:cs="Times New Roman"/>
          <w:color w:val="000000"/>
          <w:sz w:val="24"/>
          <w:szCs w:val="24"/>
        </w:rPr>
        <w:t>three</w:t>
      </w:r>
      <w:r w:rsidRPr="00886F53">
        <w:rPr>
          <w:rFonts w:ascii="Times New Roman" w:hAnsi="Times New Roman" w:cs="Times New Roman"/>
          <w:color w:val="000000"/>
          <w:sz w:val="24"/>
          <w:szCs w:val="24"/>
        </w:rPr>
        <w:t xml:space="preserve"> months (90 d) thereafter until </w:t>
      </w:r>
      <w:r w:rsidR="00EA599D">
        <w:rPr>
          <w:rFonts w:ascii="Times New Roman" w:hAnsi="Times New Roman" w:cs="Times New Roman"/>
          <w:color w:val="000000"/>
          <w:sz w:val="24"/>
          <w:szCs w:val="24"/>
        </w:rPr>
        <w:t xml:space="preserve">the </w:t>
      </w:r>
      <w:r w:rsidRPr="00886F53">
        <w:rPr>
          <w:rFonts w:ascii="Times New Roman" w:hAnsi="Times New Roman" w:cs="Times New Roman"/>
          <w:color w:val="000000"/>
          <w:sz w:val="24"/>
          <w:szCs w:val="24"/>
        </w:rPr>
        <w:t>withdrawal of informed consent, death, loss to follow-up, or termination of the study, whichever occurs first.</w:t>
      </w:r>
    </w:p>
    <w:p w14:paraId="75D61E5A" w14:textId="2C200FA0" w:rsidR="004D54F2" w:rsidRDefault="004D54F2" w:rsidP="0027517F">
      <w:pPr>
        <w:pStyle w:val="20"/>
        <w:jc w:val="both"/>
      </w:pPr>
      <w:bookmarkStart w:id="145" w:name="_Toc112064873"/>
      <w:r>
        <w:rPr>
          <w:rFonts w:hint="eastAsia"/>
        </w:rPr>
        <w:lastRenderedPageBreak/>
        <w:t>Withdrawal from the study</w:t>
      </w:r>
      <w:bookmarkEnd w:id="145"/>
    </w:p>
    <w:p w14:paraId="32576346" w14:textId="570414E3" w:rsidR="004D54F2" w:rsidRPr="00886F53" w:rsidRDefault="004D54F2" w:rsidP="0027517F">
      <w:pPr>
        <w:jc w:val="both"/>
      </w:pPr>
      <w:r>
        <w:t>Out of study refers to the patient</w:t>
      </w:r>
      <w:r w:rsidR="00EA599D">
        <w:t>s</w:t>
      </w:r>
      <w:r>
        <w:t xml:space="preserve"> </w:t>
      </w:r>
      <w:r w:rsidR="00EA599D">
        <w:t xml:space="preserve">who </w:t>
      </w:r>
      <w:r>
        <w:t>are no longer receiving subsequent follow-up due to the disease progression, initiation of new anti-tumor therapy, or other reasons.</w:t>
      </w:r>
    </w:p>
    <w:p w14:paraId="5D884294" w14:textId="52A2296C" w:rsidR="004D54F2" w:rsidRPr="00886F53" w:rsidRDefault="004D54F2" w:rsidP="0027517F">
      <w:pPr>
        <w:jc w:val="both"/>
      </w:pPr>
      <w:r>
        <w:t>If a new anti-tumor therapy has been initiated before the completion of the out-of-study visit unless the patient withdraws informed consent, all assessments of the out-of-study visit should be completed as much as possible within the time window</w:t>
      </w:r>
      <w:r w:rsidR="00EA599D">
        <w:t>. M</w:t>
      </w:r>
      <w:r>
        <w:t>eanwhile, diagnostic evidence in other hospitals and the details of anti-tumor therapy should be recorded according to chronological order.</w:t>
      </w:r>
    </w:p>
    <w:p w14:paraId="4F6F12EA" w14:textId="073696A2" w:rsidR="004D54F2" w:rsidRDefault="004D54F2" w:rsidP="0027517F">
      <w:pPr>
        <w:jc w:val="both"/>
      </w:pPr>
      <w:r>
        <w:t xml:space="preserve">If the patient does not conduct </w:t>
      </w:r>
      <w:r w:rsidR="00EA599D">
        <w:t xml:space="preserve">an </w:t>
      </w:r>
      <w:r w:rsidR="00EA599D" w:rsidRPr="00886F53">
        <w:rPr>
          <w:color w:val="000000"/>
        </w:rPr>
        <w:t>out</w:t>
      </w:r>
      <w:r w:rsidR="00EA599D">
        <w:rPr>
          <w:color w:val="000000"/>
        </w:rPr>
        <w:t>-</w:t>
      </w:r>
      <w:r w:rsidR="00EA599D" w:rsidRPr="00886F53">
        <w:rPr>
          <w:color w:val="000000"/>
        </w:rPr>
        <w:t>of</w:t>
      </w:r>
      <w:r w:rsidR="00EA599D">
        <w:rPr>
          <w:color w:val="000000"/>
        </w:rPr>
        <w:t>-</w:t>
      </w:r>
      <w:r w:rsidR="00EA599D" w:rsidRPr="00886F53">
        <w:rPr>
          <w:color w:val="000000"/>
        </w:rPr>
        <w:t>study</w:t>
      </w:r>
      <w:r>
        <w:t xml:space="preserve"> visit at the scheduled time point, it will be considered </w:t>
      </w:r>
      <w:r w:rsidR="00EA599D">
        <w:t xml:space="preserve">an </w:t>
      </w:r>
      <w:r>
        <w:t xml:space="preserve">unscheduled visit. </w:t>
      </w:r>
    </w:p>
    <w:p w14:paraId="73356B1A" w14:textId="20EF064F" w:rsidR="004D54F2" w:rsidRPr="00886F53" w:rsidRDefault="004D54F2" w:rsidP="0027517F">
      <w:pPr>
        <w:jc w:val="both"/>
      </w:pPr>
      <w:r>
        <w:t>The assessments to be completed in</w:t>
      </w:r>
      <w:r w:rsidR="00EA599D" w:rsidRPr="00EA599D">
        <w:rPr>
          <w:color w:val="000000"/>
        </w:rPr>
        <w:t xml:space="preserve"> </w:t>
      </w:r>
      <w:r w:rsidR="00EA599D">
        <w:rPr>
          <w:color w:val="000000"/>
        </w:rPr>
        <w:t xml:space="preserve">the </w:t>
      </w:r>
      <w:r w:rsidR="00EA599D" w:rsidRPr="00886F53">
        <w:rPr>
          <w:color w:val="000000"/>
        </w:rPr>
        <w:t>out</w:t>
      </w:r>
      <w:r w:rsidR="00EA599D">
        <w:rPr>
          <w:color w:val="000000"/>
        </w:rPr>
        <w:t>-</w:t>
      </w:r>
      <w:r w:rsidR="00EA599D" w:rsidRPr="00886F53">
        <w:rPr>
          <w:color w:val="000000"/>
        </w:rPr>
        <w:t>of</w:t>
      </w:r>
      <w:r w:rsidR="00EA599D">
        <w:rPr>
          <w:color w:val="000000"/>
        </w:rPr>
        <w:t>-</w:t>
      </w:r>
      <w:r w:rsidR="00EA599D" w:rsidRPr="00886F53">
        <w:rPr>
          <w:color w:val="000000"/>
        </w:rPr>
        <w:t>study</w:t>
      </w:r>
      <w:r>
        <w:t xml:space="preserve"> visit are as follows: </w:t>
      </w:r>
    </w:p>
    <w:p w14:paraId="635ACB50" w14:textId="695BF0ED" w:rsidR="004D54F2" w:rsidRPr="00886F53" w:rsidRDefault="004D54F2" w:rsidP="0027517F">
      <w:pPr>
        <w:pStyle w:val="aff"/>
        <w:numPr>
          <w:ilvl w:val="3"/>
          <w:numId w:val="133"/>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Physical examination/vital sign/ECOG score (if the visit is within </w:t>
      </w:r>
      <w:r w:rsidR="00EA599D">
        <w:rPr>
          <w:rFonts w:ascii="Times New Roman" w:hAnsi="Times New Roman" w:cs="Times New Roman"/>
          <w:color w:val="000000"/>
          <w:sz w:val="24"/>
          <w:szCs w:val="24"/>
        </w:rPr>
        <w:t>one</w:t>
      </w:r>
      <w:r w:rsidRPr="00886F53">
        <w:rPr>
          <w:rFonts w:ascii="Times New Roman" w:hAnsi="Times New Roman" w:cs="Times New Roman"/>
          <w:color w:val="000000"/>
          <w:sz w:val="24"/>
          <w:szCs w:val="24"/>
        </w:rPr>
        <w:t xml:space="preserve"> year after the CT103A cell infusion</w:t>
      </w:r>
      <w:r w:rsidR="006C6092" w:rsidRPr="00886F53">
        <w:rPr>
          <w:rFonts w:ascii="Times New Roman" w:hAnsi="Times New Roman" w:cs="Times New Roman"/>
          <w:color w:val="000000"/>
          <w:sz w:val="24"/>
          <w:szCs w:val="24"/>
        </w:rPr>
        <w:t>).</w:t>
      </w:r>
    </w:p>
    <w:p w14:paraId="2D36BA78" w14:textId="546C29A1" w:rsidR="004D54F2" w:rsidRPr="00886F53" w:rsidRDefault="00A324D3" w:rsidP="0027517F">
      <w:pPr>
        <w:pStyle w:val="aff"/>
        <w:numPr>
          <w:ilvl w:val="3"/>
          <w:numId w:val="133"/>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CBC </w:t>
      </w:r>
      <w:proofErr w:type="spellStart"/>
      <w:r w:rsidR="00F26339">
        <w:rPr>
          <w:rFonts w:ascii="Times New Roman" w:hAnsi="Times New Roman" w:cs="Times New Roman"/>
          <w:color w:val="000000"/>
          <w:sz w:val="24"/>
          <w:szCs w:val="24"/>
        </w:rPr>
        <w:t>CBC</w:t>
      </w:r>
      <w:proofErr w:type="spellEnd"/>
      <w:r w:rsidR="004D54F2" w:rsidRPr="00886F53">
        <w:rPr>
          <w:rFonts w:ascii="Times New Roman" w:hAnsi="Times New Roman" w:cs="Times New Roman"/>
          <w:color w:val="000000"/>
          <w:sz w:val="24"/>
          <w:szCs w:val="24"/>
        </w:rPr>
        <w:t xml:space="preserve"> (if the visit is within </w:t>
      </w:r>
      <w:r w:rsidR="00EA599D">
        <w:rPr>
          <w:rFonts w:ascii="Times New Roman" w:hAnsi="Times New Roman" w:cs="Times New Roman"/>
          <w:color w:val="000000"/>
          <w:sz w:val="24"/>
          <w:szCs w:val="24"/>
        </w:rPr>
        <w:t>one</w:t>
      </w:r>
      <w:r w:rsidR="004D54F2" w:rsidRPr="00886F53">
        <w:rPr>
          <w:rFonts w:ascii="Times New Roman" w:hAnsi="Times New Roman" w:cs="Times New Roman"/>
          <w:color w:val="000000"/>
          <w:sz w:val="24"/>
          <w:szCs w:val="24"/>
        </w:rPr>
        <w:t xml:space="preserve"> year after the CT103A cell infusion</w:t>
      </w:r>
      <w:r w:rsidR="006C6092" w:rsidRPr="00886F53">
        <w:rPr>
          <w:rFonts w:ascii="Times New Roman" w:hAnsi="Times New Roman" w:cs="Times New Roman"/>
          <w:color w:val="000000"/>
          <w:sz w:val="24"/>
          <w:szCs w:val="24"/>
        </w:rPr>
        <w:t>).</w:t>
      </w:r>
    </w:p>
    <w:p w14:paraId="279C517B" w14:textId="2DDB5671" w:rsidR="004D54F2" w:rsidRPr="00886F53" w:rsidRDefault="00A324D3" w:rsidP="0027517F">
      <w:pPr>
        <w:pStyle w:val="aff"/>
        <w:numPr>
          <w:ilvl w:val="3"/>
          <w:numId w:val="133"/>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t>Blood biochemical indexes</w:t>
      </w:r>
      <w:r w:rsidR="004D54F2" w:rsidRPr="00886F53">
        <w:rPr>
          <w:rFonts w:ascii="Times New Roman" w:hAnsi="Times New Roman" w:cs="Times New Roman"/>
          <w:color w:val="000000"/>
          <w:sz w:val="24"/>
          <w:szCs w:val="24"/>
        </w:rPr>
        <w:t xml:space="preserve"> (fasting) (if the visit is within </w:t>
      </w:r>
      <w:r w:rsidR="00EA599D">
        <w:rPr>
          <w:rFonts w:ascii="Times New Roman" w:hAnsi="Times New Roman" w:cs="Times New Roman"/>
          <w:color w:val="000000"/>
          <w:sz w:val="24"/>
          <w:szCs w:val="24"/>
        </w:rPr>
        <w:t>one</w:t>
      </w:r>
      <w:r w:rsidR="004D54F2" w:rsidRPr="00886F53">
        <w:rPr>
          <w:rFonts w:ascii="Times New Roman" w:hAnsi="Times New Roman" w:cs="Times New Roman"/>
          <w:color w:val="000000"/>
          <w:sz w:val="24"/>
          <w:szCs w:val="24"/>
        </w:rPr>
        <w:t xml:space="preserve"> year after the CT103A cell infusion</w:t>
      </w:r>
      <w:r w:rsidR="006C6092" w:rsidRPr="00886F53">
        <w:rPr>
          <w:rFonts w:ascii="Times New Roman" w:hAnsi="Times New Roman" w:cs="Times New Roman"/>
          <w:color w:val="000000"/>
          <w:sz w:val="24"/>
          <w:szCs w:val="24"/>
        </w:rPr>
        <w:t>).</w:t>
      </w:r>
    </w:p>
    <w:p w14:paraId="32EEA4E4" w14:textId="7690F699" w:rsidR="004D54F2" w:rsidRPr="00886F53" w:rsidRDefault="004D54F2" w:rsidP="0027517F">
      <w:pPr>
        <w:pStyle w:val="aff"/>
        <w:numPr>
          <w:ilvl w:val="3"/>
          <w:numId w:val="133"/>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Urinalysis (if the visit is within </w:t>
      </w:r>
      <w:r w:rsidR="00EA599D">
        <w:rPr>
          <w:rFonts w:ascii="Times New Roman" w:hAnsi="Times New Roman" w:cs="Times New Roman"/>
          <w:color w:val="000000"/>
          <w:sz w:val="24"/>
          <w:szCs w:val="24"/>
        </w:rPr>
        <w:t>one</w:t>
      </w:r>
      <w:r w:rsidRPr="00886F53">
        <w:rPr>
          <w:rFonts w:ascii="Times New Roman" w:hAnsi="Times New Roman" w:cs="Times New Roman"/>
          <w:color w:val="000000"/>
          <w:sz w:val="24"/>
          <w:szCs w:val="24"/>
        </w:rPr>
        <w:t xml:space="preserve"> year after the CT103A cell infusion</w:t>
      </w:r>
      <w:r w:rsidR="006C6092" w:rsidRPr="00886F53">
        <w:rPr>
          <w:rFonts w:ascii="Times New Roman" w:hAnsi="Times New Roman" w:cs="Times New Roman"/>
          <w:color w:val="000000"/>
          <w:sz w:val="24"/>
          <w:szCs w:val="24"/>
        </w:rPr>
        <w:t>).</w:t>
      </w:r>
    </w:p>
    <w:p w14:paraId="08388411" w14:textId="71A4A8E8" w:rsidR="004D54F2" w:rsidRPr="00886F53" w:rsidRDefault="004D54F2" w:rsidP="0027517F">
      <w:pPr>
        <w:pStyle w:val="aff"/>
        <w:numPr>
          <w:ilvl w:val="3"/>
          <w:numId w:val="133"/>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Coagulation (if the visit is within </w:t>
      </w:r>
      <w:r w:rsidR="00EA599D">
        <w:rPr>
          <w:rFonts w:ascii="Times New Roman" w:hAnsi="Times New Roman" w:cs="Times New Roman"/>
          <w:color w:val="000000"/>
          <w:sz w:val="24"/>
          <w:szCs w:val="24"/>
        </w:rPr>
        <w:t>one</w:t>
      </w:r>
      <w:r w:rsidRPr="00886F53">
        <w:rPr>
          <w:rFonts w:ascii="Times New Roman" w:hAnsi="Times New Roman" w:cs="Times New Roman"/>
          <w:color w:val="000000"/>
          <w:sz w:val="24"/>
          <w:szCs w:val="24"/>
        </w:rPr>
        <w:t xml:space="preserve"> year after the CT103A cell infusion</w:t>
      </w:r>
      <w:r w:rsidR="006C6092" w:rsidRPr="00886F53">
        <w:rPr>
          <w:rFonts w:ascii="Times New Roman" w:hAnsi="Times New Roman" w:cs="Times New Roman"/>
          <w:color w:val="000000"/>
          <w:sz w:val="24"/>
          <w:szCs w:val="24"/>
        </w:rPr>
        <w:t>).</w:t>
      </w:r>
    </w:p>
    <w:p w14:paraId="7B2F2D5B" w14:textId="01709EE0" w:rsidR="004D54F2" w:rsidRPr="00886F53" w:rsidRDefault="004D54F2" w:rsidP="0027517F">
      <w:pPr>
        <w:pStyle w:val="aff"/>
        <w:numPr>
          <w:ilvl w:val="3"/>
          <w:numId w:val="133"/>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Virology/syphilis </w:t>
      </w:r>
      <w:r w:rsidR="006C6092" w:rsidRPr="00886F53">
        <w:rPr>
          <w:rFonts w:ascii="Times New Roman" w:hAnsi="Times New Roman" w:cs="Times New Roman"/>
          <w:color w:val="000000"/>
          <w:sz w:val="24"/>
          <w:szCs w:val="24"/>
        </w:rPr>
        <w:t>test.</w:t>
      </w:r>
    </w:p>
    <w:p w14:paraId="5BEBEA34" w14:textId="3482A723" w:rsidR="004D54F2" w:rsidRPr="00886F53" w:rsidRDefault="004D54F2" w:rsidP="0027517F">
      <w:pPr>
        <w:pStyle w:val="aff"/>
        <w:numPr>
          <w:ilvl w:val="3"/>
          <w:numId w:val="133"/>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Echocardiogram examination (if the visit is within </w:t>
      </w:r>
      <w:r w:rsidR="00EA599D">
        <w:rPr>
          <w:rFonts w:ascii="Times New Roman" w:hAnsi="Times New Roman" w:cs="Times New Roman"/>
          <w:color w:val="000000"/>
          <w:sz w:val="24"/>
          <w:szCs w:val="24"/>
        </w:rPr>
        <w:t>one</w:t>
      </w:r>
      <w:r w:rsidRPr="00886F53">
        <w:rPr>
          <w:rFonts w:ascii="Times New Roman" w:hAnsi="Times New Roman" w:cs="Times New Roman"/>
          <w:color w:val="000000"/>
          <w:sz w:val="24"/>
          <w:szCs w:val="24"/>
        </w:rPr>
        <w:t xml:space="preserve"> year after the CT103A cell infusion</w:t>
      </w:r>
      <w:r w:rsidR="006C6092" w:rsidRPr="00886F53">
        <w:rPr>
          <w:rFonts w:ascii="Times New Roman" w:hAnsi="Times New Roman" w:cs="Times New Roman"/>
          <w:color w:val="000000"/>
          <w:sz w:val="24"/>
          <w:szCs w:val="24"/>
        </w:rPr>
        <w:t>).</w:t>
      </w:r>
    </w:p>
    <w:p w14:paraId="0484A755" w14:textId="688C971C" w:rsidR="004D54F2" w:rsidRPr="00886F53" w:rsidRDefault="004D54F2" w:rsidP="0027517F">
      <w:pPr>
        <w:pStyle w:val="aff"/>
        <w:numPr>
          <w:ilvl w:val="3"/>
          <w:numId w:val="133"/>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12-lead </w:t>
      </w:r>
      <w:r w:rsidR="0048556E">
        <w:rPr>
          <w:rFonts w:ascii="Times New Roman" w:hAnsi="Times New Roman" w:cs="Times New Roman"/>
          <w:color w:val="000000"/>
          <w:sz w:val="24"/>
          <w:szCs w:val="24"/>
        </w:rPr>
        <w:t>ECG</w:t>
      </w:r>
      <w:r w:rsidRPr="00886F53">
        <w:rPr>
          <w:rFonts w:ascii="Times New Roman" w:hAnsi="Times New Roman" w:cs="Times New Roman"/>
          <w:color w:val="000000"/>
          <w:sz w:val="24"/>
          <w:szCs w:val="24"/>
        </w:rPr>
        <w:t xml:space="preserve"> (if the visit is within </w:t>
      </w:r>
      <w:r w:rsidR="00EA599D">
        <w:rPr>
          <w:rFonts w:ascii="Times New Roman" w:hAnsi="Times New Roman" w:cs="Times New Roman"/>
          <w:color w:val="000000"/>
          <w:sz w:val="24"/>
          <w:szCs w:val="24"/>
        </w:rPr>
        <w:t>one</w:t>
      </w:r>
      <w:r w:rsidRPr="00886F53">
        <w:rPr>
          <w:rFonts w:ascii="Times New Roman" w:hAnsi="Times New Roman" w:cs="Times New Roman"/>
          <w:color w:val="000000"/>
          <w:sz w:val="24"/>
          <w:szCs w:val="24"/>
        </w:rPr>
        <w:t xml:space="preserve"> year after the CT103A cell infusion</w:t>
      </w:r>
      <w:r w:rsidR="006C6092" w:rsidRPr="00886F53">
        <w:rPr>
          <w:rFonts w:ascii="Times New Roman" w:hAnsi="Times New Roman" w:cs="Times New Roman"/>
          <w:color w:val="000000"/>
          <w:sz w:val="24"/>
          <w:szCs w:val="24"/>
        </w:rPr>
        <w:t>).</w:t>
      </w:r>
    </w:p>
    <w:p w14:paraId="70142491" w14:textId="7E77447E" w:rsidR="004D54F2" w:rsidRPr="00886F53" w:rsidRDefault="004D54F2" w:rsidP="0027517F">
      <w:pPr>
        <w:pStyle w:val="aff"/>
        <w:numPr>
          <w:ilvl w:val="3"/>
          <w:numId w:val="133"/>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Peripheral blood smear </w:t>
      </w:r>
      <w:r w:rsidR="006C6092" w:rsidRPr="00886F53">
        <w:rPr>
          <w:rFonts w:ascii="Times New Roman" w:hAnsi="Times New Roman" w:cs="Times New Roman"/>
          <w:color w:val="000000"/>
          <w:sz w:val="24"/>
          <w:szCs w:val="24"/>
        </w:rPr>
        <w:t>test.</w:t>
      </w:r>
      <w:r w:rsidRPr="00886F53">
        <w:rPr>
          <w:rFonts w:ascii="Times New Roman" w:hAnsi="Times New Roman" w:cs="Times New Roman"/>
          <w:color w:val="000000"/>
          <w:sz w:val="24"/>
          <w:szCs w:val="24"/>
        </w:rPr>
        <w:t xml:space="preserve"> </w:t>
      </w:r>
    </w:p>
    <w:p w14:paraId="4FCBD3D3" w14:textId="408B874A" w:rsidR="004D54F2" w:rsidRPr="00886F53" w:rsidRDefault="004D54F2" w:rsidP="0027517F">
      <w:pPr>
        <w:pStyle w:val="aff"/>
        <w:numPr>
          <w:ilvl w:val="3"/>
          <w:numId w:val="133"/>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Serum calcium and albumin corrected </w:t>
      </w:r>
      <w:r w:rsidR="006C6092" w:rsidRPr="00886F53">
        <w:rPr>
          <w:rFonts w:ascii="Times New Roman" w:hAnsi="Times New Roman" w:cs="Times New Roman"/>
          <w:color w:val="000000"/>
          <w:sz w:val="24"/>
          <w:szCs w:val="24"/>
        </w:rPr>
        <w:t>calcium.</w:t>
      </w:r>
    </w:p>
    <w:p w14:paraId="598A16F3" w14:textId="43D202EA" w:rsidR="004D54F2" w:rsidRPr="00886F53" w:rsidRDefault="004D54F2" w:rsidP="0027517F">
      <w:pPr>
        <w:pStyle w:val="aff"/>
        <w:numPr>
          <w:ilvl w:val="3"/>
          <w:numId w:val="133"/>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β2-microglobulin </w:t>
      </w:r>
      <w:r w:rsidR="006C6092" w:rsidRPr="00886F53">
        <w:rPr>
          <w:rFonts w:ascii="Times New Roman" w:hAnsi="Times New Roman" w:cs="Times New Roman"/>
          <w:color w:val="000000"/>
          <w:sz w:val="24"/>
          <w:szCs w:val="24"/>
        </w:rPr>
        <w:t>test.</w:t>
      </w:r>
    </w:p>
    <w:p w14:paraId="219F4531" w14:textId="06CF62A1" w:rsidR="004D54F2" w:rsidRPr="00886F53" w:rsidRDefault="004D54F2" w:rsidP="0027517F">
      <w:pPr>
        <w:pStyle w:val="aff"/>
        <w:numPr>
          <w:ilvl w:val="3"/>
          <w:numId w:val="133"/>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Inflammatory factor (if the visit is within </w:t>
      </w:r>
      <w:r w:rsidR="00EA599D">
        <w:rPr>
          <w:rFonts w:ascii="Times New Roman" w:hAnsi="Times New Roman" w:cs="Times New Roman"/>
          <w:color w:val="000000"/>
          <w:sz w:val="24"/>
          <w:szCs w:val="24"/>
        </w:rPr>
        <w:t>one</w:t>
      </w:r>
      <w:r w:rsidRPr="00886F53">
        <w:rPr>
          <w:rFonts w:ascii="Times New Roman" w:hAnsi="Times New Roman" w:cs="Times New Roman"/>
          <w:color w:val="000000"/>
          <w:sz w:val="24"/>
          <w:szCs w:val="24"/>
        </w:rPr>
        <w:t xml:space="preserve"> year after CT103A cell infusion</w:t>
      </w:r>
      <w:r w:rsidR="006C6092" w:rsidRPr="00886F53">
        <w:rPr>
          <w:rFonts w:ascii="Times New Roman" w:hAnsi="Times New Roman" w:cs="Times New Roman"/>
          <w:color w:val="000000"/>
          <w:sz w:val="24"/>
          <w:szCs w:val="24"/>
        </w:rPr>
        <w:t>).</w:t>
      </w:r>
    </w:p>
    <w:p w14:paraId="762E2544" w14:textId="62F97BA1" w:rsidR="004D54F2" w:rsidRPr="00886F53" w:rsidRDefault="004D54F2" w:rsidP="0027517F">
      <w:pPr>
        <w:pStyle w:val="aff"/>
        <w:numPr>
          <w:ilvl w:val="3"/>
          <w:numId w:val="133"/>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Quantification of serum </w:t>
      </w:r>
      <w:r w:rsidR="006C6092" w:rsidRPr="00886F53">
        <w:rPr>
          <w:rFonts w:ascii="Times New Roman" w:hAnsi="Times New Roman" w:cs="Times New Roman"/>
          <w:color w:val="000000"/>
          <w:sz w:val="24"/>
          <w:szCs w:val="24"/>
        </w:rPr>
        <w:t>immunoglobulin.</w:t>
      </w:r>
    </w:p>
    <w:p w14:paraId="635891F2" w14:textId="1808C1C2" w:rsidR="004D54F2" w:rsidRPr="00886F53" w:rsidRDefault="004D54F2" w:rsidP="0027517F">
      <w:pPr>
        <w:pStyle w:val="aff"/>
        <w:numPr>
          <w:ilvl w:val="3"/>
          <w:numId w:val="133"/>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Quantification of serum free light </w:t>
      </w:r>
      <w:r w:rsidR="006C6092" w:rsidRPr="00886F53">
        <w:rPr>
          <w:rFonts w:ascii="Times New Roman" w:hAnsi="Times New Roman" w:cs="Times New Roman"/>
          <w:color w:val="000000"/>
          <w:sz w:val="24"/>
          <w:szCs w:val="24"/>
        </w:rPr>
        <w:t>chain.</w:t>
      </w:r>
    </w:p>
    <w:p w14:paraId="57E3CEA6" w14:textId="22FDE308" w:rsidR="004D54F2" w:rsidRPr="00886F53" w:rsidRDefault="004D54F2" w:rsidP="0027517F">
      <w:pPr>
        <w:pStyle w:val="aff"/>
        <w:numPr>
          <w:ilvl w:val="3"/>
          <w:numId w:val="133"/>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Serum protein </w:t>
      </w:r>
      <w:r w:rsidR="006C6092" w:rsidRPr="00886F53">
        <w:rPr>
          <w:rFonts w:ascii="Times New Roman" w:hAnsi="Times New Roman" w:cs="Times New Roman"/>
          <w:color w:val="000000"/>
          <w:sz w:val="24"/>
          <w:szCs w:val="24"/>
        </w:rPr>
        <w:t>electrophoresis.</w:t>
      </w:r>
    </w:p>
    <w:p w14:paraId="597B990F" w14:textId="00FB5C30" w:rsidR="004D54F2" w:rsidRPr="00886F53" w:rsidRDefault="004D54F2" w:rsidP="0027517F">
      <w:pPr>
        <w:pStyle w:val="aff"/>
        <w:numPr>
          <w:ilvl w:val="3"/>
          <w:numId w:val="133"/>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Serum immunofixation </w:t>
      </w:r>
      <w:r w:rsidR="006C6092" w:rsidRPr="00886F53">
        <w:rPr>
          <w:rFonts w:ascii="Times New Roman" w:hAnsi="Times New Roman" w:cs="Times New Roman"/>
          <w:color w:val="000000"/>
          <w:sz w:val="24"/>
          <w:szCs w:val="24"/>
        </w:rPr>
        <w:t>electrophoresis.</w:t>
      </w:r>
    </w:p>
    <w:p w14:paraId="75ABBDB8" w14:textId="460C4C58" w:rsidR="004D54F2" w:rsidRPr="00886F53" w:rsidRDefault="004D54F2" w:rsidP="0027517F">
      <w:pPr>
        <w:pStyle w:val="aff"/>
        <w:numPr>
          <w:ilvl w:val="3"/>
          <w:numId w:val="133"/>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Quantification of 24 h urine M </w:t>
      </w:r>
      <w:r w:rsidR="006C6092" w:rsidRPr="00886F53">
        <w:rPr>
          <w:rFonts w:ascii="Times New Roman" w:hAnsi="Times New Roman" w:cs="Times New Roman"/>
          <w:color w:val="000000"/>
          <w:sz w:val="24"/>
          <w:szCs w:val="24"/>
        </w:rPr>
        <w:t>protein.</w:t>
      </w:r>
    </w:p>
    <w:p w14:paraId="589A43EA" w14:textId="60D99A91" w:rsidR="004D54F2" w:rsidRPr="00886F53" w:rsidRDefault="004D54F2" w:rsidP="0027517F">
      <w:pPr>
        <w:pStyle w:val="aff"/>
        <w:numPr>
          <w:ilvl w:val="3"/>
          <w:numId w:val="133"/>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Quantification of 24 h urine light </w:t>
      </w:r>
      <w:r w:rsidR="006C6092" w:rsidRPr="00886F53">
        <w:rPr>
          <w:rFonts w:ascii="Times New Roman" w:hAnsi="Times New Roman" w:cs="Times New Roman"/>
          <w:color w:val="000000"/>
          <w:sz w:val="24"/>
          <w:szCs w:val="24"/>
        </w:rPr>
        <w:t>chain.</w:t>
      </w:r>
    </w:p>
    <w:p w14:paraId="312C3C74" w14:textId="170BA6BD" w:rsidR="004D54F2" w:rsidRPr="00886F53" w:rsidRDefault="004D54F2" w:rsidP="0027517F">
      <w:pPr>
        <w:pStyle w:val="aff"/>
        <w:numPr>
          <w:ilvl w:val="3"/>
          <w:numId w:val="133"/>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lastRenderedPageBreak/>
        <w:t xml:space="preserve">Urine protein </w:t>
      </w:r>
      <w:r w:rsidR="006C6092" w:rsidRPr="00886F53">
        <w:rPr>
          <w:rFonts w:ascii="Times New Roman" w:hAnsi="Times New Roman" w:cs="Times New Roman"/>
          <w:color w:val="000000"/>
          <w:sz w:val="24"/>
          <w:szCs w:val="24"/>
        </w:rPr>
        <w:t>electrophoresis.</w:t>
      </w:r>
    </w:p>
    <w:p w14:paraId="0917FCD2" w14:textId="35085004" w:rsidR="004D54F2" w:rsidRPr="00886F53" w:rsidRDefault="004D54F2" w:rsidP="0027517F">
      <w:pPr>
        <w:pStyle w:val="aff"/>
        <w:numPr>
          <w:ilvl w:val="3"/>
          <w:numId w:val="133"/>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Urine protein immunofixation </w:t>
      </w:r>
      <w:r w:rsidR="006C6092" w:rsidRPr="00886F53">
        <w:rPr>
          <w:rFonts w:ascii="Times New Roman" w:hAnsi="Times New Roman" w:cs="Times New Roman"/>
          <w:color w:val="000000"/>
          <w:sz w:val="24"/>
          <w:szCs w:val="24"/>
        </w:rPr>
        <w:t>electrophoresis.</w:t>
      </w:r>
    </w:p>
    <w:p w14:paraId="784AAD1F" w14:textId="03F24D4D" w:rsidR="004D54F2" w:rsidRPr="00886F53" w:rsidRDefault="004D54F2" w:rsidP="0027517F">
      <w:pPr>
        <w:pStyle w:val="aff"/>
        <w:numPr>
          <w:ilvl w:val="3"/>
          <w:numId w:val="133"/>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Bone marrow aspiration includes cell smear morphology, bone marrow biopsy pathology + immunohistochemistry, cytogenetics (FISH), </w:t>
      </w:r>
      <w:r w:rsidR="00EA599D">
        <w:rPr>
          <w:rFonts w:ascii="Times New Roman" w:hAnsi="Times New Roman" w:cs="Times New Roman"/>
          <w:color w:val="000000"/>
          <w:sz w:val="24"/>
          <w:szCs w:val="24"/>
        </w:rPr>
        <w:t xml:space="preserve">and </w:t>
      </w:r>
      <w:r w:rsidRPr="00886F53">
        <w:rPr>
          <w:rFonts w:ascii="Times New Roman" w:hAnsi="Times New Roman" w:cs="Times New Roman"/>
          <w:color w:val="000000"/>
          <w:sz w:val="24"/>
          <w:szCs w:val="24"/>
        </w:rPr>
        <w:t>bone marrow immunophenotyping tests by flow cytometry</w:t>
      </w:r>
      <w:r w:rsidR="00EA599D">
        <w:rPr>
          <w:rFonts w:ascii="Times New Roman" w:hAnsi="Times New Roman" w:cs="Times New Roman"/>
          <w:color w:val="000000"/>
          <w:sz w:val="24"/>
          <w:szCs w:val="24"/>
        </w:rPr>
        <w:t>,</w:t>
      </w:r>
      <w:r w:rsidRPr="00886F53">
        <w:rPr>
          <w:rFonts w:ascii="Times New Roman" w:hAnsi="Times New Roman" w:cs="Times New Roman"/>
          <w:color w:val="000000"/>
          <w:sz w:val="24"/>
          <w:szCs w:val="24"/>
        </w:rPr>
        <w:t xml:space="preserve"> including </w:t>
      </w:r>
      <w:r w:rsidR="006C6092" w:rsidRPr="00886F53">
        <w:rPr>
          <w:rFonts w:ascii="Times New Roman" w:hAnsi="Times New Roman" w:cs="Times New Roman"/>
          <w:color w:val="000000"/>
          <w:sz w:val="24"/>
          <w:szCs w:val="24"/>
        </w:rPr>
        <w:t>MRD.</w:t>
      </w:r>
    </w:p>
    <w:p w14:paraId="63E07E3D" w14:textId="17CA37CE" w:rsidR="004D54F2" w:rsidRPr="00886F53" w:rsidRDefault="004D54F2" w:rsidP="0027517F">
      <w:pPr>
        <w:pStyle w:val="aff"/>
        <w:numPr>
          <w:ilvl w:val="3"/>
          <w:numId w:val="133"/>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It is determined by the investigator according to the clinical indications. The examination methods of the same patient should be consistent during the follow-up period.</w:t>
      </w:r>
    </w:p>
    <w:p w14:paraId="3657CD4B" w14:textId="6378B35E" w:rsidR="004D54F2" w:rsidRPr="00886F53" w:rsidRDefault="004D54F2" w:rsidP="0027517F">
      <w:pPr>
        <w:pStyle w:val="aff"/>
        <w:numPr>
          <w:ilvl w:val="3"/>
          <w:numId w:val="133"/>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Peripheral blood CT103A cell test</w:t>
      </w:r>
      <w:r w:rsidR="006C6092">
        <w:rPr>
          <w:rFonts w:ascii="Times New Roman" w:hAnsi="Times New Roman" w:cs="Times New Roman"/>
          <w:color w:val="000000"/>
          <w:sz w:val="24"/>
          <w:szCs w:val="24"/>
        </w:rPr>
        <w:t>.</w:t>
      </w:r>
    </w:p>
    <w:p w14:paraId="616B75A2" w14:textId="018C22D2" w:rsidR="004D54F2" w:rsidRPr="00886F53" w:rsidRDefault="004D54F2" w:rsidP="0027517F">
      <w:pPr>
        <w:pStyle w:val="aff"/>
        <w:numPr>
          <w:ilvl w:val="3"/>
          <w:numId w:val="133"/>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PK blood collection (</w:t>
      </w:r>
      <w:r w:rsidR="00EA599D">
        <w:rPr>
          <w:rFonts w:ascii="Times New Roman" w:hAnsi="Times New Roman" w:cs="Times New Roman"/>
          <w:color w:val="000000"/>
          <w:sz w:val="24"/>
          <w:szCs w:val="24"/>
        </w:rPr>
        <w:t xml:space="preserve">an </w:t>
      </w:r>
      <w:r w:rsidRPr="00886F53">
        <w:rPr>
          <w:rFonts w:ascii="Times New Roman" w:hAnsi="Times New Roman" w:cs="Times New Roman"/>
          <w:color w:val="000000"/>
          <w:sz w:val="24"/>
          <w:szCs w:val="24"/>
        </w:rPr>
        <w:t>additional 3 mL is collected for exploratory studies)</w:t>
      </w:r>
      <w:r w:rsidR="006C6092">
        <w:rPr>
          <w:rFonts w:ascii="Times New Roman" w:hAnsi="Times New Roman" w:cs="Times New Roman"/>
          <w:color w:val="000000"/>
          <w:sz w:val="24"/>
          <w:szCs w:val="24"/>
        </w:rPr>
        <w:t>.</w:t>
      </w:r>
    </w:p>
    <w:p w14:paraId="728CBB50" w14:textId="77777777" w:rsidR="004D54F2" w:rsidRPr="00886F53" w:rsidRDefault="004D54F2" w:rsidP="0027517F">
      <w:pPr>
        <w:pStyle w:val="aff"/>
        <w:numPr>
          <w:ilvl w:val="3"/>
          <w:numId w:val="133"/>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VCN Test:</w:t>
      </w:r>
    </w:p>
    <w:p w14:paraId="1BFAE8BF" w14:textId="374CCEFA" w:rsidR="004D54F2" w:rsidRPr="00886F53" w:rsidRDefault="004D54F2" w:rsidP="0027517F">
      <w:pPr>
        <w:pStyle w:val="aff"/>
        <w:numPr>
          <w:ilvl w:val="3"/>
          <w:numId w:val="133"/>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IMWG efficacy evaluation</w:t>
      </w:r>
      <w:r w:rsidR="006C6092">
        <w:rPr>
          <w:rFonts w:ascii="Times New Roman" w:hAnsi="Times New Roman" w:cs="Times New Roman"/>
          <w:color w:val="000000"/>
          <w:sz w:val="24"/>
          <w:szCs w:val="24"/>
        </w:rPr>
        <w:t>.</w:t>
      </w:r>
    </w:p>
    <w:p w14:paraId="03BFA475" w14:textId="13DAD4D1" w:rsidR="004D54F2" w:rsidRPr="00886F53" w:rsidRDefault="004D54F2" w:rsidP="0027517F">
      <w:pPr>
        <w:pStyle w:val="aff"/>
        <w:numPr>
          <w:ilvl w:val="3"/>
          <w:numId w:val="133"/>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 xml:space="preserve">Blood pregnancy test (if the visit is within </w:t>
      </w:r>
      <w:r w:rsidR="00EA599D">
        <w:rPr>
          <w:rFonts w:ascii="Times New Roman" w:hAnsi="Times New Roman" w:cs="Times New Roman"/>
          <w:color w:val="000000"/>
          <w:sz w:val="24"/>
          <w:szCs w:val="24"/>
        </w:rPr>
        <w:t>one</w:t>
      </w:r>
      <w:r w:rsidRPr="00886F53">
        <w:rPr>
          <w:rFonts w:ascii="Times New Roman" w:hAnsi="Times New Roman" w:cs="Times New Roman"/>
          <w:color w:val="000000"/>
          <w:sz w:val="24"/>
          <w:szCs w:val="24"/>
        </w:rPr>
        <w:t xml:space="preserve"> year after the CT103A cell infusion)</w:t>
      </w:r>
      <w:r w:rsidR="006C6092">
        <w:rPr>
          <w:rFonts w:ascii="Times New Roman" w:hAnsi="Times New Roman" w:cs="Times New Roman"/>
          <w:color w:val="000000"/>
          <w:sz w:val="24"/>
          <w:szCs w:val="24"/>
        </w:rPr>
        <w:t>.</w:t>
      </w:r>
    </w:p>
    <w:p w14:paraId="6A14D167" w14:textId="46B9672B" w:rsidR="004D54F2" w:rsidRPr="00886F53" w:rsidRDefault="004D54F2" w:rsidP="0027517F">
      <w:pPr>
        <w:pStyle w:val="aff"/>
        <w:numPr>
          <w:ilvl w:val="3"/>
          <w:numId w:val="133"/>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Record concomitant treatment</w:t>
      </w:r>
      <w:r w:rsidR="006C6092">
        <w:rPr>
          <w:rFonts w:ascii="Times New Roman" w:hAnsi="Times New Roman" w:cs="Times New Roman"/>
          <w:color w:val="000000"/>
          <w:sz w:val="24"/>
          <w:szCs w:val="24"/>
        </w:rPr>
        <w:t>.</w:t>
      </w:r>
    </w:p>
    <w:p w14:paraId="3BB23F66" w14:textId="51B7BA81" w:rsidR="004D54F2" w:rsidRPr="00886F53" w:rsidRDefault="004D54F2" w:rsidP="0027517F">
      <w:pPr>
        <w:pStyle w:val="aff"/>
        <w:numPr>
          <w:ilvl w:val="3"/>
          <w:numId w:val="133"/>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AEs</w:t>
      </w:r>
      <w:r w:rsidR="006C6092">
        <w:rPr>
          <w:rFonts w:ascii="Times New Roman" w:hAnsi="Times New Roman" w:cs="Times New Roman"/>
          <w:color w:val="000000"/>
          <w:sz w:val="24"/>
          <w:szCs w:val="24"/>
        </w:rPr>
        <w:t>.</w:t>
      </w:r>
    </w:p>
    <w:p w14:paraId="199C575C" w14:textId="1F97579A" w:rsidR="004D54F2" w:rsidRPr="00886F53" w:rsidRDefault="004D54F2" w:rsidP="0027517F">
      <w:pPr>
        <w:pStyle w:val="aff"/>
        <w:numPr>
          <w:ilvl w:val="3"/>
          <w:numId w:val="133"/>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SAEs.</w:t>
      </w:r>
    </w:p>
    <w:p w14:paraId="1DD013A1" w14:textId="77777777" w:rsidR="004D54F2" w:rsidRPr="00886F53" w:rsidRDefault="004D54F2" w:rsidP="0027517F">
      <w:pPr>
        <w:pStyle w:val="aff"/>
        <w:numPr>
          <w:ilvl w:val="3"/>
          <w:numId w:val="133"/>
        </w:numPr>
        <w:tabs>
          <w:tab w:val="left" w:pos="916"/>
          <w:tab w:val="left" w:pos="1832"/>
          <w:tab w:val="left" w:pos="231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418" w:hanging="418"/>
        <w:contextualSpacing w:val="0"/>
        <w:jc w:val="both"/>
        <w:rPr>
          <w:rFonts w:ascii="Times New Roman" w:hAnsi="Times New Roman" w:cs="Times New Roman"/>
          <w:color w:val="000000"/>
          <w:sz w:val="24"/>
          <w:szCs w:val="24"/>
        </w:rPr>
      </w:pPr>
      <w:r w:rsidRPr="00886F53">
        <w:rPr>
          <w:rFonts w:ascii="Times New Roman" w:hAnsi="Times New Roman" w:cs="Times New Roman"/>
          <w:color w:val="000000"/>
          <w:sz w:val="24"/>
          <w:szCs w:val="24"/>
        </w:rPr>
        <w:t>Subsequent tumor treatment.</w:t>
      </w:r>
    </w:p>
    <w:p w14:paraId="528DCB99" w14:textId="4EF8BCE7" w:rsidR="004D54F2" w:rsidRDefault="004D54F2" w:rsidP="0027517F">
      <w:pPr>
        <w:pStyle w:val="20"/>
        <w:jc w:val="both"/>
      </w:pPr>
      <w:bookmarkStart w:id="146" w:name="_Toc112064874"/>
      <w:r>
        <w:t>Unscheduled visits</w:t>
      </w:r>
      <w:bookmarkEnd w:id="146"/>
    </w:p>
    <w:p w14:paraId="24C88AB2" w14:textId="08EDD3F3" w:rsidR="004D54F2" w:rsidRDefault="004D54F2" w:rsidP="0027517F">
      <w:pPr>
        <w:jc w:val="both"/>
      </w:pPr>
      <w:r>
        <w:t xml:space="preserve">Unscheduled visits that occur during the study and after the </w:t>
      </w:r>
      <w:r w:rsidR="00EA599D" w:rsidRPr="00886F53">
        <w:rPr>
          <w:color w:val="000000"/>
        </w:rPr>
        <w:t>out</w:t>
      </w:r>
      <w:r w:rsidR="00EA599D">
        <w:rPr>
          <w:color w:val="000000"/>
        </w:rPr>
        <w:t>-</w:t>
      </w:r>
      <w:r w:rsidR="00EA599D" w:rsidRPr="00886F53">
        <w:rPr>
          <w:color w:val="000000"/>
        </w:rPr>
        <w:t>of</w:t>
      </w:r>
      <w:r w:rsidR="00EA599D">
        <w:rPr>
          <w:color w:val="000000"/>
        </w:rPr>
        <w:t>-</w:t>
      </w:r>
      <w:r w:rsidR="00EA599D" w:rsidRPr="00886F53">
        <w:rPr>
          <w:color w:val="000000"/>
        </w:rPr>
        <w:t>study</w:t>
      </w:r>
      <w:r>
        <w:t xml:space="preserve"> should be recorded in the original document and eCRF. During the unscheduled visits, vital signs, physical examinations, AEs, concomitant medications, treatment</w:t>
      </w:r>
      <w:r w:rsidR="00EA599D">
        <w:t>,</w:t>
      </w:r>
      <w:r>
        <w:t xml:space="preserve"> and changes should be recorded. If the patient withdraws from the unscheduled visit, the above details should be recorded in the original document and the withdrawal section of the eCRF.</w:t>
      </w:r>
    </w:p>
    <w:p w14:paraId="02E84C9F" w14:textId="5E907DBD" w:rsidR="009B3E9F" w:rsidRPr="00C820E8" w:rsidRDefault="00C97952" w:rsidP="0027517F">
      <w:pPr>
        <w:pStyle w:val="1"/>
        <w:jc w:val="both"/>
      </w:pPr>
      <w:bookmarkStart w:id="147" w:name="_Toc112064875"/>
      <w:r>
        <w:lastRenderedPageBreak/>
        <w:t>SAFETY</w:t>
      </w:r>
      <w:r w:rsidR="59296029">
        <w:t xml:space="preserve"> </w:t>
      </w:r>
      <w:r w:rsidR="00270C9D" w:rsidRPr="00C820E8">
        <w:t>ASSESSMENTS</w:t>
      </w:r>
      <w:bookmarkEnd w:id="115"/>
      <w:bookmarkEnd w:id="116"/>
      <w:bookmarkEnd w:id="117"/>
      <w:bookmarkEnd w:id="147"/>
    </w:p>
    <w:p w14:paraId="28408C77" w14:textId="498380C9" w:rsidR="00B9158E" w:rsidRPr="00553F3C" w:rsidRDefault="00B9158E" w:rsidP="0027517F">
      <w:pPr>
        <w:jc w:val="both"/>
      </w:pPr>
      <w:bookmarkStart w:id="148" w:name="_Ref508708850"/>
      <w:bookmarkStart w:id="149" w:name="_Ref90148006"/>
      <w:bookmarkStart w:id="150" w:name="_Ref90148855"/>
      <w:bookmarkStart w:id="151" w:name="_Ref90148891"/>
      <w:r w:rsidRPr="00553F3C">
        <w:t>Safety assessments include AE assessments, ECOG performance status score</w:t>
      </w:r>
      <w:r w:rsidR="00EA599D">
        <w:t>s</w:t>
      </w:r>
      <w:r w:rsidRPr="00553F3C">
        <w:t xml:space="preserve">, laboratory tests, vital signs, physical examination, </w:t>
      </w:r>
      <w:r w:rsidR="0048556E">
        <w:t>ECG</w:t>
      </w:r>
      <w:r w:rsidRPr="00553F3C">
        <w:t>, echocardiogram, etc.</w:t>
      </w:r>
    </w:p>
    <w:p w14:paraId="4F59896C" w14:textId="5D4A0415" w:rsidR="00B9158E" w:rsidRDefault="00B9158E" w:rsidP="0027517F">
      <w:pPr>
        <w:pStyle w:val="20"/>
        <w:jc w:val="both"/>
      </w:pPr>
      <w:bookmarkStart w:id="152" w:name="_Toc112064876"/>
      <w:r>
        <w:t>Adverse Event</w:t>
      </w:r>
      <w:bookmarkEnd w:id="152"/>
    </w:p>
    <w:p w14:paraId="5CBF4D7F" w14:textId="77777777" w:rsidR="009D52C5" w:rsidRDefault="009D52C5" w:rsidP="0027517F">
      <w:pPr>
        <w:pStyle w:val="30"/>
        <w:jc w:val="both"/>
      </w:pPr>
      <w:bookmarkStart w:id="153" w:name="_Toc112064877"/>
      <w:r>
        <w:rPr>
          <w:lang w:val="en"/>
        </w:rPr>
        <w:t>Definition of Adverse Events</w:t>
      </w:r>
      <w:bookmarkEnd w:id="153"/>
    </w:p>
    <w:p w14:paraId="320CED8F" w14:textId="051739D4" w:rsidR="009D52C5" w:rsidRDefault="009D52C5" w:rsidP="0027517F">
      <w:pPr>
        <w:jc w:val="both"/>
      </w:pPr>
      <w:r w:rsidRPr="00553F3C">
        <w:t>An AE is any untoward medical occurrence in a patient which does not necessarily have a causal relationship with the study drug</w:t>
      </w:r>
      <w:r w:rsidR="00713120">
        <w:t>. It</w:t>
      </w:r>
      <w:r w:rsidRPr="00553F3C">
        <w:t xml:space="preserve"> can be any symptom, sign, disease, condition, or laboratory test abnormality that occurs after administration of the study drug.     </w:t>
      </w:r>
    </w:p>
    <w:p w14:paraId="35025A6C" w14:textId="77777777" w:rsidR="009D52C5" w:rsidRDefault="009D52C5" w:rsidP="0027517F">
      <w:pPr>
        <w:jc w:val="both"/>
      </w:pPr>
      <w:r w:rsidRPr="00553F3C">
        <w:t xml:space="preserve">AEs include any event that develops or worsens in severity or frequency from baseline conditions, including laboratory test abnormalities. </w:t>
      </w:r>
    </w:p>
    <w:p w14:paraId="3653A20C" w14:textId="77777777" w:rsidR="009D52C5" w:rsidRDefault="009D52C5" w:rsidP="0027517F">
      <w:pPr>
        <w:jc w:val="both"/>
      </w:pPr>
      <w:r w:rsidRPr="00553F3C">
        <w:t xml:space="preserve">AEs do not include: </w:t>
      </w:r>
    </w:p>
    <w:p w14:paraId="417C84C5" w14:textId="412F8689" w:rsidR="009D52C5" w:rsidRPr="00553F3C" w:rsidRDefault="009D52C5" w:rsidP="0027517F">
      <w:pPr>
        <w:pStyle w:val="Bullet1"/>
        <w:jc w:val="both"/>
      </w:pPr>
      <w:r w:rsidRPr="00553F3C">
        <w:t>Medical or surgical procedures (e</w:t>
      </w:r>
      <w:r w:rsidR="00EA599D">
        <w:t>.g.</w:t>
      </w:r>
      <w:r w:rsidRPr="00553F3C">
        <w:t>, surgery, endoscopy, tooth extraction, transfusion) for which the condition</w:t>
      </w:r>
      <w:r w:rsidR="00EA599D">
        <w:t xml:space="preserve"> is</w:t>
      </w:r>
      <w:r w:rsidRPr="00553F3C">
        <w:t xml:space="preserve"> causing these procedures should be reported as an AE. </w:t>
      </w:r>
    </w:p>
    <w:p w14:paraId="170F1740" w14:textId="5748FD2D" w:rsidR="009D52C5" w:rsidRPr="00553F3C" w:rsidRDefault="009D52C5" w:rsidP="0027517F">
      <w:pPr>
        <w:pStyle w:val="Bullet1"/>
        <w:jc w:val="both"/>
      </w:pPr>
      <w:r w:rsidRPr="00553F3C">
        <w:t xml:space="preserve">Existing diseases or conditions at Screening but not worsened afterward, including laboratory test abnormalities. </w:t>
      </w:r>
    </w:p>
    <w:p w14:paraId="38FBB0F7" w14:textId="2CE19596" w:rsidR="009D52C5" w:rsidRPr="00553F3C" w:rsidRDefault="00713120" w:rsidP="0027517F">
      <w:pPr>
        <w:pStyle w:val="Bullet1"/>
        <w:jc w:val="both"/>
      </w:pPr>
      <w:r>
        <w:t>Anticipa</w:t>
      </w:r>
      <w:r w:rsidRPr="00553F3C">
        <w:t>ted</w:t>
      </w:r>
      <w:r w:rsidR="009D52C5" w:rsidRPr="00553F3C">
        <w:t xml:space="preserve"> progression of the disease and/or </w:t>
      </w:r>
      <w:r w:rsidR="00EA599D">
        <w:t>anticipa</w:t>
      </w:r>
      <w:r w:rsidR="009D52C5" w:rsidRPr="00553F3C">
        <w:t>ted progression of the symptoms and signs of the disease unless greater than expected</w:t>
      </w:r>
      <w:r>
        <w:t>.</w:t>
      </w:r>
      <w:r w:rsidR="009D52C5" w:rsidRPr="00553F3C">
        <w:t xml:space="preserve"> </w:t>
      </w:r>
    </w:p>
    <w:p w14:paraId="41CC0983" w14:textId="4D2A9A4A" w:rsidR="009D52C5" w:rsidRDefault="009D52C5" w:rsidP="0027517F">
      <w:pPr>
        <w:pStyle w:val="30"/>
        <w:jc w:val="both"/>
      </w:pPr>
      <w:bookmarkStart w:id="154" w:name="_Toc112064878"/>
      <w:r>
        <w:rPr>
          <w:lang w:val="en"/>
        </w:rPr>
        <w:t>Serious Adverse Event</w:t>
      </w:r>
      <w:bookmarkEnd w:id="154"/>
    </w:p>
    <w:p w14:paraId="4B95C6A6" w14:textId="63083685" w:rsidR="009D52C5" w:rsidRDefault="009D52C5" w:rsidP="0027517F">
      <w:pPr>
        <w:jc w:val="both"/>
      </w:pPr>
      <w:r w:rsidRPr="00841918">
        <w:t>An SAE is defined as any AE that results in any of the following in a patient that occurs after infusion of the study drug (at any dose):</w:t>
      </w:r>
    </w:p>
    <w:p w14:paraId="4BF2A2E6" w14:textId="7939AD70" w:rsidR="009D52C5" w:rsidRPr="00841918" w:rsidRDefault="00EA599D" w:rsidP="0027517F">
      <w:pPr>
        <w:pStyle w:val="Bullet1"/>
        <w:jc w:val="both"/>
      </w:pPr>
      <w:r>
        <w:t>R</w:t>
      </w:r>
      <w:r w:rsidR="009D52C5" w:rsidRPr="00841918">
        <w:t xml:space="preserve">esults in death. </w:t>
      </w:r>
    </w:p>
    <w:p w14:paraId="36602E2B" w14:textId="44681C38" w:rsidR="009D52C5" w:rsidRPr="00841918" w:rsidRDefault="00EA599D" w:rsidP="0027517F">
      <w:pPr>
        <w:pStyle w:val="Bullet1"/>
        <w:jc w:val="both"/>
      </w:pPr>
      <w:r>
        <w:t>L</w:t>
      </w:r>
      <w:r w:rsidR="009D52C5" w:rsidRPr="00841918">
        <w:t>ife-threatening: an AE is life-threatening if the patient is at immediate risk of death as it occurred</w:t>
      </w:r>
      <w:r w:rsidR="00336D61">
        <w:t>.</w:t>
      </w:r>
      <w:r>
        <w:t xml:space="preserve"> </w:t>
      </w:r>
      <w:r w:rsidR="00336D61">
        <w:t>I</w:t>
      </w:r>
      <w:r w:rsidR="00336D61" w:rsidRPr="00841918">
        <w:t xml:space="preserve">t </w:t>
      </w:r>
      <w:r w:rsidR="009D52C5" w:rsidRPr="00841918">
        <w:t xml:space="preserve">does not include </w:t>
      </w:r>
      <w:r w:rsidR="00336D61">
        <w:t>the condition</w:t>
      </w:r>
      <w:r w:rsidR="009D52C5" w:rsidRPr="00841918">
        <w:t xml:space="preserve"> that might cause death if it </w:t>
      </w:r>
      <w:r w:rsidR="00336D61">
        <w:t>progres</w:t>
      </w:r>
      <w:r>
        <w:t>se</w:t>
      </w:r>
      <w:r w:rsidR="00336D61">
        <w:t>s to</w:t>
      </w:r>
      <w:r w:rsidR="009D52C5" w:rsidRPr="00841918">
        <w:t xml:space="preserve"> a more serious for</w:t>
      </w:r>
      <w:r w:rsidR="00336D61">
        <w:t>m)</w:t>
      </w:r>
      <w:r w:rsidR="009D52C5" w:rsidRPr="00841918">
        <w:t xml:space="preserve">. </w:t>
      </w:r>
    </w:p>
    <w:p w14:paraId="22D7EE95" w14:textId="43D380CA" w:rsidR="009D52C5" w:rsidRDefault="00EA599D" w:rsidP="0027517F">
      <w:pPr>
        <w:pStyle w:val="Bullet1"/>
        <w:jc w:val="both"/>
        <w:rPr>
          <w:rFonts w:eastAsia="宋体" w:cs="Times New Roman"/>
          <w:szCs w:val="24"/>
          <w:u w:color="000000"/>
        </w:rPr>
      </w:pPr>
      <w:r>
        <w:t>R</w:t>
      </w:r>
      <w:r w:rsidR="009D52C5" w:rsidRPr="00841918">
        <w:t>equires or prolongs inpatient hospitalization</w:t>
      </w:r>
    </w:p>
    <w:p w14:paraId="50E87E21" w14:textId="0F160280" w:rsidR="009D52C5" w:rsidRPr="00841918" w:rsidRDefault="00EA599D" w:rsidP="0027517F">
      <w:pPr>
        <w:jc w:val="both"/>
      </w:pPr>
      <w:r>
        <w:t>H</w:t>
      </w:r>
      <w:r w:rsidR="009D52C5" w:rsidRPr="00841918">
        <w:t xml:space="preserve">ospitalization is defined as an overnight stay at the hospital or emergency ward for observation and/or treatment that would not have been appropriate in the outpatient setting. </w:t>
      </w:r>
    </w:p>
    <w:p w14:paraId="42AC7FCF" w14:textId="611D867B" w:rsidR="009D52C5" w:rsidRPr="00841918" w:rsidRDefault="009D52C5" w:rsidP="0027517F">
      <w:pPr>
        <w:jc w:val="both"/>
      </w:pPr>
      <w:r w:rsidRPr="00841918">
        <w:t>Complications occurring during hospitalization are AEs</w:t>
      </w:r>
      <w:r w:rsidR="008C0D1F">
        <w:t>,</w:t>
      </w:r>
      <w:r w:rsidRPr="00841918">
        <w:t xml:space="preserve"> and </w:t>
      </w:r>
      <w:r w:rsidR="008C0D1F">
        <w:t xml:space="preserve">will be defined as </w:t>
      </w:r>
      <w:r w:rsidRPr="00841918">
        <w:t xml:space="preserve">SAEs if they cause prolongation of the current hospitalization. </w:t>
      </w:r>
    </w:p>
    <w:p w14:paraId="6FF231D3" w14:textId="42785511" w:rsidR="009D52C5" w:rsidRPr="00841918" w:rsidRDefault="009D52C5" w:rsidP="0027517F">
      <w:pPr>
        <w:jc w:val="both"/>
      </w:pPr>
      <w:r w:rsidRPr="00841918">
        <w:t>When it is uncertain whether a subject needs to be "hospitalized" for an AE, the AE should also be considered an SAE.</w:t>
      </w:r>
    </w:p>
    <w:p w14:paraId="396E5E38" w14:textId="5A6A9FF2" w:rsidR="009D52C5" w:rsidRPr="00841918" w:rsidRDefault="009D52C5" w:rsidP="0027517F">
      <w:pPr>
        <w:jc w:val="both"/>
      </w:pPr>
      <w:r w:rsidRPr="00841918">
        <w:lastRenderedPageBreak/>
        <w:t xml:space="preserve">Hospitalization for elective treatment </w:t>
      </w:r>
      <w:r w:rsidR="008C0D1F">
        <w:t>or</w:t>
      </w:r>
      <w:r w:rsidR="008C0D1F" w:rsidRPr="00841918">
        <w:t xml:space="preserve"> </w:t>
      </w:r>
      <w:r w:rsidRPr="00841918">
        <w:t>a preexisting non</w:t>
      </w:r>
      <w:r w:rsidR="008C0D1F">
        <w:t>-</w:t>
      </w:r>
      <w:r w:rsidRPr="00841918">
        <w:t>worsening condition is not</w:t>
      </w:r>
      <w:r w:rsidR="008C0D1F">
        <w:t xml:space="preserve"> </w:t>
      </w:r>
      <w:r w:rsidRPr="00841918">
        <w:t xml:space="preserve">considered an AE. </w:t>
      </w:r>
    </w:p>
    <w:p w14:paraId="5A2159D7" w14:textId="2BEB2BC8" w:rsidR="009D52C5" w:rsidRPr="00841918" w:rsidRDefault="009D52C5" w:rsidP="0027517F">
      <w:pPr>
        <w:jc w:val="both"/>
      </w:pPr>
      <w:r w:rsidRPr="00841918">
        <w:t xml:space="preserve">Note: The following hospitalizations should not be reported as SAEs:  </w:t>
      </w:r>
    </w:p>
    <w:p w14:paraId="791ED3DD" w14:textId="72E1D0B7" w:rsidR="009D52C5" w:rsidRPr="00841918" w:rsidRDefault="009D52C5" w:rsidP="0027517F">
      <w:pPr>
        <w:pStyle w:val="13"/>
        <w:numPr>
          <w:ilvl w:val="0"/>
          <w:numId w:val="51"/>
        </w:numPr>
        <w:spacing w:beforeLines="0" w:after="120" w:line="276" w:lineRule="auto"/>
        <w:ind w:left="1080" w:firstLineChars="0"/>
        <w:rPr>
          <w:sz w:val="24"/>
          <w:szCs w:val="24"/>
          <w:lang w:val="en"/>
        </w:rPr>
      </w:pPr>
      <w:r w:rsidRPr="00841918">
        <w:rPr>
          <w:sz w:val="24"/>
          <w:szCs w:val="24"/>
          <w:lang w:val="en"/>
        </w:rPr>
        <w:t>Hospitalization for temporary care, e</w:t>
      </w:r>
      <w:r w:rsidR="00EA599D">
        <w:rPr>
          <w:sz w:val="24"/>
          <w:szCs w:val="24"/>
          <w:lang w:val="en"/>
        </w:rPr>
        <w:t>.g.</w:t>
      </w:r>
      <w:r w:rsidRPr="00841918">
        <w:rPr>
          <w:sz w:val="24"/>
          <w:szCs w:val="24"/>
          <w:lang w:val="en"/>
        </w:rPr>
        <w:t>, when the illness does not meet the criteria for hospitalization and the hospitalization is necessitated by the need for temporary care</w:t>
      </w:r>
      <w:r w:rsidR="006C6092">
        <w:rPr>
          <w:sz w:val="24"/>
          <w:szCs w:val="24"/>
          <w:lang w:val="en"/>
        </w:rPr>
        <w:t>.</w:t>
      </w:r>
    </w:p>
    <w:p w14:paraId="1791E94D" w14:textId="21ABD25C" w:rsidR="009D52C5" w:rsidRPr="00841918" w:rsidRDefault="009D52C5" w:rsidP="0027517F">
      <w:pPr>
        <w:pStyle w:val="13"/>
        <w:numPr>
          <w:ilvl w:val="0"/>
          <w:numId w:val="51"/>
        </w:numPr>
        <w:spacing w:beforeLines="0" w:after="120" w:line="276" w:lineRule="auto"/>
        <w:ind w:left="1080" w:firstLineChars="0"/>
        <w:rPr>
          <w:sz w:val="24"/>
          <w:szCs w:val="24"/>
          <w:lang w:val="en"/>
        </w:rPr>
      </w:pPr>
      <w:r w:rsidRPr="00841918">
        <w:rPr>
          <w:sz w:val="24"/>
          <w:szCs w:val="24"/>
          <w:lang w:val="en"/>
        </w:rPr>
        <w:t>Hospitalization for social reasons, e</w:t>
      </w:r>
      <w:r w:rsidR="00EA599D">
        <w:rPr>
          <w:sz w:val="24"/>
          <w:szCs w:val="24"/>
          <w:lang w:val="en"/>
        </w:rPr>
        <w:t>.g.</w:t>
      </w:r>
      <w:r w:rsidRPr="00841918">
        <w:rPr>
          <w:sz w:val="24"/>
          <w:szCs w:val="24"/>
          <w:lang w:val="en"/>
        </w:rPr>
        <w:t>, for convenience of care</w:t>
      </w:r>
      <w:r w:rsidR="006C6092">
        <w:rPr>
          <w:sz w:val="24"/>
          <w:szCs w:val="24"/>
          <w:lang w:val="en"/>
        </w:rPr>
        <w:t>.</w:t>
      </w:r>
    </w:p>
    <w:p w14:paraId="1E443F4E" w14:textId="3C0FEBD7" w:rsidR="009D52C5" w:rsidRPr="00841918" w:rsidRDefault="009D52C5" w:rsidP="0027517F">
      <w:pPr>
        <w:pStyle w:val="13"/>
        <w:numPr>
          <w:ilvl w:val="0"/>
          <w:numId w:val="51"/>
        </w:numPr>
        <w:spacing w:beforeLines="0" w:after="120" w:line="276" w:lineRule="auto"/>
        <w:ind w:left="1080" w:firstLineChars="0"/>
        <w:rPr>
          <w:sz w:val="24"/>
          <w:szCs w:val="24"/>
          <w:lang w:val="en"/>
        </w:rPr>
      </w:pPr>
      <w:r w:rsidRPr="00841918">
        <w:rPr>
          <w:sz w:val="24"/>
          <w:szCs w:val="24"/>
          <w:lang w:val="en"/>
        </w:rPr>
        <w:t>Planned hospitalizations for protocol procedures, e</w:t>
      </w:r>
      <w:r w:rsidR="00EA599D">
        <w:rPr>
          <w:sz w:val="24"/>
          <w:szCs w:val="24"/>
          <w:lang w:val="en"/>
        </w:rPr>
        <w:t>.g.</w:t>
      </w:r>
      <w:r w:rsidRPr="00841918">
        <w:rPr>
          <w:sz w:val="24"/>
          <w:szCs w:val="24"/>
          <w:lang w:val="en"/>
        </w:rPr>
        <w:t>, for</w:t>
      </w:r>
      <w:r w:rsidR="00EA599D">
        <w:rPr>
          <w:sz w:val="24"/>
          <w:szCs w:val="24"/>
          <w:lang w:val="en"/>
        </w:rPr>
        <w:t xml:space="preserve"> the</w:t>
      </w:r>
      <w:r w:rsidRPr="00841918">
        <w:rPr>
          <w:sz w:val="24"/>
          <w:szCs w:val="24"/>
          <w:lang w:val="en"/>
        </w:rPr>
        <w:t xml:space="preserve"> use of the study treatment or laboratory tests required by the protocol</w:t>
      </w:r>
      <w:r w:rsidR="006C6092">
        <w:rPr>
          <w:sz w:val="24"/>
          <w:szCs w:val="24"/>
          <w:lang w:val="en"/>
        </w:rPr>
        <w:t>.</w:t>
      </w:r>
    </w:p>
    <w:p w14:paraId="3B3D4F47" w14:textId="49D75FEF" w:rsidR="009D52C5" w:rsidRPr="00841918" w:rsidRDefault="009D52C5" w:rsidP="0027517F">
      <w:pPr>
        <w:pStyle w:val="13"/>
        <w:numPr>
          <w:ilvl w:val="0"/>
          <w:numId w:val="51"/>
        </w:numPr>
        <w:spacing w:beforeLines="0" w:after="120" w:line="276" w:lineRule="auto"/>
        <w:ind w:left="1080" w:firstLineChars="0"/>
        <w:rPr>
          <w:sz w:val="24"/>
          <w:szCs w:val="24"/>
          <w:lang w:val="en"/>
        </w:rPr>
      </w:pPr>
      <w:r w:rsidRPr="00841918">
        <w:rPr>
          <w:sz w:val="24"/>
          <w:szCs w:val="24"/>
          <w:lang w:val="en"/>
        </w:rPr>
        <w:t>Planned hospitalizations for treatment, elective surgical procedures</w:t>
      </w:r>
      <w:r w:rsidR="00EA599D">
        <w:rPr>
          <w:sz w:val="24"/>
          <w:szCs w:val="24"/>
          <w:lang w:val="en"/>
        </w:rPr>
        <w:t>,</w:t>
      </w:r>
      <w:r w:rsidRPr="00841918">
        <w:rPr>
          <w:sz w:val="24"/>
          <w:szCs w:val="24"/>
          <w:lang w:val="en"/>
        </w:rPr>
        <w:t xml:space="preserve"> or examination for a pre-existing condition before signing the informed consent (in which case the condition requiring hospitalization does not worsen or develop into a new disease after the administration of the study drug, with the original documentation)</w:t>
      </w:r>
    </w:p>
    <w:p w14:paraId="3A173C9F" w14:textId="147CFFB4" w:rsidR="009D52C5" w:rsidRPr="00841918" w:rsidRDefault="009D52C5" w:rsidP="0027517F">
      <w:pPr>
        <w:pStyle w:val="13"/>
        <w:numPr>
          <w:ilvl w:val="0"/>
          <w:numId w:val="51"/>
        </w:numPr>
        <w:spacing w:beforeLines="0" w:after="120" w:line="276" w:lineRule="auto"/>
        <w:ind w:left="1080" w:firstLineChars="0"/>
        <w:rPr>
          <w:sz w:val="24"/>
          <w:szCs w:val="24"/>
          <w:lang w:val="en"/>
        </w:rPr>
      </w:pPr>
      <w:r w:rsidRPr="00841918">
        <w:rPr>
          <w:sz w:val="24"/>
          <w:szCs w:val="24"/>
          <w:lang w:val="en"/>
        </w:rPr>
        <w:t>Hospitalization for routine maintenance (e</w:t>
      </w:r>
      <w:r w:rsidR="00EA599D">
        <w:rPr>
          <w:sz w:val="24"/>
          <w:szCs w:val="24"/>
          <w:lang w:val="en"/>
        </w:rPr>
        <w:t>.g.</w:t>
      </w:r>
      <w:r w:rsidRPr="00841918">
        <w:rPr>
          <w:sz w:val="24"/>
          <w:szCs w:val="24"/>
          <w:lang w:val="en"/>
        </w:rPr>
        <w:t>, battery replacement) of devices implanted before participation in the study</w:t>
      </w:r>
    </w:p>
    <w:p w14:paraId="287D73D5" w14:textId="11DCE044" w:rsidR="009D52C5" w:rsidRPr="00841918" w:rsidRDefault="009D52C5" w:rsidP="0027517F">
      <w:pPr>
        <w:pStyle w:val="Bullet1"/>
        <w:jc w:val="both"/>
      </w:pPr>
      <w:r w:rsidRPr="00841918">
        <w:t>results in persistent or significant disability/incapacity:</w:t>
      </w:r>
      <w:bookmarkStart w:id="155" w:name="_Hlk32845460"/>
    </w:p>
    <w:p w14:paraId="6FD18493" w14:textId="748FE947" w:rsidR="009D52C5" w:rsidRPr="00841918" w:rsidRDefault="009D52C5" w:rsidP="0027517F">
      <w:pPr>
        <w:jc w:val="both"/>
      </w:pPr>
      <w:r w:rsidRPr="00841918">
        <w:t>The term “disability” means a substantial disruption of a person’s ability to conduct normal life functions. This definition does not include minor clinical significance events, such as uncomplicated headache, nausea, vomiting, diarrh</w:t>
      </w:r>
      <w:r w:rsidRPr="00841918">
        <w:rPr>
          <w:rFonts w:hint="eastAsia"/>
        </w:rPr>
        <w:t>e</w:t>
      </w:r>
      <w:r w:rsidRPr="00841918">
        <w:t>a, influenza, or accidental trauma (e</w:t>
      </w:r>
      <w:r w:rsidR="00EA599D">
        <w:t>.g.</w:t>
      </w:r>
      <w:r w:rsidRPr="00841918">
        <w:t>, sprained ankle)</w:t>
      </w:r>
      <w:r w:rsidR="00EA599D">
        <w:t>,</w:t>
      </w:r>
      <w:r w:rsidRPr="00841918">
        <w:t xml:space="preserve"> which may affect daily functions but do not result in a substantial disruption. </w:t>
      </w:r>
    </w:p>
    <w:bookmarkEnd w:id="155"/>
    <w:p w14:paraId="53D7DF35" w14:textId="3EF29504" w:rsidR="009D52C5" w:rsidRPr="00841918" w:rsidRDefault="00EA599D" w:rsidP="0027517F">
      <w:pPr>
        <w:pStyle w:val="Bullet1"/>
        <w:jc w:val="both"/>
      </w:pPr>
      <w:r>
        <w:t>R</w:t>
      </w:r>
      <w:r w:rsidR="009D52C5" w:rsidRPr="00841918">
        <w:t>esults in a congenital anomaly/</w:t>
      </w:r>
      <w:r>
        <w:t>congenital disability</w:t>
      </w:r>
      <w:r w:rsidR="009D52C5" w:rsidRPr="00841918">
        <w:t xml:space="preserve">. </w:t>
      </w:r>
    </w:p>
    <w:p w14:paraId="1B9ACBFF" w14:textId="2F2EA42A" w:rsidR="009D52C5" w:rsidRPr="00841918" w:rsidRDefault="00EA599D" w:rsidP="0027517F">
      <w:pPr>
        <w:pStyle w:val="Bullet1"/>
        <w:jc w:val="both"/>
      </w:pPr>
      <w:r>
        <w:t>O</w:t>
      </w:r>
      <w:r w:rsidR="009D52C5" w:rsidRPr="00841918">
        <w:t xml:space="preserve">ther </w:t>
      </w:r>
      <w:r w:rsidR="008C0D1F" w:rsidRPr="00841918">
        <w:t xml:space="preserve">important </w:t>
      </w:r>
      <w:r w:rsidR="009D52C5" w:rsidRPr="00841918">
        <w:t>medical event</w:t>
      </w:r>
      <w:r>
        <w:t>s</w:t>
      </w:r>
      <w:r w:rsidR="009D52C5" w:rsidRPr="00841918">
        <w:t xml:space="preserve"> </w:t>
      </w:r>
    </w:p>
    <w:p w14:paraId="1C90C404" w14:textId="2AFF9A16" w:rsidR="009D52C5" w:rsidRPr="00841918" w:rsidRDefault="009D52C5" w:rsidP="0027517F">
      <w:pPr>
        <w:jc w:val="both"/>
      </w:pPr>
      <w:r w:rsidRPr="00841918">
        <w:t xml:space="preserve">Medical and scientific judgment is required to decide if prompt notification is required in situations other than those </w:t>
      </w:r>
      <w:r w:rsidR="00934462" w:rsidRPr="00841918">
        <w:t>defin</w:t>
      </w:r>
      <w:r w:rsidR="00934462">
        <w:t>ition</w:t>
      </w:r>
      <w:r w:rsidR="00934462" w:rsidRPr="00841918">
        <w:t xml:space="preserve"> </w:t>
      </w:r>
      <w:r w:rsidRPr="00841918">
        <w:t xml:space="preserve">for SAEs above. This may include any event that the investigator regards as serious but may not be immediately life-threatening, result in death, or require hospitalization and medical intervention to prevent one of the </w:t>
      </w:r>
      <w:r w:rsidR="00713120">
        <w:t>above outcomes</w:t>
      </w:r>
      <w:r w:rsidRPr="00841918">
        <w:t>.</w:t>
      </w:r>
    </w:p>
    <w:p w14:paraId="72A53C63" w14:textId="442152B5" w:rsidR="009D52C5" w:rsidRDefault="009D52C5" w:rsidP="0027517F">
      <w:pPr>
        <w:pStyle w:val="30"/>
        <w:jc w:val="both"/>
      </w:pPr>
      <w:bookmarkStart w:id="156" w:name="_Toc112064879"/>
      <w:r>
        <w:rPr>
          <w:lang w:val="en"/>
        </w:rPr>
        <w:t>Suspected Unexpected Serious Adverse Reactions</w:t>
      </w:r>
      <w:bookmarkEnd w:id="156"/>
    </w:p>
    <w:p w14:paraId="480AA9F6" w14:textId="69BE1FE8" w:rsidR="009D52C5" w:rsidRDefault="009D52C5" w:rsidP="0027517F">
      <w:pPr>
        <w:jc w:val="both"/>
      </w:pPr>
      <w:r w:rsidRPr="00841918">
        <w:t xml:space="preserve">Suspected unexpected serious adverse reactions (SUSARs) are those whose nature and severity of clinical manifestations </w:t>
      </w:r>
      <w:r w:rsidR="00934462">
        <w:t xml:space="preserve">go </w:t>
      </w:r>
      <w:r w:rsidRPr="00841918">
        <w:t>beyond the existing information</w:t>
      </w:r>
      <w:r w:rsidR="00EA599D">
        <w:t>,</w:t>
      </w:r>
      <w:r w:rsidRPr="00841918">
        <w:t xml:space="preserve"> such as the investigator’s brochure, the package </w:t>
      </w:r>
      <w:proofErr w:type="gramStart"/>
      <w:r w:rsidRPr="00841918">
        <w:t>insert</w:t>
      </w:r>
      <w:proofErr w:type="gramEnd"/>
      <w:r w:rsidRPr="00841918">
        <w:t xml:space="preserve">, or the summary of product characteristics for </w:t>
      </w:r>
      <w:r w:rsidR="00EA599D">
        <w:t xml:space="preserve">the </w:t>
      </w:r>
      <w:r w:rsidRPr="00841918">
        <w:t xml:space="preserve">marketed drug. </w:t>
      </w:r>
    </w:p>
    <w:p w14:paraId="619A8422" w14:textId="3DDB0097" w:rsidR="009D52C5" w:rsidRDefault="009D52C5" w:rsidP="0027517F">
      <w:pPr>
        <w:pStyle w:val="30"/>
        <w:jc w:val="both"/>
      </w:pPr>
      <w:bookmarkStart w:id="157" w:name="_Toc112064880"/>
      <w:r>
        <w:rPr>
          <w:lang w:val="en"/>
        </w:rPr>
        <w:lastRenderedPageBreak/>
        <w:t>Management, Collection</w:t>
      </w:r>
      <w:r w:rsidR="00EA599D">
        <w:rPr>
          <w:lang w:val="en"/>
        </w:rPr>
        <w:t>,</w:t>
      </w:r>
      <w:r>
        <w:rPr>
          <w:lang w:val="en"/>
        </w:rPr>
        <w:t xml:space="preserve"> and Recording of Adverse Events</w:t>
      </w:r>
      <w:bookmarkEnd w:id="157"/>
    </w:p>
    <w:p w14:paraId="7FCBFD6A" w14:textId="010B36FB" w:rsidR="009D52C5" w:rsidRDefault="009D52C5" w:rsidP="0027517F">
      <w:pPr>
        <w:pStyle w:val="4"/>
        <w:jc w:val="both"/>
      </w:pPr>
      <w:bookmarkStart w:id="158" w:name="_Toc112064881"/>
      <w:r>
        <w:rPr>
          <w:lang w:val="en"/>
        </w:rPr>
        <w:t>Management of Adverse Events</w:t>
      </w:r>
      <w:bookmarkEnd w:id="158"/>
    </w:p>
    <w:p w14:paraId="4FC5CF62" w14:textId="16205BE5" w:rsidR="009D52C5" w:rsidRDefault="009D52C5" w:rsidP="0027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jc w:val="both"/>
        <w:rPr>
          <w:rFonts w:eastAsia="TimesNewRomanPSMT"/>
          <w:b/>
          <w:bCs/>
          <w:sz w:val="22"/>
        </w:rPr>
      </w:pPr>
      <w:r>
        <w:rPr>
          <w:b/>
          <w:bCs/>
          <w:sz w:val="22"/>
          <w:lang w:val="en"/>
        </w:rPr>
        <w:t>CRS Management</w:t>
      </w:r>
    </w:p>
    <w:p w14:paraId="72B1B073" w14:textId="6F6C2577" w:rsidR="009D52C5" w:rsidRPr="00841918" w:rsidRDefault="009D52C5" w:rsidP="0027517F">
      <w:pPr>
        <w:jc w:val="both"/>
      </w:pPr>
      <w:r w:rsidRPr="00841918">
        <w:t>This protocol will follow the recommendations and management for CRS, as defined by Lee et al. (2014)</w:t>
      </w:r>
      <w:r w:rsidR="00951F13">
        <w:t xml:space="preserve"> </w:t>
      </w:r>
      <w:r w:rsidR="0067753F">
        <w:rPr>
          <w:rFonts w:hint="eastAsia"/>
          <w:lang w:eastAsia="zh-CN"/>
        </w:rPr>
        <w:t>[</w:t>
      </w:r>
      <w:r w:rsidR="0067753F">
        <w:rPr>
          <w:lang w:eastAsia="zh-CN"/>
        </w:rPr>
        <w:t>37]</w:t>
      </w:r>
      <w:r w:rsidRPr="00841918">
        <w:t xml:space="preserve">. </w:t>
      </w:r>
    </w:p>
    <w:p w14:paraId="25CB216B" w14:textId="3220E11B" w:rsidR="009D52C5" w:rsidRPr="00841918" w:rsidRDefault="009D52C5" w:rsidP="0027517F">
      <w:pPr>
        <w:jc w:val="both"/>
      </w:pPr>
      <w:r w:rsidRPr="00841918">
        <w:t xml:space="preserve">For patients highly suspected of CRS, early and timely intervention and monitoring evaluation should be carried out. CRS grading will be performed twice </w:t>
      </w:r>
      <w:r w:rsidR="00713120">
        <w:t>dail</w:t>
      </w:r>
      <w:r w:rsidRPr="00841918">
        <w:t xml:space="preserve">y, and the </w:t>
      </w:r>
      <w:r w:rsidR="00EA599D">
        <w:t>evaluation frequency</w:t>
      </w:r>
      <w:r w:rsidRPr="00841918">
        <w:t xml:space="preserve"> should be increased if the disease condition changes.</w:t>
      </w:r>
    </w:p>
    <w:p w14:paraId="7476B9D7" w14:textId="70602C90" w:rsidR="00CF3BE8" w:rsidRDefault="009D52C5" w:rsidP="0027517F">
      <w:pPr>
        <w:jc w:val="both"/>
      </w:pPr>
      <w:r w:rsidRPr="00841918">
        <w:t xml:space="preserve">Mild CRS is only manifested as transient fever, fatigue, muscular pain, nausea, etc., and can often be relieved automatically. Symptomatic supportive treatment should be given. Moderate to severe CRS can be manifested as respiratory difficulty, progressive hypotension, </w:t>
      </w:r>
      <w:r w:rsidR="00C14B04">
        <w:t xml:space="preserve">capillary </w:t>
      </w:r>
      <w:r w:rsidRPr="00841918">
        <w:t xml:space="preserve">leak syndrome, acute renal failure, and other multiple organ failure and neuropsychiatric abnormalities (including convulsions and epilepsy). The critical points of treatment for moderate to severe CRS are early identification and timely treatment. The early manifestations of moderate to severe CRS are sensitive to tocilizumab and/or glucocorticoids, while the late manifestations are tolerant to tocilizumab and/or glucocorticoids. Therefore, the essence of CRS is immunosuppressive therapy, and it is essential to control the progression of CRS in time and effectively. The </w:t>
      </w:r>
      <w:r w:rsidR="00C14B04">
        <w:t>re</w:t>
      </w:r>
      <w:r w:rsidR="00C14B04" w:rsidRPr="00841918">
        <w:t>c</w:t>
      </w:r>
      <w:r w:rsidR="00EA599D">
        <w:t>ommen</w:t>
      </w:r>
      <w:r w:rsidR="00C14B04" w:rsidRPr="00841918">
        <w:t xml:space="preserve">dations </w:t>
      </w:r>
      <w:r w:rsidRPr="00841918">
        <w:t>in</w:t>
      </w:r>
      <w:r w:rsidR="00642422" w:rsidRPr="00642422">
        <w:rPr>
          <w:color w:val="0000FF"/>
        </w:rPr>
        <w:fldChar w:fldCharType="begin"/>
      </w:r>
      <w:r w:rsidR="00642422" w:rsidRPr="00642422">
        <w:rPr>
          <w:color w:val="0000FF"/>
        </w:rPr>
        <w:instrText xml:space="preserve"> REF app5 \h  \* MERGEFORMAT </w:instrText>
      </w:r>
      <w:r w:rsidR="00642422" w:rsidRPr="00642422">
        <w:rPr>
          <w:color w:val="0000FF"/>
        </w:rPr>
      </w:r>
      <w:r w:rsidR="00642422" w:rsidRPr="00642422">
        <w:rPr>
          <w:color w:val="0000FF"/>
        </w:rPr>
        <w:fldChar w:fldCharType="end"/>
      </w:r>
      <w:r w:rsidR="00642422" w:rsidRPr="00642422">
        <w:rPr>
          <w:color w:val="0000FF"/>
        </w:rPr>
        <w:t xml:space="preserve"> </w:t>
      </w:r>
      <w:r w:rsidR="004E14F7" w:rsidRPr="004E14F7">
        <w:rPr>
          <w:color w:val="0000FF"/>
        </w:rPr>
        <w:fldChar w:fldCharType="begin"/>
      </w:r>
      <w:r w:rsidR="004E14F7" w:rsidRPr="004E14F7">
        <w:rPr>
          <w:color w:val="0000FF"/>
        </w:rPr>
        <w:instrText xml:space="preserve"> REF app2 \h  \* MERGEFORMAT </w:instrText>
      </w:r>
      <w:r w:rsidR="004E14F7" w:rsidRPr="004E14F7">
        <w:rPr>
          <w:color w:val="0000FF"/>
        </w:rPr>
      </w:r>
      <w:r w:rsidR="004E14F7" w:rsidRPr="004E14F7">
        <w:rPr>
          <w:color w:val="0000FF"/>
        </w:rPr>
        <w:fldChar w:fldCharType="separate"/>
      </w:r>
      <w:r w:rsidR="004E14F7" w:rsidRPr="004E14F7">
        <w:rPr>
          <w:color w:val="0000FF"/>
        </w:rPr>
        <w:t>Appendix </w:t>
      </w:r>
      <w:r w:rsidR="004E14F7" w:rsidRPr="004E14F7">
        <w:rPr>
          <w:noProof/>
          <w:color w:val="0000FF"/>
        </w:rPr>
        <w:t>2</w:t>
      </w:r>
      <w:r w:rsidR="004E14F7" w:rsidRPr="004E14F7">
        <w:rPr>
          <w:color w:val="0000FF"/>
        </w:rPr>
        <w:fldChar w:fldCharType="end"/>
      </w:r>
      <w:r w:rsidR="004E14F7" w:rsidRPr="004E14F7">
        <w:rPr>
          <w:color w:val="0000FF"/>
        </w:rPr>
        <w:t xml:space="preserve"> </w:t>
      </w:r>
      <w:r w:rsidRPr="00841918">
        <w:t xml:space="preserve">will help to </w:t>
      </w:r>
      <w:r w:rsidR="00713120">
        <w:t>manage</w:t>
      </w:r>
      <w:r w:rsidRPr="00841918">
        <w:t xml:space="preserve"> CRS. </w:t>
      </w:r>
    </w:p>
    <w:p w14:paraId="7CCDC03D" w14:textId="1D79F7DB" w:rsidR="009D52C5" w:rsidRPr="00841918" w:rsidRDefault="009D52C5" w:rsidP="0027517F">
      <w:pPr>
        <w:jc w:val="both"/>
      </w:pPr>
      <w:r w:rsidRPr="00841918">
        <w:t xml:space="preserve">If the above treatments fail to relieve the symptoms, or IL-6 is </w:t>
      </w:r>
      <w:r w:rsidR="00F458B7">
        <w:t>&gt;</w:t>
      </w:r>
      <w:r w:rsidRPr="00841918">
        <w:t xml:space="preserve">500 to 1000 </w:t>
      </w:r>
      <w:proofErr w:type="spellStart"/>
      <w:r w:rsidRPr="00841918">
        <w:t>pg</w:t>
      </w:r>
      <w:proofErr w:type="spellEnd"/>
      <w:r w:rsidRPr="00841918">
        <w:t xml:space="preserve">/mL within </w:t>
      </w:r>
      <w:r w:rsidR="00EA599D">
        <w:t>three</w:t>
      </w:r>
      <w:r w:rsidRPr="00841918">
        <w:t xml:space="preserve"> days, or IL-6 rises sharply within </w:t>
      </w:r>
      <w:r w:rsidR="00EA599D">
        <w:t>one</w:t>
      </w:r>
      <w:r w:rsidRPr="00841918">
        <w:t xml:space="preserve"> day, </w:t>
      </w:r>
      <w:r w:rsidR="00C14B04">
        <w:t xml:space="preserve">or </w:t>
      </w:r>
      <w:r w:rsidRPr="00841918">
        <w:t>high fever is not reduced</w:t>
      </w:r>
      <w:r w:rsidR="00C14B04">
        <w:t>,</w:t>
      </w:r>
      <w:r w:rsidR="00C14B04" w:rsidRPr="00841918">
        <w:t xml:space="preserve"> </w:t>
      </w:r>
      <w:r w:rsidR="00C14B04">
        <w:t>or s</w:t>
      </w:r>
      <w:r w:rsidR="00C14B04" w:rsidRPr="00841918">
        <w:t xml:space="preserve">ymptoms </w:t>
      </w:r>
      <w:r w:rsidRPr="00841918">
        <w:t xml:space="preserve">continue to worsen, tocilizumab and glucocorticoids should be applied together regardless of the CRS classification, and glucocorticoids can be used until the symptoms are relieved. If ferritin is &gt;20 000 </w:t>
      </w:r>
      <w:proofErr w:type="spellStart"/>
      <w:r w:rsidRPr="00951F13">
        <w:t>μ</w:t>
      </w:r>
      <w:r w:rsidRPr="00841918">
        <w:t>g</w:t>
      </w:r>
      <w:proofErr w:type="spellEnd"/>
      <w:r w:rsidRPr="00841918">
        <w:t xml:space="preserve">/L, high fever persists, and symptoms and signs continue to worsen </w:t>
      </w:r>
      <w:r w:rsidR="00C14B04">
        <w:t>in</w:t>
      </w:r>
      <w:r w:rsidR="00C14B04" w:rsidRPr="00841918">
        <w:t xml:space="preserve"> </w:t>
      </w:r>
      <w:r w:rsidRPr="00841918">
        <w:t xml:space="preserve">a patient, </w:t>
      </w:r>
      <w:r w:rsidR="00C14B04">
        <w:t>the</w:t>
      </w:r>
      <w:r w:rsidR="00C14B04" w:rsidRPr="00841918">
        <w:t xml:space="preserve"> </w:t>
      </w:r>
      <w:r w:rsidRPr="00841918">
        <w:t xml:space="preserve">patient should be treated with both tocilizumab and glucocorticoids, regardless of CRS grading, and glucocorticoids can be used until the symptoms are relieved. For severe </w:t>
      </w:r>
      <w:r w:rsidR="00C14B04">
        <w:t xml:space="preserve">capillary </w:t>
      </w:r>
      <w:r w:rsidRPr="00841918">
        <w:t xml:space="preserve">leak syndrome and cardiac insufficiency, continuous </w:t>
      </w:r>
      <w:r w:rsidR="00C14B04">
        <w:t>renal replacement treatment</w:t>
      </w:r>
      <w:r w:rsidR="00C14B04" w:rsidRPr="00841918">
        <w:t xml:space="preserve"> </w:t>
      </w:r>
      <w:r w:rsidRPr="00841918">
        <w:t>(CRRT) and/or plasma exchange are effective treatment measures. If the patient’s IL-6 decreases and rises sharply again during treatment, severe infection</w:t>
      </w:r>
      <w:r w:rsidR="00EA599D">
        <w:t>s</w:t>
      </w:r>
      <w:r w:rsidRPr="00841918">
        <w:t xml:space="preserve"> such as septicemia should be suspected. </w:t>
      </w:r>
      <w:r w:rsidR="004D5A7D">
        <w:t>Vasopressor</w:t>
      </w:r>
      <w:r w:rsidRPr="00841918">
        <w:t>, mechanical ventilation, and plasma exchange are effective measures to treat severe CRS.</w:t>
      </w:r>
    </w:p>
    <w:p w14:paraId="7C54D11A" w14:textId="12A0C11C" w:rsidR="009D52C5" w:rsidRPr="00841918" w:rsidRDefault="009D52C5" w:rsidP="0027517F">
      <w:pPr>
        <w:jc w:val="both"/>
      </w:pPr>
      <w:r w:rsidRPr="00841918">
        <w:t xml:space="preserve">1) Fever: Non-steroidal </w:t>
      </w:r>
      <w:r w:rsidR="004D5A7D">
        <w:t xml:space="preserve">anti-inflammatory </w:t>
      </w:r>
      <w:r w:rsidRPr="00841918">
        <w:t>drugs (such as acetaminophen and ibuprofen) and physical cooling measures are generally used for control. Infection is determined through laboratory tests and imaging examinations. If a patient develops a high fever after CT103A infusion</w:t>
      </w:r>
      <w:r w:rsidR="00EA599D">
        <w:t>,</w:t>
      </w:r>
      <w:r w:rsidRPr="00841918">
        <w:t xml:space="preserve"> broad-spectrum and powerful antibiotics will be used for empirical anti-infection treatment. Meanwhile, every effort will be made to search for pathogen</w:t>
      </w:r>
      <w:r w:rsidR="00B73826">
        <w:t>s</w:t>
      </w:r>
      <w:r w:rsidRPr="00841918">
        <w:t xml:space="preserve">. </w:t>
      </w:r>
      <w:r w:rsidR="00713120">
        <w:t>The possibility of atypical pathogenic infection or reactivation should be considered when the pathogens are unclear</w:t>
      </w:r>
      <w:r w:rsidRPr="00841918">
        <w:t>.</w:t>
      </w:r>
    </w:p>
    <w:p w14:paraId="5CE6D6D8" w14:textId="13C844D3" w:rsidR="009D52C5" w:rsidRPr="00841918" w:rsidRDefault="009D52C5" w:rsidP="0027517F">
      <w:pPr>
        <w:jc w:val="both"/>
      </w:pPr>
      <w:r w:rsidRPr="00841918">
        <w:lastRenderedPageBreak/>
        <w:t xml:space="preserve">2) Hypotension: Before infusion of CT103A, blood pressure, </w:t>
      </w:r>
      <w:r w:rsidR="0048556E">
        <w:t>ECG</w:t>
      </w:r>
      <w:r w:rsidRPr="00841918">
        <w:t xml:space="preserve">, and echocardiogram tests should be conducted to determine the baseline level of blood pressure and assess cardiac function. After infusion, the investigators may make an additional assessment based on the clinical conditions. CRS-related hypotension after CT103A infusion should be treated at </w:t>
      </w:r>
      <w:r w:rsidR="00EA599D">
        <w:t xml:space="preserve">an </w:t>
      </w:r>
      <w:r w:rsidRPr="00841918">
        <w:t xml:space="preserve">early stage. The possibility of vascular </w:t>
      </w:r>
      <w:r w:rsidR="00B73826">
        <w:t>leakage</w:t>
      </w:r>
      <w:r w:rsidR="00B73826" w:rsidRPr="00841918">
        <w:t xml:space="preserve"> </w:t>
      </w:r>
      <w:r w:rsidRPr="00841918">
        <w:t>and pulmonary edema should be considered during volume resuscitation, and corresponding contingency plans should be made. Patients whose blood pressure cannot be maintained by active fluid infusion need vaso</w:t>
      </w:r>
      <w:r w:rsidR="00B73826">
        <w:t>pressor</w:t>
      </w:r>
      <w:r w:rsidRPr="00841918">
        <w:t xml:space="preserve"> therapy. If a patient’s condition requires transfer to the intensive care unit (ICU), it is suggested that the </w:t>
      </w:r>
      <w:r w:rsidR="00B73826">
        <w:t>investigator</w:t>
      </w:r>
      <w:r w:rsidRPr="00841918">
        <w:t xml:space="preserve"> in charge and </w:t>
      </w:r>
      <w:r w:rsidR="00EA599D">
        <w:t xml:space="preserve">the </w:t>
      </w:r>
      <w:r w:rsidRPr="00841918">
        <w:t xml:space="preserve">ICU doctor </w:t>
      </w:r>
      <w:r w:rsidR="00B73826">
        <w:t>collaborate to make</w:t>
      </w:r>
      <w:r w:rsidRPr="00841918">
        <w:t xml:space="preserve"> </w:t>
      </w:r>
      <w:r w:rsidR="00EA599D">
        <w:t xml:space="preserve">a </w:t>
      </w:r>
      <w:r w:rsidRPr="00841918">
        <w:t>diagnosis and treatment.</w:t>
      </w:r>
    </w:p>
    <w:p w14:paraId="1ECCF4D0" w14:textId="35F1BAF5" w:rsidR="009D52C5" w:rsidRPr="00841918" w:rsidRDefault="009D52C5" w:rsidP="0027517F">
      <w:pPr>
        <w:jc w:val="both"/>
      </w:pPr>
      <w:r w:rsidRPr="00841918">
        <w:t xml:space="preserve">3) </w:t>
      </w:r>
      <w:r w:rsidR="008227EB">
        <w:t>C</w:t>
      </w:r>
      <w:r w:rsidR="008227EB" w:rsidRPr="008227EB">
        <w:t>ytopenia</w:t>
      </w:r>
      <w:r w:rsidRPr="00841918">
        <w:t xml:space="preserve">: One or more </w:t>
      </w:r>
      <w:r w:rsidR="008227EB">
        <w:rPr>
          <w:lang w:eastAsia="zh-CN"/>
        </w:rPr>
        <w:t>lineages</w:t>
      </w:r>
      <w:r w:rsidRPr="00841918">
        <w:t xml:space="preserve"> of </w:t>
      </w:r>
      <w:r w:rsidR="008227EB">
        <w:t>cytopenia</w:t>
      </w:r>
      <w:r w:rsidRPr="00841918">
        <w:t xml:space="preserve"> caused by CT103A infusion require component </w:t>
      </w:r>
      <w:r w:rsidR="008227EB">
        <w:t xml:space="preserve">blood </w:t>
      </w:r>
      <w:r w:rsidRPr="00841918">
        <w:t xml:space="preserve">transfusion or supplement of corresponding blood cell growth factors.  However, it is not suggested that cell growth factors (especially granulocyte-macrophage colony-stimulating factor [GM-CSF]) be infused in the first </w:t>
      </w:r>
      <w:r w:rsidR="00EA599D">
        <w:t>three</w:t>
      </w:r>
      <w:r w:rsidRPr="00841918">
        <w:t xml:space="preserve"> weeks after the </w:t>
      </w:r>
      <w:r w:rsidR="008227EB">
        <w:t>CAR-T</w:t>
      </w:r>
      <w:r w:rsidR="008227EB" w:rsidRPr="00841918">
        <w:t xml:space="preserve"> </w:t>
      </w:r>
      <w:r w:rsidRPr="00841918">
        <w:t xml:space="preserve">infusion or be infused </w:t>
      </w:r>
      <w:r w:rsidR="008227EB">
        <w:rPr>
          <w:rFonts w:hint="eastAsia"/>
          <w:lang w:eastAsia="zh-CN"/>
        </w:rPr>
        <w:t>before</w:t>
      </w:r>
      <w:r w:rsidRPr="00841918">
        <w:t xml:space="preserve"> CRS is resolved. If neutropenia occurs after CT103A infusion, granulocyte stimulating factors can be used, and patients are advised to be transferred to laminar flow wards to avoid infection. If hemoglobin is lower than 80 g/L or platelets are lower than 20 × 10</w:t>
      </w:r>
      <w:r w:rsidRPr="004E14F7">
        <w:rPr>
          <w:vertAlign w:val="superscript"/>
        </w:rPr>
        <w:t>9</w:t>
      </w:r>
      <w:r w:rsidRPr="00841918">
        <w:t xml:space="preserve">/L, </w:t>
      </w:r>
      <w:r w:rsidR="00EA599D">
        <w:t xml:space="preserve">a </w:t>
      </w:r>
      <w:r w:rsidRPr="00841918">
        <w:t xml:space="preserve">component </w:t>
      </w:r>
      <w:r w:rsidR="008227EB">
        <w:rPr>
          <w:rFonts w:hint="eastAsia"/>
          <w:lang w:eastAsia="zh-CN"/>
        </w:rPr>
        <w:t xml:space="preserve">blood </w:t>
      </w:r>
      <w:r w:rsidRPr="00841918">
        <w:t>transfusion will be required. The number of platelets should be closely monitored and maintained at 20 × 10</w:t>
      </w:r>
      <w:r w:rsidRPr="004E14F7">
        <w:rPr>
          <w:vertAlign w:val="superscript"/>
        </w:rPr>
        <w:t>9</w:t>
      </w:r>
      <w:r w:rsidRPr="00841918">
        <w:t xml:space="preserve">/L, or a higher level if there is active bleeding. </w:t>
      </w:r>
    </w:p>
    <w:p w14:paraId="37D888F5" w14:textId="0B5B4946" w:rsidR="009D52C5" w:rsidRPr="00841918" w:rsidRDefault="009D52C5" w:rsidP="0027517F">
      <w:pPr>
        <w:jc w:val="both"/>
      </w:pPr>
      <w:r w:rsidRPr="00841918">
        <w:t xml:space="preserve">4) Coagulation dysfunction: It is mainly manifested as interspersed petechiae, thrombosis, and abnormal laboratory indexes, such as thrombocytopenia, an increase of D-dimer, decrease of fibrinogen, increase of fibrin degradation products, the extension of activated partial thromboplastin time, etc. Regular monitoring of </w:t>
      </w:r>
      <w:r w:rsidR="008227EB">
        <w:t>CBC</w:t>
      </w:r>
      <w:r w:rsidRPr="00841918">
        <w:t xml:space="preserve"> and coagulation indexes is helpful for the timely detection of coagulation abnormalities. Early and correct treatment can prevent the occurrence of disseminated intravascular coagulation. The main treatment measures include supplementation of platelets and coagulation factors, appropriate application of anticoagulant or antifibrinolytic drugs, etc. </w:t>
      </w:r>
      <w:r w:rsidR="00EA599D">
        <w:t>The fresh frozen plasma may be infused if the APTT is prolonged for more than 1.5 times the normal value or if the patient has a bleeding tendency</w:t>
      </w:r>
      <w:r w:rsidRPr="00841918">
        <w:t xml:space="preserve">. When fibrinogen is </w:t>
      </w:r>
      <w:r w:rsidR="00F458B7">
        <w:t>&lt;</w:t>
      </w:r>
      <w:r w:rsidRPr="00841918">
        <w:t xml:space="preserve">1.0 g/L, blood products such as cryoprecipitate and/or fibrinogen should be infused to make fibrinogen </w:t>
      </w:r>
      <w:r w:rsidR="00F458B7">
        <w:t>&gt;</w:t>
      </w:r>
      <w:r w:rsidRPr="00841918">
        <w:t>1.0 g/L. If there is active hemorrhage, it needs to be infused to a higher level.</w:t>
      </w:r>
    </w:p>
    <w:p w14:paraId="090AFE17" w14:textId="77777777" w:rsidR="009D52C5" w:rsidRPr="00841918" w:rsidRDefault="009D52C5" w:rsidP="0027517F">
      <w:pPr>
        <w:jc w:val="both"/>
      </w:pPr>
      <w:r w:rsidRPr="00841918">
        <w:t>Symptoms and signs of CRS in patients should be closely monitored. The diagnosis of CRS requires the exclusion of other systemic inflammatory reactions, including concurrent infection.</w:t>
      </w:r>
    </w:p>
    <w:p w14:paraId="05C27F17" w14:textId="77777777" w:rsidR="009D52C5" w:rsidRPr="00841918" w:rsidRDefault="009D52C5" w:rsidP="0027517F">
      <w:pPr>
        <w:jc w:val="both"/>
      </w:pPr>
      <w:r w:rsidRPr="00841918">
        <w:t>In general, the principles of handling CRS are as follows:</w:t>
      </w:r>
    </w:p>
    <w:p w14:paraId="11925AD1" w14:textId="77777777" w:rsidR="009D52C5" w:rsidRPr="00841918" w:rsidRDefault="009D52C5" w:rsidP="0027517F">
      <w:pPr>
        <w:jc w:val="both"/>
      </w:pPr>
      <w:r w:rsidRPr="00841918">
        <w:t>1. Severity grading for CRS</w:t>
      </w:r>
    </w:p>
    <w:p w14:paraId="36B2C603" w14:textId="77777777" w:rsidR="009D52C5" w:rsidRPr="00841918" w:rsidRDefault="009D52C5" w:rsidP="0027517F">
      <w:pPr>
        <w:jc w:val="both"/>
      </w:pPr>
      <w:r w:rsidRPr="00841918">
        <w:t>2. Different treatment measures are adopted for CRS of different grades</w:t>
      </w:r>
    </w:p>
    <w:p w14:paraId="036342E0" w14:textId="4816AD10" w:rsidR="009D52C5" w:rsidRPr="00841918" w:rsidRDefault="009D52C5" w:rsidP="0027517F">
      <w:pPr>
        <w:jc w:val="both"/>
      </w:pPr>
      <w:r w:rsidRPr="00841918">
        <w:lastRenderedPageBreak/>
        <w:t>3. For high-risk patients with severe CRS, tocilizumab and glucocorticoids should be administered simultaneously regardless of classification, and glucocorticoids can be used until the symptoms are relieved</w:t>
      </w:r>
    </w:p>
    <w:p w14:paraId="1209406D" w14:textId="5B49456B" w:rsidR="009D52C5" w:rsidRPr="00841918" w:rsidRDefault="009D52C5" w:rsidP="0027517F">
      <w:pPr>
        <w:jc w:val="both"/>
      </w:pPr>
      <w:r w:rsidRPr="00841918">
        <w:t xml:space="preserve">4. For severe </w:t>
      </w:r>
      <w:r w:rsidR="008227EB">
        <w:rPr>
          <w:rFonts w:hint="eastAsia"/>
          <w:lang w:eastAsia="zh-CN"/>
        </w:rPr>
        <w:t>capillary</w:t>
      </w:r>
      <w:r w:rsidR="008227EB">
        <w:t xml:space="preserve"> </w:t>
      </w:r>
      <w:r w:rsidRPr="00841918">
        <w:t>leak syndrome and cardiac insufficiency, CRRT and/or plasma exchange are used as effective treatment measures</w:t>
      </w:r>
    </w:p>
    <w:p w14:paraId="07F96028" w14:textId="77777777" w:rsidR="009D52C5" w:rsidRPr="00841918" w:rsidRDefault="009D52C5" w:rsidP="0027517F">
      <w:pPr>
        <w:jc w:val="both"/>
      </w:pPr>
      <w:r w:rsidRPr="00841918">
        <w:t>5. For CRS, attention should be paid to the possibility of concurrent severe infection</w:t>
      </w:r>
    </w:p>
    <w:p w14:paraId="34665A1E" w14:textId="77777777" w:rsidR="009D52C5" w:rsidRDefault="009D52C5" w:rsidP="0027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jc w:val="both"/>
        <w:rPr>
          <w:sz w:val="22"/>
        </w:rPr>
      </w:pPr>
      <w:r>
        <w:rPr>
          <w:rFonts w:eastAsia="TimesNewRomanPSMT"/>
          <w:b/>
          <w:bCs/>
          <w:sz w:val="22"/>
          <w:lang w:val="en"/>
        </w:rPr>
        <w:t>Immune Effector cell-associated neurotoxicity syndrome (ICANS) Management</w:t>
      </w:r>
    </w:p>
    <w:p w14:paraId="559BFF6C" w14:textId="1F98D8EF" w:rsidR="009D52C5" w:rsidRPr="00841918" w:rsidRDefault="009D52C5" w:rsidP="0027517F">
      <w:pPr>
        <w:jc w:val="both"/>
      </w:pPr>
      <w:r w:rsidRPr="00841918">
        <w:t xml:space="preserve">1) Carry out nervous system evaluation twice </w:t>
      </w:r>
      <w:r w:rsidR="00EA599D">
        <w:t>dail</w:t>
      </w:r>
      <w:r w:rsidRPr="00841918">
        <w:t xml:space="preserve">y, and increase the evaluation </w:t>
      </w:r>
      <w:r w:rsidR="008227EB">
        <w:rPr>
          <w:rFonts w:hint="eastAsia"/>
          <w:lang w:eastAsia="zh-CN"/>
        </w:rPr>
        <w:t>frequency</w:t>
      </w:r>
      <w:r w:rsidRPr="00841918">
        <w:t xml:space="preserve"> when the condition changes. Use the CARTOX-10 grading system for the </w:t>
      </w:r>
      <w:r w:rsidR="00553CA1">
        <w:t>patient</w:t>
      </w:r>
      <w:r w:rsidRPr="00841918">
        <w:t>s</w:t>
      </w:r>
    </w:p>
    <w:p w14:paraId="5CA2B9DC" w14:textId="3F4EF3BD" w:rsidR="009D52C5" w:rsidRPr="00841918" w:rsidRDefault="009D52C5" w:rsidP="0027517F">
      <w:pPr>
        <w:jc w:val="both"/>
      </w:pPr>
      <w:r w:rsidRPr="00841918">
        <w:t xml:space="preserve">2) If necessary, the cell number and cytokine level of CT103A in cerebrospinal fluid can be monitored, and </w:t>
      </w:r>
      <w:bookmarkStart w:id="159" w:name="_Hlk111822009"/>
      <w:r w:rsidR="00713120">
        <w:t>cranial MRI/CT can exclude other factors that may cause neurological abnormalities</w:t>
      </w:r>
      <w:r w:rsidR="003924EE">
        <w:rPr>
          <w:lang w:eastAsia="zh-CN"/>
        </w:rPr>
        <w:t xml:space="preserve"> </w:t>
      </w:r>
      <w:bookmarkEnd w:id="159"/>
      <w:r w:rsidRPr="00841918">
        <w:t xml:space="preserve">to identify whether neurotoxicity is caused by CRS </w:t>
      </w:r>
      <w:r w:rsidR="003924EE">
        <w:t>that needs</w:t>
      </w:r>
      <w:r w:rsidRPr="00841918">
        <w:t xml:space="preserve"> appropriate treatment</w:t>
      </w:r>
    </w:p>
    <w:p w14:paraId="69C10EC7" w14:textId="5DBF2CAD" w:rsidR="009D52C5" w:rsidRPr="00841918" w:rsidRDefault="009D52C5" w:rsidP="0027517F">
      <w:pPr>
        <w:jc w:val="both"/>
      </w:pPr>
      <w:r w:rsidRPr="00841918">
        <w:t xml:space="preserve">3) For </w:t>
      </w:r>
      <w:r w:rsidR="003924EE">
        <w:t>ICANS</w:t>
      </w:r>
      <w:r w:rsidR="003924EE" w:rsidRPr="00841918">
        <w:t xml:space="preserve"> </w:t>
      </w:r>
      <w:r w:rsidRPr="00841918">
        <w:t xml:space="preserve">of Grade 1, mainly supportive treatment is given. The head of the bed should be raised by at least 30 degrees to reduce the risk of aspiration and increase the cerebral venous blood supply. Anti-IL-6 therapy is recommended for patients with </w:t>
      </w:r>
      <w:r w:rsidR="003924EE">
        <w:t>ICANS</w:t>
      </w:r>
      <w:r w:rsidRPr="00841918">
        <w:t xml:space="preserve"> of Grade 1 or above complicated by CRS. For patients with </w:t>
      </w:r>
      <w:r w:rsidR="003924EE">
        <w:t>ICANS</w:t>
      </w:r>
      <w:r w:rsidRPr="00841918">
        <w:t xml:space="preserve"> of Grade 2 and above not complicated by CRS, corticosteroid therapy is preferred, and the dose can be gradually reduced when </w:t>
      </w:r>
      <w:r w:rsidR="003924EE">
        <w:t>ICANS</w:t>
      </w:r>
      <w:r w:rsidRPr="00841918">
        <w:t xml:space="preserve"> improves to Grade 1. During the dose reduction of corticosteroids, the recurrence of neurotoxicity symptoms in patients should be closely monitored. Patients with </w:t>
      </w:r>
      <w:r w:rsidR="003924EE">
        <w:t>ICANS</w:t>
      </w:r>
      <w:r w:rsidRPr="00841918">
        <w:t xml:space="preserve"> of Grade 3 accompanied by increased intracranial pressure should be treated with corticosteroids in time</w:t>
      </w:r>
      <w:r w:rsidR="00713120">
        <w:t>. T</w:t>
      </w:r>
      <w:r w:rsidRPr="00841918">
        <w:t xml:space="preserve">he neurology department should be requested to assist in the treatment in time. Patients with </w:t>
      </w:r>
      <w:r w:rsidR="003924EE">
        <w:t>ICANS</w:t>
      </w:r>
      <w:r w:rsidRPr="00841918">
        <w:t xml:space="preserve"> of Grade 4 complicated by </w:t>
      </w:r>
      <w:proofErr w:type="spellStart"/>
      <w:r w:rsidRPr="00841918">
        <w:t>encephaledema</w:t>
      </w:r>
      <w:proofErr w:type="spellEnd"/>
      <w:r w:rsidRPr="00841918">
        <w:t xml:space="preserve"> should be treated with high doses of corticosteroids, oxygen inhalation, and dehydration. </w:t>
      </w:r>
    </w:p>
    <w:p w14:paraId="081F3CAA" w14:textId="48B60820" w:rsidR="00AE50D6" w:rsidRPr="00841918" w:rsidRDefault="009D52C5" w:rsidP="0027517F">
      <w:pPr>
        <w:jc w:val="both"/>
      </w:pPr>
      <w:r w:rsidRPr="00841918">
        <w:t xml:space="preserve">For the severity grading and clinical intervention measures for neurotoxicity that occurs in this study, refer to the consensus grading for immune effector cell-related </w:t>
      </w:r>
      <w:r w:rsidR="00C33FAC">
        <w:t>CRS</w:t>
      </w:r>
      <w:r w:rsidRPr="00841918">
        <w:t xml:space="preserve"> and neurotoxicity issued by 2019 ASTCT and the guidelines for evaluation and management of cytotoxic therapy issued by the University of Texas MD Anderson Cancer Center in 20</w:t>
      </w:r>
      <w:r w:rsidR="00AB5558">
        <w:t>17</w:t>
      </w:r>
      <w:r w:rsidRPr="00841918">
        <w:rPr>
          <w:rFonts w:hint="eastAsia"/>
        </w:rPr>
        <w:t>.</w:t>
      </w:r>
      <w:r w:rsidRPr="00841918">
        <w:t xml:space="preserve">  </w:t>
      </w:r>
    </w:p>
    <w:p w14:paraId="524C1548" w14:textId="52A3CE4B" w:rsidR="009D52C5" w:rsidRDefault="009D52C5" w:rsidP="0027517F">
      <w:pPr>
        <w:pStyle w:val="4"/>
        <w:jc w:val="both"/>
      </w:pPr>
      <w:bookmarkStart w:id="160" w:name="_Toc112064882"/>
      <w:r>
        <w:rPr>
          <w:lang w:val="en"/>
        </w:rPr>
        <w:t>Collection of Adverse Events</w:t>
      </w:r>
      <w:bookmarkEnd w:id="160"/>
    </w:p>
    <w:p w14:paraId="4BD93B1B" w14:textId="6ACBE0CE" w:rsidR="009D52C5" w:rsidRDefault="009D52C5" w:rsidP="0027517F">
      <w:pPr>
        <w:jc w:val="both"/>
      </w:pPr>
      <w:r w:rsidRPr="00CC0515">
        <w:rPr>
          <w:b/>
          <w:bCs/>
        </w:rPr>
        <w:t>Starting point for collection and recording of AE/SAEs:</w:t>
      </w:r>
      <w:r w:rsidRPr="00CC0515">
        <w:t xml:space="preserve"> All AEs/SAEs will be collected and recorded from the time of signing the ICF. Results </w:t>
      </w:r>
      <w:r w:rsidR="004A3F81" w:rsidRPr="00CC0515">
        <w:t>from the</w:t>
      </w:r>
      <w:r w:rsidRPr="00CC0515">
        <w:t xml:space="preserve"> Screening period will not be considered AEs unless they are caused by a study procedure. </w:t>
      </w:r>
    </w:p>
    <w:p w14:paraId="67BD4D61" w14:textId="77777777" w:rsidR="009D52C5" w:rsidRPr="00CC0515" w:rsidRDefault="009D52C5" w:rsidP="0027517F">
      <w:pPr>
        <w:jc w:val="both"/>
        <w:rPr>
          <w:b/>
          <w:bCs/>
        </w:rPr>
      </w:pPr>
      <w:r w:rsidRPr="00CC0515">
        <w:rPr>
          <w:b/>
          <w:bCs/>
        </w:rPr>
        <w:t xml:space="preserve">End points for collection and recording of AEs/SAEs: </w:t>
      </w:r>
    </w:p>
    <w:p w14:paraId="644E6285" w14:textId="0D7617A4" w:rsidR="009D52C5" w:rsidRPr="00CC0515" w:rsidRDefault="009D52C5" w:rsidP="0027517F">
      <w:pPr>
        <w:pStyle w:val="Bullet1"/>
        <w:jc w:val="both"/>
      </w:pPr>
      <w:r w:rsidRPr="00CC0515">
        <w:lastRenderedPageBreak/>
        <w:t xml:space="preserve">All AEs/SAEs will be collected and recorded within </w:t>
      </w:r>
      <w:r w:rsidR="00EA599D">
        <w:t>one</w:t>
      </w:r>
      <w:r w:rsidRPr="00CC0515">
        <w:t xml:space="preserve"> year after the </w:t>
      </w:r>
      <w:r w:rsidR="00713120">
        <w:t>patient's out-of-study visit or cell infusion</w:t>
      </w:r>
      <w:r w:rsidRPr="00CC0515">
        <w:t xml:space="preserve">, whichever occurs first. </w:t>
      </w:r>
      <w:bookmarkStart w:id="161" w:name="_Hlk81575796"/>
      <w:r w:rsidRPr="00CC0515">
        <w:t xml:space="preserve">If early withdrawal occurs within </w:t>
      </w:r>
      <w:r w:rsidR="00EA599D">
        <w:t>three</w:t>
      </w:r>
      <w:r w:rsidRPr="00CC0515">
        <w:t xml:space="preserve"> months after the CT103A cell infusion, AEs should be collected up to </w:t>
      </w:r>
      <w:r w:rsidR="00EA599D">
        <w:t>three</w:t>
      </w:r>
      <w:r w:rsidRPr="00CC0515">
        <w:t xml:space="preserve"> months after the cell infusion, with the cooperation of the patients.</w:t>
      </w:r>
      <w:bookmarkEnd w:id="161"/>
    </w:p>
    <w:p w14:paraId="2E2671D1" w14:textId="0675A2F5" w:rsidR="009D52C5" w:rsidRPr="00CC0515" w:rsidRDefault="009D52C5" w:rsidP="0027517F">
      <w:pPr>
        <w:pStyle w:val="Bullet1"/>
        <w:jc w:val="both"/>
      </w:pPr>
      <w:r w:rsidRPr="00CC0515">
        <w:t xml:space="preserve">AEs/SAEs occurring </w:t>
      </w:r>
      <w:r w:rsidR="00EA599D">
        <w:t>one</w:t>
      </w:r>
      <w:r w:rsidRPr="00CC0515">
        <w:t xml:space="preserve"> year after the patient completes the end-of-study or cell infusion should also be collected if </w:t>
      </w:r>
      <w:r w:rsidR="00713120">
        <w:t>the investigator considers it related to the study treatment</w:t>
      </w:r>
      <w:r w:rsidRPr="00CC0515">
        <w:t xml:space="preserve">. </w:t>
      </w:r>
    </w:p>
    <w:p w14:paraId="13E92F2D" w14:textId="73436F30" w:rsidR="009D52C5" w:rsidRDefault="009D52C5" w:rsidP="0027517F">
      <w:pPr>
        <w:pStyle w:val="4"/>
        <w:jc w:val="both"/>
      </w:pPr>
      <w:bookmarkStart w:id="162" w:name="_Toc112064883"/>
      <w:r>
        <w:rPr>
          <w:lang w:val="en"/>
        </w:rPr>
        <w:t>Recording of Adverse Events</w:t>
      </w:r>
      <w:bookmarkEnd w:id="162"/>
    </w:p>
    <w:p w14:paraId="73C3996D" w14:textId="1328981D" w:rsidR="009D52C5" w:rsidRDefault="009D52C5" w:rsidP="0027517F">
      <w:pPr>
        <w:jc w:val="both"/>
      </w:pPr>
      <w:r w:rsidRPr="002A6B09">
        <w:t xml:space="preserve">During the study, patients are advised to report any AEs. </w:t>
      </w:r>
      <w:r w:rsidR="00EA599D">
        <w:t>A</w:t>
      </w:r>
      <w:r w:rsidRPr="002A6B09">
        <w:t xml:space="preserve">nd </w:t>
      </w:r>
      <w:r w:rsidR="00EA599D">
        <w:t xml:space="preserve">the </w:t>
      </w:r>
      <w:r w:rsidRPr="002A6B09">
        <w:t xml:space="preserve">trained staff are required to </w:t>
      </w:r>
      <w:r w:rsidR="00EA599D">
        <w:t>inquire about any AE in a non-inductive manner regularly</w:t>
      </w:r>
      <w:r w:rsidRPr="002A6B09">
        <w:t xml:space="preserve">. The investigator should report all AEs directly observed or reported by patients in concise language. </w:t>
      </w:r>
    </w:p>
    <w:p w14:paraId="31E1E0C3" w14:textId="5AE0F3FB" w:rsidR="009D52C5" w:rsidRDefault="009D52C5" w:rsidP="0027517F">
      <w:pPr>
        <w:jc w:val="both"/>
      </w:pPr>
      <w:r w:rsidRPr="002A6B09">
        <w:t>It is the responsibility of the investigator to review all laboratory results for all patients and to confirm whether they meet the criteria for AEs. Medical and scientific judgment is required in deciding whether an abnormal laboratory result should be recorded as an AE.</w:t>
      </w:r>
    </w:p>
    <w:p w14:paraId="41785D8D" w14:textId="7CB3D20D" w:rsidR="009D52C5" w:rsidRDefault="00605803" w:rsidP="0027517F">
      <w:pPr>
        <w:jc w:val="both"/>
      </w:pPr>
      <w:r>
        <w:t>I</w:t>
      </w:r>
      <w:r w:rsidRPr="002A6B09">
        <w:t xml:space="preserve">f </w:t>
      </w:r>
      <w:r>
        <w:t>a</w:t>
      </w:r>
      <w:r w:rsidRPr="002A6B09">
        <w:t xml:space="preserve">ny </w:t>
      </w:r>
      <w:r w:rsidR="009D52C5" w:rsidRPr="002A6B09">
        <w:t>abnormal laboratory finding</w:t>
      </w:r>
      <w:r>
        <w:t>s</w:t>
      </w:r>
      <w:r w:rsidR="009D52C5" w:rsidRPr="002A6B09">
        <w:t xml:space="preserve"> (e</w:t>
      </w:r>
      <w:r w:rsidR="00EA599D">
        <w:t>.g.</w:t>
      </w:r>
      <w:r w:rsidR="009D52C5" w:rsidRPr="002A6B09">
        <w:t xml:space="preserve">, </w:t>
      </w:r>
      <w:r w:rsidR="00A324D3">
        <w:t>blood biochemical indexes</w:t>
      </w:r>
      <w:r w:rsidR="009D52C5" w:rsidRPr="002A6B09">
        <w:t xml:space="preserve"> or </w:t>
      </w:r>
      <w:r w:rsidR="00F26339">
        <w:t>CBC</w:t>
      </w:r>
      <w:r w:rsidR="009D52C5" w:rsidRPr="002A6B09">
        <w:t>) or other abnormal assessments (e</w:t>
      </w:r>
      <w:r w:rsidR="00EA599D">
        <w:t>.g.</w:t>
      </w:r>
      <w:r w:rsidR="009D52C5" w:rsidRPr="002A6B09">
        <w:t xml:space="preserve">, ECG or vital signs) that is known to be unrelated to the indication </w:t>
      </w:r>
      <w:r>
        <w:t>of</w:t>
      </w:r>
      <w:r w:rsidRPr="002A6B09">
        <w:t xml:space="preserve"> </w:t>
      </w:r>
      <w:r w:rsidR="00EA599D">
        <w:t xml:space="preserve">the </w:t>
      </w:r>
      <w:r w:rsidR="009D52C5" w:rsidRPr="002A6B09">
        <w:t>study</w:t>
      </w:r>
      <w:r>
        <w:t xml:space="preserve"> are </w:t>
      </w:r>
      <w:r w:rsidR="009D52C5" w:rsidRPr="002A6B09">
        <w:t xml:space="preserve">determined by the investigator to be clinically significant, </w:t>
      </w:r>
      <w:r>
        <w:t xml:space="preserve">they </w:t>
      </w:r>
      <w:r w:rsidR="009D52C5" w:rsidRPr="002A6B09">
        <w:t>must be recorded as AE</w:t>
      </w:r>
      <w:r>
        <w:t>s</w:t>
      </w:r>
      <w:r w:rsidR="009D52C5" w:rsidRPr="002A6B09">
        <w:t xml:space="preserve"> if </w:t>
      </w:r>
      <w:r>
        <w:t>they</w:t>
      </w:r>
      <w:r w:rsidRPr="002A6B09">
        <w:t xml:space="preserve"> </w:t>
      </w:r>
      <w:r w:rsidR="009D52C5" w:rsidRPr="002A6B09">
        <w:t xml:space="preserve">meet the definition of AE, or </w:t>
      </w:r>
      <w:r>
        <w:t xml:space="preserve">be </w:t>
      </w:r>
      <w:r w:rsidR="009D52C5" w:rsidRPr="002A6B09">
        <w:t>recorded as SAE</w:t>
      </w:r>
      <w:r>
        <w:t>s</w:t>
      </w:r>
      <w:r w:rsidR="009D52C5" w:rsidRPr="002A6B09">
        <w:t xml:space="preserve"> if </w:t>
      </w:r>
      <w:r>
        <w:t>they</w:t>
      </w:r>
      <w:r w:rsidRPr="002A6B09">
        <w:t xml:space="preserve"> </w:t>
      </w:r>
      <w:r w:rsidR="009D52C5" w:rsidRPr="002A6B09">
        <w:t xml:space="preserve">meet the definition of SAE. </w:t>
      </w:r>
    </w:p>
    <w:p w14:paraId="41A9B35A" w14:textId="198E44CC" w:rsidR="009D52C5" w:rsidRDefault="009D52C5" w:rsidP="0027517F">
      <w:pPr>
        <w:jc w:val="both"/>
      </w:pPr>
      <w:r w:rsidRPr="002A6B09">
        <w:t xml:space="preserve">All AEs occurring during the study should be recorded in the source documentation, including a description of the AE, date of the AE onset and resolution, severity, </w:t>
      </w:r>
      <w:r w:rsidR="00EA599D">
        <w:t xml:space="preserve">and </w:t>
      </w:r>
      <w:r w:rsidRPr="002A6B09">
        <w:t>investigator’s judgment on the relationship between the medications of lymphodepleting conditioning/study treatment and the event, any action taken and the outcome of the AE, and their relationship with the study treatment</w:t>
      </w:r>
      <w:r w:rsidR="00605803">
        <w:t>.</w:t>
      </w:r>
      <w:r w:rsidRPr="002A6B09">
        <w:t xml:space="preserve"> </w:t>
      </w:r>
      <w:r w:rsidR="00605803" w:rsidRPr="002A6B09">
        <w:t xml:space="preserve">All AEs </w:t>
      </w:r>
      <w:r w:rsidRPr="002A6B09">
        <w:t xml:space="preserve">should be evaluated based on the comprehensive consideration of complications and concomitant medications. CRS and ICANS will be separately recorded as AEs. Abnormalities in inflammatory markers associated with CRS will not be recorded as AEs. </w:t>
      </w:r>
    </w:p>
    <w:p w14:paraId="26526853" w14:textId="3A31CA7A" w:rsidR="009D52C5" w:rsidRPr="002A6B09" w:rsidRDefault="009D52C5" w:rsidP="0027517F">
      <w:pPr>
        <w:jc w:val="both"/>
      </w:pPr>
      <w:r w:rsidRPr="002A6B09">
        <w:t>In addition, the following information will be collected for SAEs: Date of AEs upgrading to SAEs, date</w:t>
      </w:r>
      <w:r w:rsidR="0030052E">
        <w:t xml:space="preserve"> of</w:t>
      </w:r>
      <w:r w:rsidRPr="002A6B09">
        <w:t xml:space="preserve"> the investigator </w:t>
      </w:r>
      <w:r>
        <w:t>acknowledging</w:t>
      </w:r>
      <w:r w:rsidRPr="002A6B09">
        <w:t xml:space="preserve"> of AEs upgrading to SAEs, </w:t>
      </w:r>
      <w:r w:rsidR="00EA599D">
        <w:t xml:space="preserve">the </w:t>
      </w:r>
      <w:r w:rsidRPr="002A6B09">
        <w:t xml:space="preserve">reason for AEs upgrading to SAEs, dates of hospitalization and discharge, possible cause of death, date of death, autopsy findings, assessment of </w:t>
      </w:r>
      <w:r w:rsidR="00EA599D">
        <w:t xml:space="preserve">the </w:t>
      </w:r>
      <w:r w:rsidRPr="002A6B09">
        <w:t>causal relationship of SAEs to study procedures, event descriptions, etc.</w:t>
      </w:r>
    </w:p>
    <w:p w14:paraId="42790FD2" w14:textId="774782C0" w:rsidR="009D52C5" w:rsidRDefault="009D52C5" w:rsidP="0027517F">
      <w:pPr>
        <w:pStyle w:val="30"/>
        <w:jc w:val="both"/>
        <w:rPr>
          <w:lang w:val="en"/>
        </w:rPr>
      </w:pPr>
      <w:bookmarkStart w:id="163" w:name="_Toc112064884"/>
      <w:r w:rsidRPr="002A6B09">
        <w:rPr>
          <w:lang w:val="en"/>
        </w:rPr>
        <w:lastRenderedPageBreak/>
        <w:t>Reporting</w:t>
      </w:r>
      <w:r>
        <w:rPr>
          <w:lang w:val="en"/>
        </w:rPr>
        <w:t xml:space="preserve"> of Serious Adverse Events</w:t>
      </w:r>
      <w:bookmarkEnd w:id="163"/>
    </w:p>
    <w:p w14:paraId="3960B2B2" w14:textId="4EA7055A" w:rsidR="009D52C5" w:rsidRDefault="009D52C5" w:rsidP="0027517F">
      <w:pPr>
        <w:jc w:val="both"/>
      </w:pPr>
      <w:r w:rsidRPr="002A6B09">
        <w:t xml:space="preserve">Any SAE during the study, </w:t>
      </w:r>
      <w:r w:rsidR="004A3F81" w:rsidRPr="002A6B09">
        <w:t>whether</w:t>
      </w:r>
      <w:r w:rsidRPr="002A6B09">
        <w:t xml:space="preserve"> related to the study treatment</w:t>
      </w:r>
      <w:r w:rsidR="0030052E">
        <w:t xml:space="preserve"> or not</w:t>
      </w:r>
      <w:r w:rsidRPr="002A6B09">
        <w:t xml:space="preserve">, </w:t>
      </w:r>
      <w:r w:rsidR="0030052E">
        <w:t>needs</w:t>
      </w:r>
      <w:r w:rsidRPr="002A6B09">
        <w:t xml:space="preserve"> appropriate measures to ensure the safety of the patient. The investigator should report SAEs to the sponsor within 24 hours of be</w:t>
      </w:r>
      <w:r w:rsidR="0030052E">
        <w:t>ing informed</w:t>
      </w:r>
      <w:r w:rsidRPr="002A6B09">
        <w:t xml:space="preserve">. </w:t>
      </w:r>
    </w:p>
    <w:p w14:paraId="4DB43479" w14:textId="69F94334" w:rsidR="009D52C5" w:rsidRDefault="009D52C5" w:rsidP="0027517F">
      <w:pPr>
        <w:jc w:val="both"/>
      </w:pPr>
      <w:r w:rsidRPr="002A6B09">
        <w:t xml:space="preserve">Upon receipt of the safety information from the sponsor, the investigator should read </w:t>
      </w:r>
      <w:r w:rsidR="00713120">
        <w:t xml:space="preserve">it </w:t>
      </w:r>
      <w:r w:rsidR="00EA599D">
        <w:t>promptly</w:t>
      </w:r>
      <w:r w:rsidRPr="002A6B09">
        <w:t xml:space="preserve">, consider any corresponding adjustment to the patient’s treatment, and communicate with the patient </w:t>
      </w:r>
      <w:r w:rsidR="0030052E">
        <w:t>as soon as possible</w:t>
      </w:r>
      <w:r w:rsidRPr="002A6B09">
        <w:t xml:space="preserve">. </w:t>
      </w:r>
    </w:p>
    <w:p w14:paraId="154DEFAF" w14:textId="015FC9BE" w:rsidR="009D52C5" w:rsidRDefault="009D52C5" w:rsidP="0027517F">
      <w:pPr>
        <w:jc w:val="both"/>
      </w:pPr>
      <w:r w:rsidRPr="002A6B09">
        <w:t xml:space="preserve">The investigator should follow up with SAEs as per the protocol and provide a detailed and written follow-up report within 24 hours of receiving the follow-up information in the same manner as described above. </w:t>
      </w:r>
    </w:p>
    <w:p w14:paraId="69F0CB5D" w14:textId="3E32184F" w:rsidR="009D52C5" w:rsidRPr="002A6B09" w:rsidRDefault="009D52C5" w:rsidP="0027517F">
      <w:pPr>
        <w:jc w:val="both"/>
      </w:pPr>
      <w:r w:rsidRPr="002A6B09">
        <w:t xml:space="preserve">The sponsor or its designee should evaluate and report SAEs (including SUSARs) </w:t>
      </w:r>
      <w:r w:rsidR="00713120">
        <w:t>following</w:t>
      </w:r>
      <w:r w:rsidRPr="002A6B09">
        <w:t xml:space="preserve"> the latest applicable regulatory requirements for clinical studies. </w:t>
      </w:r>
    </w:p>
    <w:p w14:paraId="55B690DE" w14:textId="67EB7AFC" w:rsidR="009D52C5" w:rsidRDefault="009D52C5" w:rsidP="0027517F">
      <w:pPr>
        <w:pStyle w:val="30"/>
        <w:jc w:val="both"/>
        <w:rPr>
          <w:lang w:val="en"/>
        </w:rPr>
      </w:pPr>
      <w:bookmarkStart w:id="164" w:name="_Toc112064885"/>
      <w:r>
        <w:rPr>
          <w:lang w:val="en"/>
        </w:rPr>
        <w:t>Grading of Adverse Events</w:t>
      </w:r>
      <w:bookmarkEnd w:id="164"/>
    </w:p>
    <w:p w14:paraId="57E06592" w14:textId="6988BF2C" w:rsidR="009D52C5" w:rsidRPr="002A6B09" w:rsidRDefault="006C6092" w:rsidP="0027517F">
      <w:pPr>
        <w:jc w:val="both"/>
      </w:pPr>
      <w:r w:rsidRPr="002A6B09">
        <w:t>Apart from</w:t>
      </w:r>
      <w:r w:rsidR="009D52C5" w:rsidRPr="002A6B09">
        <w:t xml:space="preserve"> CRS and neurotoxicity (ICANS), AEs should be recorded in accordance with the National Cancer Institute</w:t>
      </w:r>
      <w:r w:rsidR="00587B49">
        <w:t xml:space="preserve"> (NCI)</w:t>
      </w:r>
      <w:r w:rsidR="009D52C5" w:rsidRPr="002A6B09">
        <w:t>-Common Terminology Criteria for Adverse Reactions (CTCAE) version 5.0. Grading of CRS and neurotoxicity should be recorded according to ASTCT Consensus Grading for Cytokine Release Syndrome and Neurologic Toxicity Associated</w:t>
      </w:r>
      <w:r w:rsidR="009D52C5">
        <w:t xml:space="preserve"> </w:t>
      </w:r>
      <w:r w:rsidR="009D52C5" w:rsidRPr="002A6B09">
        <w:t xml:space="preserve">with Immune Effector Cells in 2019. </w:t>
      </w:r>
    </w:p>
    <w:p w14:paraId="56A57279" w14:textId="3F711D4E" w:rsidR="009D52C5" w:rsidRDefault="009D52C5" w:rsidP="0027517F">
      <w:pPr>
        <w:pStyle w:val="30"/>
        <w:jc w:val="both"/>
        <w:rPr>
          <w:lang w:val="en"/>
        </w:rPr>
      </w:pPr>
      <w:bookmarkStart w:id="165" w:name="_Toc112064886"/>
      <w:r>
        <w:rPr>
          <w:rFonts w:hint="eastAsia"/>
          <w:lang w:val="en"/>
        </w:rPr>
        <w:t>Relationship to the study treatment</w:t>
      </w:r>
      <w:bookmarkEnd w:id="165"/>
    </w:p>
    <w:p w14:paraId="24255D08" w14:textId="22ABFDAA" w:rsidR="009D52C5" w:rsidRDefault="009D52C5" w:rsidP="0027517F">
      <w:pPr>
        <w:jc w:val="both"/>
      </w:pPr>
      <w:r w:rsidRPr="002A6B09">
        <w:t xml:space="preserve">The investigator should </w:t>
      </w:r>
      <w:r>
        <w:rPr>
          <w:rFonts w:hint="eastAsia"/>
        </w:rPr>
        <w:t xml:space="preserve">assess any possible associations between the </w:t>
      </w:r>
      <w:r w:rsidRPr="002A6B09">
        <w:t xml:space="preserve">AE </w:t>
      </w:r>
      <w:r>
        <w:rPr>
          <w:rFonts w:hint="eastAsia"/>
        </w:rPr>
        <w:t>and the</w:t>
      </w:r>
      <w:r w:rsidRPr="002A6B09">
        <w:rPr>
          <w:rFonts w:hint="eastAsia"/>
        </w:rPr>
        <w:t xml:space="preserve"> s</w:t>
      </w:r>
      <w:r w:rsidRPr="002A6B09">
        <w:t xml:space="preserve">tudy drug according to the criteria below: </w:t>
      </w:r>
    </w:p>
    <w:tbl>
      <w:tblPr>
        <w:tblW w:w="82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9"/>
        <w:gridCol w:w="6162"/>
      </w:tblGrid>
      <w:tr w:rsidR="009D52C5" w:rsidRPr="002A6B09" w14:paraId="37B2F0DD" w14:textId="77777777" w:rsidTr="004322E6">
        <w:trPr>
          <w:trHeight w:val="132"/>
          <w:jc w:val="center"/>
        </w:trPr>
        <w:tc>
          <w:tcPr>
            <w:tcW w:w="2059" w:type="dxa"/>
          </w:tcPr>
          <w:p w14:paraId="486EC3EA" w14:textId="3B2F1E07" w:rsidR="009D52C5" w:rsidRPr="002A6B09" w:rsidRDefault="009D52C5" w:rsidP="0027517F">
            <w:pPr>
              <w:snapToGrid w:val="0"/>
              <w:spacing w:after="0" w:line="240" w:lineRule="auto"/>
              <w:jc w:val="both"/>
              <w:rPr>
                <w:sz w:val="21"/>
                <w:szCs w:val="21"/>
              </w:rPr>
            </w:pPr>
            <w:r w:rsidRPr="002A6B09">
              <w:rPr>
                <w:sz w:val="21"/>
                <w:szCs w:val="21"/>
              </w:rPr>
              <w:t>Definitely un</w:t>
            </w:r>
            <w:r w:rsidRPr="002A6B09">
              <w:rPr>
                <w:sz w:val="21"/>
                <w:szCs w:val="21"/>
                <w:lang w:val="en"/>
              </w:rPr>
              <w:t>related</w:t>
            </w:r>
          </w:p>
        </w:tc>
        <w:tc>
          <w:tcPr>
            <w:tcW w:w="6162" w:type="dxa"/>
          </w:tcPr>
          <w:p w14:paraId="5C5EB0D6" w14:textId="61232E24" w:rsidR="009D52C5" w:rsidRPr="002A6B09" w:rsidRDefault="009D52C5" w:rsidP="0027517F">
            <w:pPr>
              <w:snapToGrid w:val="0"/>
              <w:spacing w:after="0" w:line="240" w:lineRule="auto"/>
              <w:jc w:val="both"/>
              <w:rPr>
                <w:sz w:val="21"/>
                <w:szCs w:val="21"/>
              </w:rPr>
            </w:pPr>
            <w:r w:rsidRPr="002A6B09">
              <w:rPr>
                <w:sz w:val="21"/>
                <w:szCs w:val="21"/>
                <w:lang w:val="en"/>
              </w:rPr>
              <w:t>No medication is used, or there is no correlation between the medication and the time of onset of the adverse event, or there is another clear cause of the adverse event.</w:t>
            </w:r>
          </w:p>
        </w:tc>
      </w:tr>
      <w:tr w:rsidR="009D52C5" w:rsidRPr="002A6B09" w14:paraId="48AFE719" w14:textId="77777777" w:rsidTr="004322E6">
        <w:trPr>
          <w:trHeight w:val="846"/>
          <w:jc w:val="center"/>
        </w:trPr>
        <w:tc>
          <w:tcPr>
            <w:tcW w:w="2059" w:type="dxa"/>
          </w:tcPr>
          <w:p w14:paraId="66CF1012" w14:textId="1DADFA3D" w:rsidR="009D52C5" w:rsidRPr="002A6B09" w:rsidRDefault="009D52C5" w:rsidP="0027517F">
            <w:pPr>
              <w:snapToGrid w:val="0"/>
              <w:spacing w:after="0" w:line="240" w:lineRule="auto"/>
              <w:jc w:val="both"/>
              <w:rPr>
                <w:sz w:val="21"/>
                <w:szCs w:val="21"/>
              </w:rPr>
            </w:pPr>
            <w:r w:rsidRPr="002A6B09">
              <w:rPr>
                <w:sz w:val="21"/>
                <w:szCs w:val="21"/>
                <w:lang w:val="en"/>
              </w:rPr>
              <w:t xml:space="preserve">Possibly unrelated </w:t>
            </w:r>
          </w:p>
        </w:tc>
        <w:tc>
          <w:tcPr>
            <w:tcW w:w="6162" w:type="dxa"/>
          </w:tcPr>
          <w:p w14:paraId="30A86ED0" w14:textId="1DC5DA97" w:rsidR="009D52C5" w:rsidRPr="002A6B09" w:rsidRDefault="009D52C5" w:rsidP="0027517F">
            <w:pPr>
              <w:snapToGrid w:val="0"/>
              <w:spacing w:after="0" w:line="240" w:lineRule="auto"/>
              <w:jc w:val="both"/>
              <w:rPr>
                <w:sz w:val="21"/>
                <w:szCs w:val="21"/>
              </w:rPr>
            </w:pPr>
            <w:r w:rsidRPr="002A6B09">
              <w:rPr>
                <w:sz w:val="21"/>
                <w:szCs w:val="21"/>
                <w:lang w:val="en"/>
              </w:rPr>
              <w:t xml:space="preserve">The adverse event is not closely related to the time of medication, the clinical manifestations are not consistent with the known adverse reactions of the drug, or the progression of the underlying disease may have similar clinical manifestations. </w:t>
            </w:r>
          </w:p>
        </w:tc>
      </w:tr>
      <w:tr w:rsidR="009D52C5" w:rsidRPr="002A6B09" w14:paraId="4A21B5A9" w14:textId="77777777" w:rsidTr="004322E6">
        <w:trPr>
          <w:jc w:val="center"/>
        </w:trPr>
        <w:tc>
          <w:tcPr>
            <w:tcW w:w="2059" w:type="dxa"/>
          </w:tcPr>
          <w:p w14:paraId="1F417324" w14:textId="4A5F8AD4" w:rsidR="009D52C5" w:rsidRPr="002A6B09" w:rsidRDefault="009D52C5" w:rsidP="0027517F">
            <w:pPr>
              <w:snapToGrid w:val="0"/>
              <w:spacing w:after="0" w:line="240" w:lineRule="auto"/>
              <w:jc w:val="both"/>
              <w:rPr>
                <w:sz w:val="21"/>
                <w:szCs w:val="21"/>
              </w:rPr>
            </w:pPr>
            <w:r w:rsidRPr="002A6B09">
              <w:rPr>
                <w:sz w:val="21"/>
                <w:szCs w:val="21"/>
                <w:lang w:val="en"/>
              </w:rPr>
              <w:t>Possibly related</w:t>
            </w:r>
          </w:p>
        </w:tc>
        <w:tc>
          <w:tcPr>
            <w:tcW w:w="6162" w:type="dxa"/>
          </w:tcPr>
          <w:p w14:paraId="2CEAE360" w14:textId="7F3A3D76" w:rsidR="009D52C5" w:rsidRPr="002A6B09" w:rsidRDefault="009D52C5" w:rsidP="0027517F">
            <w:pPr>
              <w:snapToGrid w:val="0"/>
              <w:spacing w:after="0" w:line="240" w:lineRule="auto"/>
              <w:jc w:val="both"/>
              <w:rPr>
                <w:sz w:val="21"/>
                <w:szCs w:val="21"/>
              </w:rPr>
            </w:pPr>
            <w:r w:rsidRPr="002A6B09">
              <w:rPr>
                <w:sz w:val="21"/>
                <w:szCs w:val="21"/>
                <w:lang w:val="en"/>
              </w:rPr>
              <w:t xml:space="preserve">The medication is closely related to the time of onset of an adverse event and is supported by relevant literature; however, there is more than </w:t>
            </w:r>
            <w:r w:rsidR="00713120">
              <w:rPr>
                <w:sz w:val="21"/>
                <w:szCs w:val="21"/>
                <w:lang w:val="en"/>
              </w:rPr>
              <w:t>one</w:t>
            </w:r>
            <w:r w:rsidRPr="002A6B09">
              <w:rPr>
                <w:sz w:val="21"/>
                <w:szCs w:val="21"/>
                <w:lang w:val="en"/>
              </w:rPr>
              <w:t xml:space="preserve"> drug leading to </w:t>
            </w:r>
            <w:r w:rsidR="00713120">
              <w:rPr>
                <w:sz w:val="21"/>
                <w:szCs w:val="21"/>
                <w:lang w:val="en"/>
              </w:rPr>
              <w:t xml:space="preserve">an </w:t>
            </w:r>
            <w:r w:rsidRPr="002A6B09">
              <w:rPr>
                <w:sz w:val="21"/>
                <w:szCs w:val="21"/>
                <w:lang w:val="en"/>
              </w:rPr>
              <w:t xml:space="preserve">adverse event, or the progression of the underlying disease cannot be ruled out. </w:t>
            </w:r>
          </w:p>
        </w:tc>
      </w:tr>
      <w:tr w:rsidR="009D52C5" w:rsidRPr="002A6B09" w14:paraId="26D1DB73" w14:textId="77777777" w:rsidTr="004322E6">
        <w:trPr>
          <w:jc w:val="center"/>
        </w:trPr>
        <w:tc>
          <w:tcPr>
            <w:tcW w:w="2059" w:type="dxa"/>
          </w:tcPr>
          <w:p w14:paraId="0A4301CB" w14:textId="422FA73B" w:rsidR="009D52C5" w:rsidRPr="002A6B09" w:rsidRDefault="009D52C5" w:rsidP="0027517F">
            <w:pPr>
              <w:snapToGrid w:val="0"/>
              <w:spacing w:after="0" w:line="240" w:lineRule="auto"/>
              <w:jc w:val="both"/>
              <w:rPr>
                <w:sz w:val="21"/>
                <w:szCs w:val="21"/>
              </w:rPr>
            </w:pPr>
            <w:r w:rsidRPr="002A6B09">
              <w:rPr>
                <w:sz w:val="21"/>
                <w:szCs w:val="21"/>
                <w:lang w:val="en"/>
              </w:rPr>
              <w:t>Probably related</w:t>
            </w:r>
          </w:p>
        </w:tc>
        <w:tc>
          <w:tcPr>
            <w:tcW w:w="6162" w:type="dxa"/>
          </w:tcPr>
          <w:p w14:paraId="47A883B7" w14:textId="22B41DB3" w:rsidR="009D52C5" w:rsidRPr="002A6B09" w:rsidRDefault="009D52C5" w:rsidP="0027517F">
            <w:pPr>
              <w:snapToGrid w:val="0"/>
              <w:spacing w:after="0" w:line="240" w:lineRule="auto"/>
              <w:jc w:val="both"/>
              <w:rPr>
                <w:sz w:val="21"/>
                <w:szCs w:val="21"/>
              </w:rPr>
            </w:pPr>
            <w:r w:rsidRPr="002A6B09">
              <w:rPr>
                <w:sz w:val="21"/>
                <w:szCs w:val="21"/>
                <w:lang w:val="en"/>
              </w:rPr>
              <w:t>No history of repeated medication</w:t>
            </w:r>
            <w:r w:rsidR="00713120">
              <w:rPr>
                <w:sz w:val="21"/>
                <w:szCs w:val="21"/>
                <w:lang w:val="en"/>
              </w:rPr>
              <w:t>. T</w:t>
            </w:r>
            <w:r w:rsidRPr="002A6B09">
              <w:rPr>
                <w:sz w:val="21"/>
                <w:szCs w:val="21"/>
                <w:lang w:val="en"/>
              </w:rPr>
              <w:t>he rest are the same as “definitely related</w:t>
            </w:r>
            <w:r w:rsidR="00713120">
              <w:rPr>
                <w:sz w:val="21"/>
                <w:szCs w:val="21"/>
                <w:lang w:val="en"/>
              </w:rPr>
              <w:t>,”</w:t>
            </w:r>
            <w:r w:rsidRPr="002A6B09">
              <w:rPr>
                <w:sz w:val="21"/>
                <w:szCs w:val="21"/>
                <w:lang w:val="en"/>
              </w:rPr>
              <w:t xml:space="preserve"> or although there are concomitant medications, the possibility of adverse reactions caused by the concomitant medications could basically be ruled out. </w:t>
            </w:r>
          </w:p>
        </w:tc>
      </w:tr>
      <w:tr w:rsidR="009D52C5" w:rsidRPr="002A6B09" w14:paraId="7D50C921" w14:textId="77777777" w:rsidTr="004322E6">
        <w:trPr>
          <w:jc w:val="center"/>
        </w:trPr>
        <w:tc>
          <w:tcPr>
            <w:tcW w:w="2059" w:type="dxa"/>
          </w:tcPr>
          <w:p w14:paraId="5BDC87B1" w14:textId="4D66F4C4" w:rsidR="009D52C5" w:rsidRPr="002A6B09" w:rsidRDefault="009D52C5" w:rsidP="0027517F">
            <w:pPr>
              <w:snapToGrid w:val="0"/>
              <w:spacing w:after="0" w:line="240" w:lineRule="auto"/>
              <w:jc w:val="both"/>
              <w:rPr>
                <w:sz w:val="21"/>
                <w:szCs w:val="21"/>
              </w:rPr>
            </w:pPr>
            <w:r w:rsidRPr="002A6B09">
              <w:rPr>
                <w:sz w:val="21"/>
                <w:szCs w:val="21"/>
                <w:lang w:val="en"/>
              </w:rPr>
              <w:t>Definitely related</w:t>
            </w:r>
          </w:p>
        </w:tc>
        <w:tc>
          <w:tcPr>
            <w:tcW w:w="6162" w:type="dxa"/>
          </w:tcPr>
          <w:p w14:paraId="364E84FE" w14:textId="529311DF" w:rsidR="009D52C5" w:rsidRPr="002A6B09" w:rsidRDefault="009D52C5" w:rsidP="0027517F">
            <w:pPr>
              <w:snapToGrid w:val="0"/>
              <w:spacing w:after="0" w:line="240" w:lineRule="auto"/>
              <w:jc w:val="both"/>
              <w:rPr>
                <w:sz w:val="21"/>
                <w:szCs w:val="21"/>
              </w:rPr>
            </w:pPr>
            <w:r w:rsidRPr="002A6B09">
              <w:rPr>
                <w:sz w:val="21"/>
                <w:szCs w:val="21"/>
                <w:lang w:val="en"/>
              </w:rPr>
              <w:t>There is a reasonable temporal relationship between the medication and the onset of adverse events; the event resolves or rapidly improves after the drug discontinuation (</w:t>
            </w:r>
            <w:proofErr w:type="spellStart"/>
            <w:r w:rsidRPr="002A6B09">
              <w:rPr>
                <w:sz w:val="21"/>
                <w:szCs w:val="21"/>
                <w:lang w:val="en"/>
              </w:rPr>
              <w:t>ie</w:t>
            </w:r>
            <w:proofErr w:type="spellEnd"/>
            <w:r w:rsidRPr="002A6B09">
              <w:rPr>
                <w:sz w:val="21"/>
                <w:szCs w:val="21"/>
                <w:lang w:val="en"/>
              </w:rPr>
              <w:t>, positive de-challenge); adverse events re-occur due to the repeated medication (</w:t>
            </w:r>
            <w:proofErr w:type="spellStart"/>
            <w:r w:rsidRPr="002A6B09">
              <w:rPr>
                <w:sz w:val="21"/>
                <w:szCs w:val="21"/>
                <w:lang w:val="en"/>
              </w:rPr>
              <w:t>ie</w:t>
            </w:r>
            <w:proofErr w:type="spellEnd"/>
            <w:r w:rsidRPr="002A6B09">
              <w:rPr>
                <w:sz w:val="21"/>
                <w:szCs w:val="21"/>
                <w:lang w:val="en"/>
              </w:rPr>
              <w:t xml:space="preserve">, positive re-challenge) and may be significantly aggravated; it is also supported by the investigator’s </w:t>
            </w:r>
            <w:r w:rsidRPr="002A6B09">
              <w:rPr>
                <w:sz w:val="21"/>
                <w:szCs w:val="21"/>
                <w:lang w:val="en"/>
              </w:rPr>
              <w:lastRenderedPageBreak/>
              <w:t xml:space="preserve">brochure or literature; and other confounding factors, such as underlying diseases, have been excluded. </w:t>
            </w:r>
          </w:p>
        </w:tc>
      </w:tr>
    </w:tbl>
    <w:p w14:paraId="1F40F46C" w14:textId="77777777" w:rsidR="009D52C5" w:rsidRDefault="009D52C5" w:rsidP="0027517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480"/>
        <w:contextualSpacing/>
        <w:jc w:val="both"/>
        <w:rPr>
          <w:lang w:val="en"/>
        </w:rPr>
      </w:pPr>
    </w:p>
    <w:p w14:paraId="19ED8969" w14:textId="01C22B96" w:rsidR="009D52C5" w:rsidRPr="002A6B09" w:rsidRDefault="009D52C5" w:rsidP="0027517F">
      <w:pPr>
        <w:jc w:val="both"/>
      </w:pPr>
      <w:r w:rsidRPr="002A6B09">
        <w:t xml:space="preserve">If the investigator </w:t>
      </w:r>
      <w:r w:rsidR="00713120">
        <w:t>cannot assess the relationship between the AE and the study treatment, the AE should also be considered</w:t>
      </w:r>
      <w:r w:rsidRPr="002A6B09">
        <w:t xml:space="preserve"> </w:t>
      </w:r>
      <w:r w:rsidR="00713120">
        <w:t xml:space="preserve">a </w:t>
      </w:r>
      <w:r w:rsidRPr="002A6B09">
        <w:t xml:space="preserve">drug-induced adverse reaction. </w:t>
      </w:r>
    </w:p>
    <w:p w14:paraId="48BD4122" w14:textId="26CA726A" w:rsidR="009D52C5" w:rsidRDefault="009D52C5" w:rsidP="0027517F">
      <w:pPr>
        <w:pStyle w:val="30"/>
        <w:jc w:val="both"/>
        <w:rPr>
          <w:lang w:val="en"/>
        </w:rPr>
      </w:pPr>
      <w:bookmarkStart w:id="166" w:name="_Toc112064887"/>
      <w:r>
        <w:rPr>
          <w:lang w:val="en"/>
        </w:rPr>
        <w:t>Follow-up of Adverse Events/Serious Adverse Events</w:t>
      </w:r>
      <w:bookmarkEnd w:id="166"/>
    </w:p>
    <w:p w14:paraId="1F7893D7" w14:textId="32DBD8FF" w:rsidR="009D52C5" w:rsidRDefault="009D52C5" w:rsidP="0027517F">
      <w:pPr>
        <w:jc w:val="both"/>
      </w:pPr>
      <w:r w:rsidRPr="002A6B09">
        <w:t xml:space="preserve">The investigator should follow up with each AE. All SAEs and related AEs that are ongoing at the time of the AE/SAE collection and recording end point should be followed up until: </w:t>
      </w:r>
    </w:p>
    <w:p w14:paraId="6FCC5474" w14:textId="68021407" w:rsidR="009D52C5" w:rsidRPr="002A6B09" w:rsidRDefault="009D52C5" w:rsidP="0027517F">
      <w:pPr>
        <w:pStyle w:val="Bullet1"/>
        <w:jc w:val="both"/>
      </w:pPr>
      <w:r w:rsidRPr="002A6B09">
        <w:t>The event resolves or returns to the baseline status or stabilizes</w:t>
      </w:r>
    </w:p>
    <w:p w14:paraId="0CD0CC92" w14:textId="77777777" w:rsidR="009D52C5" w:rsidRPr="002A6B09" w:rsidRDefault="009D52C5" w:rsidP="0027517F">
      <w:pPr>
        <w:pStyle w:val="Bullet1"/>
        <w:jc w:val="both"/>
      </w:pPr>
      <w:r w:rsidRPr="002A6B09">
        <w:t>Further improvement of the event is not expected as determined by the investigator</w:t>
      </w:r>
    </w:p>
    <w:p w14:paraId="4144BC34" w14:textId="21E7B2C7" w:rsidR="009D52C5" w:rsidRPr="002A6B09" w:rsidRDefault="009D52C5" w:rsidP="0027517F">
      <w:pPr>
        <w:pStyle w:val="Bullet1"/>
        <w:jc w:val="both"/>
      </w:pPr>
      <w:r w:rsidRPr="002A6B09">
        <w:t xml:space="preserve">The </w:t>
      </w:r>
      <w:r w:rsidR="004A7400">
        <w:t>patient</w:t>
      </w:r>
      <w:r w:rsidRPr="002A6B09">
        <w:t xml:space="preserve"> receives a new treatment regimen</w:t>
      </w:r>
    </w:p>
    <w:p w14:paraId="04F4F574" w14:textId="110EC780" w:rsidR="009D52C5" w:rsidRPr="002A6B09" w:rsidRDefault="009D52C5" w:rsidP="0027517F">
      <w:pPr>
        <w:pStyle w:val="Bullet1"/>
        <w:jc w:val="both"/>
      </w:pPr>
      <w:r w:rsidRPr="002A6B09">
        <w:t xml:space="preserve">When additional information is not </w:t>
      </w:r>
      <w:r w:rsidR="0030052E">
        <w:t>applicable</w:t>
      </w:r>
      <w:r w:rsidR="0030052E" w:rsidRPr="002A6B09">
        <w:t xml:space="preserve"> </w:t>
      </w:r>
      <w:r w:rsidRPr="002A6B09">
        <w:t xml:space="preserve">(death or the </w:t>
      </w:r>
      <w:r w:rsidR="00553CA1">
        <w:t>patient</w:t>
      </w:r>
      <w:r w:rsidRPr="002A6B09">
        <w:t xml:space="preserve"> refuses to provide further information, or there is evidence that the </w:t>
      </w:r>
      <w:r w:rsidR="00553CA1">
        <w:t>patient</w:t>
      </w:r>
      <w:r w:rsidRPr="002A6B09">
        <w:t xml:space="preserve"> is lost to follow-up after every effort has been made). </w:t>
      </w:r>
    </w:p>
    <w:p w14:paraId="44791F75" w14:textId="7ABA7893" w:rsidR="009D52C5" w:rsidRDefault="009D52C5" w:rsidP="0027517F">
      <w:pPr>
        <w:jc w:val="both"/>
      </w:pPr>
      <w:r w:rsidRPr="002A6B09">
        <w:t xml:space="preserve">During the study, the </w:t>
      </w:r>
      <w:r w:rsidR="00713120">
        <w:t>resolution time</w:t>
      </w:r>
      <w:r w:rsidRPr="002A6B09">
        <w:t xml:space="preserve"> of AEs (date) should be recorded in the source document to facilitate source data verification. </w:t>
      </w:r>
    </w:p>
    <w:p w14:paraId="75B8ADCF" w14:textId="5EB09603" w:rsidR="009D52C5" w:rsidRPr="002A6B09" w:rsidRDefault="009D52C5" w:rsidP="0027517F">
      <w:pPr>
        <w:jc w:val="both"/>
      </w:pPr>
      <w:r w:rsidRPr="002A6B09">
        <w:t xml:space="preserve">For SAEs, AEs of special interest, and pregnancy events, the sponsor or designee may obtain additional patient information by telephone, fax, email, and/or monitoring for a complete medical evaluation of these reported cases. </w:t>
      </w:r>
    </w:p>
    <w:p w14:paraId="48F0C407" w14:textId="3778BA2C" w:rsidR="009D52C5" w:rsidRDefault="009D52C5" w:rsidP="0027517F">
      <w:pPr>
        <w:pStyle w:val="30"/>
        <w:jc w:val="both"/>
        <w:rPr>
          <w:lang w:val="en"/>
        </w:rPr>
      </w:pPr>
      <w:bookmarkStart w:id="167" w:name="_Toc112064888"/>
      <w:r>
        <w:rPr>
          <w:lang w:val="en"/>
        </w:rPr>
        <w:t>Outcome of Adverse Events</w:t>
      </w:r>
      <w:bookmarkEnd w:id="167"/>
    </w:p>
    <w:p w14:paraId="579D14B0" w14:textId="14B808B7" w:rsidR="009D52C5" w:rsidRPr="006B7D3D" w:rsidRDefault="009D52C5" w:rsidP="0027517F">
      <w:pPr>
        <w:jc w:val="both"/>
      </w:pPr>
      <w:r w:rsidRPr="006B7D3D">
        <w:t xml:space="preserve">The investigator should determine the outcome of each AE. AE outcomes are as follows will:  </w:t>
      </w:r>
    </w:p>
    <w:p w14:paraId="402F7D1A" w14:textId="4B48C728" w:rsidR="009D52C5" w:rsidRPr="006B7D3D" w:rsidRDefault="009D52C5" w:rsidP="0027517F">
      <w:pPr>
        <w:jc w:val="both"/>
      </w:pPr>
      <w:r w:rsidRPr="006B7D3D">
        <w:t xml:space="preserve">Recovery: The </w:t>
      </w:r>
      <w:r w:rsidR="00553CA1">
        <w:t>patient</w:t>
      </w:r>
      <w:r w:rsidRPr="006B7D3D">
        <w:t xml:space="preserve"> recovers completely from an AE without any remaining effects or injuries.</w:t>
      </w:r>
    </w:p>
    <w:p w14:paraId="78DF2E20" w14:textId="103A80D9" w:rsidR="009D52C5" w:rsidRPr="006B7D3D" w:rsidRDefault="009D52C5" w:rsidP="0027517F">
      <w:pPr>
        <w:jc w:val="both"/>
      </w:pPr>
      <w:r w:rsidRPr="006B7D3D">
        <w:t xml:space="preserve">Return to baseline: The </w:t>
      </w:r>
      <w:bookmarkStart w:id="168" w:name="_Hlk111917271"/>
      <w:r w:rsidR="00553CA1">
        <w:t>patient</w:t>
      </w:r>
      <w:bookmarkEnd w:id="168"/>
      <w:r w:rsidRPr="006B7D3D">
        <w:t xml:space="preserve"> recovered from an AE to the baseline values in this study. </w:t>
      </w:r>
    </w:p>
    <w:p w14:paraId="24F9801B" w14:textId="0CCA3A71" w:rsidR="009D52C5" w:rsidRPr="006B7D3D" w:rsidRDefault="009D52C5" w:rsidP="0027517F">
      <w:pPr>
        <w:jc w:val="both"/>
      </w:pPr>
      <w:r w:rsidRPr="006B7D3D">
        <w:t xml:space="preserve">Improving: Signs and symptoms associated with the event have </w:t>
      </w:r>
      <w:r w:rsidR="00713120">
        <w:t xml:space="preserve">been </w:t>
      </w:r>
      <w:r w:rsidRPr="006B7D3D">
        <w:t xml:space="preserve">alleviated but have not completely disappeared. </w:t>
      </w:r>
    </w:p>
    <w:p w14:paraId="12B456AA" w14:textId="4530C190" w:rsidR="009D52C5" w:rsidRPr="006B7D3D" w:rsidRDefault="009D52C5" w:rsidP="0027517F">
      <w:pPr>
        <w:jc w:val="both"/>
      </w:pPr>
      <w:r w:rsidRPr="006B7D3D">
        <w:t xml:space="preserve">Recovered with sequelae: The </w:t>
      </w:r>
      <w:r w:rsidR="00553CA1">
        <w:t>patient</w:t>
      </w:r>
      <w:r w:rsidRPr="006B7D3D">
        <w:t xml:space="preserve"> recovered but with residual effects or injuries. These residual effects may be temporary but still present at the time of reporting</w:t>
      </w:r>
      <w:r w:rsidR="0027517F">
        <w:t>.</w:t>
      </w:r>
      <w:r w:rsidRPr="006B7D3D">
        <w:t xml:space="preserve"> If the sequelae are not considered permanent, additional information will be required at the time of follow-up when the event changes. </w:t>
      </w:r>
    </w:p>
    <w:p w14:paraId="2B6D7CD8" w14:textId="4E901D99" w:rsidR="009D52C5" w:rsidRPr="006B7D3D" w:rsidRDefault="009D52C5" w:rsidP="0027517F">
      <w:pPr>
        <w:jc w:val="both"/>
      </w:pPr>
      <w:r w:rsidRPr="006B7D3D">
        <w:lastRenderedPageBreak/>
        <w:t>Ongoing: The signs and symptoms associated with the event don’t alleviate</w:t>
      </w:r>
      <w:r w:rsidR="00713120">
        <w:t>,</w:t>
      </w:r>
      <w:r w:rsidRPr="006B7D3D">
        <w:t xml:space="preserve"> and the patient’s condition remains unchanged; the AE is considered </w:t>
      </w:r>
      <w:r w:rsidR="00713120">
        <w:t>continuous</w:t>
      </w:r>
      <w:r w:rsidRPr="006B7D3D">
        <w:t xml:space="preserve"> if the patient die</w:t>
      </w:r>
      <w:r w:rsidR="00713120">
        <w:t>s</w:t>
      </w:r>
      <w:r w:rsidRPr="006B7D3D">
        <w:t xml:space="preserve"> due to other AEs other than this AE.</w:t>
      </w:r>
    </w:p>
    <w:p w14:paraId="225B3014" w14:textId="09CC4483" w:rsidR="009D52C5" w:rsidRPr="006B7D3D" w:rsidRDefault="009D52C5" w:rsidP="0027517F">
      <w:pPr>
        <w:jc w:val="both"/>
      </w:pPr>
      <w:r w:rsidRPr="006B7D3D">
        <w:t>Worsening: The signs and symptoms associated with the event don’t alleviate</w:t>
      </w:r>
      <w:r w:rsidR="00713120">
        <w:t>,</w:t>
      </w:r>
      <w:r w:rsidRPr="006B7D3D">
        <w:t xml:space="preserve"> and the patient’s condition worsens. </w:t>
      </w:r>
    </w:p>
    <w:p w14:paraId="1F503F4B" w14:textId="7C6D0577" w:rsidR="009D52C5" w:rsidRPr="006B7D3D" w:rsidRDefault="009D52C5" w:rsidP="0027517F">
      <w:pPr>
        <w:jc w:val="both"/>
      </w:pPr>
      <w:r w:rsidRPr="006B7D3D">
        <w:t>Death: Only SAEs that lead to death could have “death” as the outcome. All other AEs/SAEs present at the time of death should be reported.</w:t>
      </w:r>
    </w:p>
    <w:p w14:paraId="6498D36C" w14:textId="4A72D9AA" w:rsidR="009D52C5" w:rsidRPr="006B7D3D" w:rsidRDefault="009D52C5" w:rsidP="0027517F">
      <w:pPr>
        <w:jc w:val="both"/>
      </w:pPr>
      <w:r w:rsidRPr="006B7D3D">
        <w:t xml:space="preserve">Unknown: When the </w:t>
      </w:r>
      <w:r w:rsidR="00553CA1">
        <w:t>patient</w:t>
      </w:r>
      <w:r w:rsidRPr="006B7D3D">
        <w:t xml:space="preserve"> is lost to follow-up and the investigator cannot assess the outcome.</w:t>
      </w:r>
    </w:p>
    <w:p w14:paraId="55F3B265" w14:textId="63EA3397" w:rsidR="009D52C5" w:rsidRDefault="00AE50D6" w:rsidP="0027517F">
      <w:pPr>
        <w:pStyle w:val="30"/>
        <w:jc w:val="both"/>
        <w:rPr>
          <w:lang w:val="en"/>
        </w:rPr>
      </w:pPr>
      <w:r>
        <w:rPr>
          <w:lang w:val="en"/>
        </w:rPr>
        <w:t xml:space="preserve"> </w:t>
      </w:r>
      <w:bookmarkStart w:id="169" w:name="_Toc112064889"/>
      <w:r w:rsidR="009D52C5">
        <w:rPr>
          <w:lang w:val="en"/>
        </w:rPr>
        <w:t>Disease Progression</w:t>
      </w:r>
      <w:bookmarkEnd w:id="169"/>
    </w:p>
    <w:p w14:paraId="010FB692" w14:textId="169C1C7A" w:rsidR="009D52C5" w:rsidRPr="006B7D3D" w:rsidRDefault="009D52C5" w:rsidP="0027517F">
      <w:pPr>
        <w:jc w:val="both"/>
      </w:pPr>
      <w:r w:rsidRPr="006B7D3D">
        <w:t xml:space="preserve">Disease progression is defined as the worsening of the patient’s condition caused by the disease treated by the study drug. Disease progression may be an increase in the severity of the disease and/or an aggravate in the symptoms. </w:t>
      </w:r>
      <w:r w:rsidR="00713120">
        <w:t>The disease progression</w:t>
      </w:r>
      <w:r w:rsidRPr="006B7D3D">
        <w:t xml:space="preserve"> under the study will be assessed according to IMWG criteria. Events due to disease progression during the study should not be reported as AEs or SAEs. </w:t>
      </w:r>
    </w:p>
    <w:p w14:paraId="52DBA567" w14:textId="7482080E" w:rsidR="009D52C5" w:rsidRPr="006B7D3D" w:rsidRDefault="009D52C5" w:rsidP="0027517F">
      <w:pPr>
        <w:jc w:val="both"/>
      </w:pPr>
      <w:r w:rsidRPr="006B7D3D">
        <w:t xml:space="preserve">In studies </w:t>
      </w:r>
      <w:r w:rsidR="0027517F">
        <w:t>that</w:t>
      </w:r>
      <w:r w:rsidR="0027517F" w:rsidRPr="006B7D3D">
        <w:t xml:space="preserve"> </w:t>
      </w:r>
      <w:r w:rsidRPr="006B7D3D">
        <w:t xml:space="preserve">death is the endpoint due to disease </w:t>
      </w:r>
      <w:proofErr w:type="gramStart"/>
      <w:r w:rsidRPr="006B7D3D">
        <w:t>progression,  the</w:t>
      </w:r>
      <w:proofErr w:type="gramEnd"/>
      <w:r w:rsidRPr="006B7D3D">
        <w:t xml:space="preserve"> date and cause of death should be recorded in the eCRF and should not be reported as an SAE.</w:t>
      </w:r>
    </w:p>
    <w:p w14:paraId="4F653A42" w14:textId="7D1A87C8" w:rsidR="009D52C5" w:rsidRDefault="00AE50D6" w:rsidP="0027517F">
      <w:pPr>
        <w:pStyle w:val="30"/>
        <w:jc w:val="both"/>
        <w:rPr>
          <w:lang w:val="en"/>
        </w:rPr>
      </w:pPr>
      <w:r>
        <w:rPr>
          <w:lang w:val="en"/>
        </w:rPr>
        <w:t xml:space="preserve"> </w:t>
      </w:r>
      <w:bookmarkStart w:id="170" w:name="_Toc112064890"/>
      <w:r w:rsidR="009D52C5">
        <w:rPr>
          <w:lang w:val="en"/>
        </w:rPr>
        <w:t>New Cancer</w:t>
      </w:r>
      <w:bookmarkEnd w:id="170"/>
    </w:p>
    <w:p w14:paraId="7978D31C" w14:textId="6C403E4B" w:rsidR="009D52C5" w:rsidRPr="006B7D3D" w:rsidRDefault="0027517F" w:rsidP="0027517F">
      <w:pPr>
        <w:jc w:val="both"/>
      </w:pPr>
      <w:r>
        <w:t>Newly emerg</w:t>
      </w:r>
      <w:r w:rsidR="00713120">
        <w:t>ing</w:t>
      </w:r>
      <w:r w:rsidR="009D52C5" w:rsidRPr="006B7D3D">
        <w:t xml:space="preserve"> cancers should be considered SAEs. New primary cancers are those cancers that are not the </w:t>
      </w:r>
      <w:r>
        <w:t>aim of</w:t>
      </w:r>
      <w:r w:rsidR="009D52C5" w:rsidRPr="006B7D3D">
        <w:t xml:space="preserve"> the study treatment and are identified after enrollment in the study. </w:t>
      </w:r>
    </w:p>
    <w:p w14:paraId="612FEE69" w14:textId="1F2469D4" w:rsidR="00B9158E" w:rsidRPr="00C76458" w:rsidRDefault="00B9158E" w:rsidP="0027517F">
      <w:pPr>
        <w:pStyle w:val="20"/>
        <w:jc w:val="both"/>
      </w:pPr>
      <w:bookmarkStart w:id="171" w:name="_Toc112064891"/>
      <w:r w:rsidRPr="00C76458">
        <w:t>ECOG Physical Capacity Score</w:t>
      </w:r>
      <w:bookmarkEnd w:id="171"/>
    </w:p>
    <w:p w14:paraId="06DA1E7F" w14:textId="60B2F43B" w:rsidR="00B9158E" w:rsidRPr="006B7D3D" w:rsidRDefault="00B9158E" w:rsidP="0027517F">
      <w:pPr>
        <w:jc w:val="both"/>
      </w:pPr>
      <w:r>
        <w:t xml:space="preserve">See </w:t>
      </w:r>
      <w:r w:rsidR="00B5040F" w:rsidRPr="00750591">
        <w:rPr>
          <w:color w:val="0000FF"/>
          <w:lang w:val="en"/>
        </w:rPr>
        <w:fldChar w:fldCharType="begin"/>
      </w:r>
      <w:r w:rsidR="00B5040F" w:rsidRPr="00750591">
        <w:rPr>
          <w:color w:val="0000FF"/>
          <w:lang w:val="en"/>
        </w:rPr>
        <w:instrText xml:space="preserve"> REF app1 \h  \* MERGEFORMAT </w:instrText>
      </w:r>
      <w:r w:rsidR="00B5040F" w:rsidRPr="00750591">
        <w:rPr>
          <w:color w:val="0000FF"/>
          <w:lang w:val="en"/>
        </w:rPr>
      </w:r>
      <w:r w:rsidR="00B5040F" w:rsidRPr="00750591">
        <w:rPr>
          <w:color w:val="0000FF"/>
          <w:lang w:val="en"/>
        </w:rPr>
        <w:fldChar w:fldCharType="separate"/>
      </w:r>
      <w:r w:rsidR="00B5040F" w:rsidRPr="00750591">
        <w:rPr>
          <w:color w:val="0000FF"/>
        </w:rPr>
        <w:t>Appendix </w:t>
      </w:r>
      <w:r w:rsidR="00B5040F" w:rsidRPr="00750591">
        <w:rPr>
          <w:noProof/>
          <w:color w:val="0000FF"/>
        </w:rPr>
        <w:t>1</w:t>
      </w:r>
      <w:r w:rsidR="00B5040F" w:rsidRPr="00750591">
        <w:rPr>
          <w:color w:val="0000FF"/>
          <w:lang w:val="en"/>
        </w:rPr>
        <w:fldChar w:fldCharType="end"/>
      </w:r>
      <w:r w:rsidR="00B5040F">
        <w:rPr>
          <w:color w:val="0000FF"/>
          <w:lang w:val="en"/>
        </w:rPr>
        <w:t xml:space="preserve"> </w:t>
      </w:r>
      <w:r>
        <w:t>for ECOG performance status score.</w:t>
      </w:r>
    </w:p>
    <w:p w14:paraId="78D09446" w14:textId="56FC65E0" w:rsidR="00B9158E" w:rsidRPr="006B7D3D" w:rsidRDefault="00B9158E" w:rsidP="0027517F">
      <w:pPr>
        <w:jc w:val="both"/>
      </w:pPr>
      <w:r>
        <w:t xml:space="preserve">The time points of ECOG performance status are: Screening and enrollment period </w:t>
      </w:r>
      <w:r w:rsidR="00CE669A">
        <w:t xml:space="preserve"> </w:t>
      </w:r>
      <w:proofErr w:type="gramStart"/>
      <w:r w:rsidR="00CE669A">
        <w:t xml:space="preserve">   </w:t>
      </w:r>
      <w:r>
        <w:t>(</w:t>
      </w:r>
      <w:proofErr w:type="gramEnd"/>
      <w:r>
        <w:t>-8</w:t>
      </w:r>
      <w:r w:rsidR="00CE669A">
        <w:t> </w:t>
      </w:r>
      <w:r>
        <w:t>w to -18</w:t>
      </w:r>
      <w:r w:rsidR="006B7D3D">
        <w:t xml:space="preserve"> </w:t>
      </w:r>
      <w:r>
        <w:t xml:space="preserve">d), baseline examination (7 days before the </w:t>
      </w:r>
      <w:bookmarkStart w:id="172" w:name="_Hlk111826058"/>
      <w:r w:rsidRPr="00A30867">
        <w:t>lymphodepleting conditioning</w:t>
      </w:r>
      <w:bookmarkEnd w:id="172"/>
      <w:r>
        <w:t>), -1</w:t>
      </w:r>
      <w:r w:rsidR="006B7D3D">
        <w:t xml:space="preserve"> </w:t>
      </w:r>
      <w:r>
        <w:t>d, 1</w:t>
      </w:r>
      <w:r w:rsidR="006B7D3D">
        <w:t xml:space="preserve"> </w:t>
      </w:r>
      <w:r>
        <w:t>d, 4</w:t>
      </w:r>
      <w:r w:rsidR="006B7D3D">
        <w:t xml:space="preserve"> </w:t>
      </w:r>
      <w:r>
        <w:t>d, 7</w:t>
      </w:r>
      <w:r w:rsidR="006B7D3D">
        <w:t xml:space="preserve"> </w:t>
      </w:r>
      <w:r>
        <w:t>d, 10</w:t>
      </w:r>
      <w:r w:rsidR="006B7D3D">
        <w:t xml:space="preserve"> </w:t>
      </w:r>
      <w:r>
        <w:t>d, 14</w:t>
      </w:r>
      <w:r w:rsidR="006B7D3D">
        <w:t xml:space="preserve"> </w:t>
      </w:r>
      <w:r>
        <w:t>d, 21</w:t>
      </w:r>
      <w:r w:rsidR="006B7D3D">
        <w:t xml:space="preserve"> </w:t>
      </w:r>
      <w:r>
        <w:t>d, 28</w:t>
      </w:r>
      <w:r w:rsidR="006B7D3D">
        <w:t xml:space="preserve"> </w:t>
      </w:r>
      <w:r>
        <w:t>d, 2</w:t>
      </w:r>
      <w:r w:rsidR="006B7D3D">
        <w:t xml:space="preserve"> </w:t>
      </w:r>
      <w:r>
        <w:t>m, 3</w:t>
      </w:r>
      <w:r w:rsidR="006B7D3D">
        <w:t xml:space="preserve"> </w:t>
      </w:r>
      <w:r>
        <w:t xml:space="preserve">m, and once every </w:t>
      </w:r>
      <w:r w:rsidR="00713120">
        <w:t>three</w:t>
      </w:r>
      <w:r>
        <w:t xml:space="preserve"> months thereafter until the out of study visit or </w:t>
      </w:r>
      <w:r w:rsidR="00713120">
        <w:t>one</w:t>
      </w:r>
      <w:r>
        <w:t xml:space="preserve"> year after cell infusion (whichever occurs first).</w:t>
      </w:r>
    </w:p>
    <w:p w14:paraId="74D52CB9" w14:textId="45441514" w:rsidR="00B9158E" w:rsidRPr="00C76458" w:rsidRDefault="00B9158E" w:rsidP="0027517F">
      <w:pPr>
        <w:pStyle w:val="20"/>
        <w:jc w:val="both"/>
      </w:pPr>
      <w:bookmarkStart w:id="173" w:name="_Toc112064892"/>
      <w:r w:rsidRPr="00C76458">
        <w:t>Laboratory Tests (for safety assessment)</w:t>
      </w:r>
      <w:bookmarkEnd w:id="173"/>
    </w:p>
    <w:p w14:paraId="3121B99B" w14:textId="2BDD3863" w:rsidR="00B9158E" w:rsidRPr="006B7D3D" w:rsidRDefault="00B9158E" w:rsidP="0027517F">
      <w:pPr>
        <w:jc w:val="both"/>
      </w:pPr>
      <w:r>
        <w:t xml:space="preserve">Laboratory tests include </w:t>
      </w:r>
      <w:r w:rsidR="00713120">
        <w:t xml:space="preserve">the </w:t>
      </w:r>
      <w:r>
        <w:t>following:</w:t>
      </w:r>
    </w:p>
    <w:p w14:paraId="51FB8B10" w14:textId="739F84FA" w:rsidR="00B9158E" w:rsidRPr="00720751" w:rsidRDefault="00F26339" w:rsidP="0027517F">
      <w:pPr>
        <w:jc w:val="both"/>
        <w:rPr>
          <w:kern w:val="44"/>
        </w:rPr>
      </w:pPr>
      <w:r>
        <w:rPr>
          <w:b/>
          <w:bCs/>
        </w:rPr>
        <w:t>CBC</w:t>
      </w:r>
    </w:p>
    <w:p w14:paraId="3A12C40C" w14:textId="6E988EA2" w:rsidR="00B9158E" w:rsidRPr="006B7D3D" w:rsidRDefault="00B9158E" w:rsidP="0027517F">
      <w:pPr>
        <w:jc w:val="both"/>
      </w:pPr>
      <w:r>
        <w:t xml:space="preserve">Parameters include red blood cell count, hemoglobin content, </w:t>
      </w:r>
      <w:r w:rsidRPr="00720751">
        <w:t>hematocrit</w:t>
      </w:r>
      <w:r>
        <w:t>, white blood cell count, platelet count, and white blood cell classification (including ratio and absolute count of neutrophils/eosinophils/basophils, lymphocytes/monocytes).</w:t>
      </w:r>
    </w:p>
    <w:p w14:paraId="4AB4511F" w14:textId="49BD53F2" w:rsidR="00B9158E" w:rsidRPr="00720751" w:rsidRDefault="00A324D3" w:rsidP="0027517F">
      <w:pPr>
        <w:jc w:val="both"/>
        <w:rPr>
          <w:kern w:val="44"/>
        </w:rPr>
      </w:pPr>
      <w:r>
        <w:rPr>
          <w:b/>
          <w:bCs/>
        </w:rPr>
        <w:t>Blood biochemical indexes</w:t>
      </w:r>
    </w:p>
    <w:p w14:paraId="0298FB8A" w14:textId="4A5D2B31" w:rsidR="00B9158E" w:rsidRPr="006B7D3D" w:rsidRDefault="00B9158E" w:rsidP="0027517F">
      <w:pPr>
        <w:jc w:val="both"/>
      </w:pPr>
      <w:r>
        <w:lastRenderedPageBreak/>
        <w:t>Parameters include alanine aminotransaminase (ALT), aspartate aminotransferase (AST), gamma-glutamyl transpeptidase (γ-GT), total bilirubin (TBIL), direct bilirubin (DBIL), alkaline phosphatase (AKP or ALP), glucose (Glu), total protein (TP), albumin (ALB), globulin (G), albumin/globulin ratio (A/G) lactate dehydrogenase (LDH), urea/urea nitrogen (Urea/BUN), creatinine (CRE), uric acid (URIC), creatine kinase (CK), creatine kinase isoenzymes (CK-MB), troponin, sodium (Na), potassium (K), magnesium (Mg), chloride (Cl), and phosphorus (P).</w:t>
      </w:r>
    </w:p>
    <w:p w14:paraId="2C4454C5" w14:textId="3483F446" w:rsidR="00B9158E" w:rsidRPr="00720751" w:rsidRDefault="00B9158E" w:rsidP="0027517F">
      <w:pPr>
        <w:jc w:val="both"/>
        <w:rPr>
          <w:kern w:val="44"/>
        </w:rPr>
      </w:pPr>
      <w:r w:rsidRPr="006B7D3D">
        <w:rPr>
          <w:b/>
          <w:bCs/>
        </w:rPr>
        <w:t>Urinalysis:</w:t>
      </w:r>
    </w:p>
    <w:p w14:paraId="5474C8E1" w14:textId="1CF48CEB" w:rsidR="00B9158E" w:rsidRPr="006B7D3D" w:rsidRDefault="00B9158E" w:rsidP="0027517F">
      <w:pPr>
        <w:jc w:val="both"/>
      </w:pPr>
      <w:r>
        <w:t xml:space="preserve">Parameters include pH, urine leucocytes, urine protein, urine erythrocytes, glucose in </w:t>
      </w:r>
      <w:r w:rsidR="00713120">
        <w:t xml:space="preserve">the </w:t>
      </w:r>
      <w:r>
        <w:t xml:space="preserve">urine, ketone bodies, bilirubin, urobilinogen, nitrite, </w:t>
      </w:r>
      <w:r w:rsidR="00713120">
        <w:t xml:space="preserve">and </w:t>
      </w:r>
      <w:r>
        <w:t xml:space="preserve">leukocyte esterase; microscopy should be performed if urine dipstick is abnormal, including urine sediment, red blood cell count, white blood cell count, epithelial cells, crystals, cell cast, and bacteria, only when urine protein is </w:t>
      </w:r>
      <w:r w:rsidR="00F458B7">
        <w:t>≥</w:t>
      </w:r>
      <w:r>
        <w:t>+ and not related to disease, the test is suggested.</w:t>
      </w:r>
    </w:p>
    <w:p w14:paraId="1F4B4C3D" w14:textId="44CD6928" w:rsidR="00B9158E" w:rsidRPr="004322E6" w:rsidRDefault="00B9158E" w:rsidP="0027517F">
      <w:pPr>
        <w:jc w:val="both"/>
        <w:rPr>
          <w:b/>
          <w:bCs/>
          <w:kern w:val="44"/>
        </w:rPr>
      </w:pPr>
      <w:r w:rsidRPr="004322E6">
        <w:rPr>
          <w:b/>
          <w:bCs/>
        </w:rPr>
        <w:t>Coagulation</w:t>
      </w:r>
    </w:p>
    <w:p w14:paraId="26B8743D" w14:textId="0B430069" w:rsidR="00B9158E" w:rsidRPr="006B7D3D" w:rsidRDefault="00B9158E" w:rsidP="0027517F">
      <w:pPr>
        <w:jc w:val="both"/>
      </w:pPr>
      <w:r>
        <w:t>Parameters include plasma prothrombin time (PT), APTT, thrombin time (TT), fibrinogen (FIB), D-dimer, and international normali</w:t>
      </w:r>
      <w:r w:rsidR="00587B49">
        <w:t>z</w:t>
      </w:r>
      <w:r>
        <w:t>ed ratio (INR).</w:t>
      </w:r>
    </w:p>
    <w:p w14:paraId="51D6FDFB" w14:textId="7EDCF126" w:rsidR="00B9158E" w:rsidRPr="00C76458" w:rsidRDefault="00B9158E" w:rsidP="0027517F">
      <w:pPr>
        <w:pStyle w:val="20"/>
        <w:jc w:val="both"/>
      </w:pPr>
      <w:bookmarkStart w:id="174" w:name="_Toc112064893"/>
      <w:r w:rsidRPr="00C76458">
        <w:t>Vital Signs</w:t>
      </w:r>
      <w:bookmarkEnd w:id="174"/>
    </w:p>
    <w:p w14:paraId="3FDA5768" w14:textId="6CCECB57" w:rsidR="00B9158E" w:rsidRPr="006B7D3D" w:rsidRDefault="00B9158E" w:rsidP="0027517F">
      <w:pPr>
        <w:jc w:val="both"/>
      </w:pPr>
      <w:r>
        <w:t xml:space="preserve">Vital sign measurements include axillary temperature, heart rate, respiratory rate, </w:t>
      </w:r>
      <w:r w:rsidR="00713120">
        <w:t xml:space="preserve">and </w:t>
      </w:r>
      <w:r>
        <w:t>systolic and diastolic blood pressure at rest.</w:t>
      </w:r>
    </w:p>
    <w:p w14:paraId="6A06CE28" w14:textId="2875A36F" w:rsidR="00B9158E" w:rsidRPr="00C76458" w:rsidRDefault="00B9158E" w:rsidP="0027517F">
      <w:pPr>
        <w:pStyle w:val="20"/>
        <w:jc w:val="both"/>
      </w:pPr>
      <w:bookmarkStart w:id="175" w:name="_Toc112064894"/>
      <w:r w:rsidRPr="00C76458">
        <w:t>Physical Examination</w:t>
      </w:r>
      <w:bookmarkEnd w:id="175"/>
    </w:p>
    <w:p w14:paraId="37BE5E2A" w14:textId="545BBCBE" w:rsidR="00B9158E" w:rsidRPr="006B7D3D" w:rsidRDefault="00B9158E" w:rsidP="0027517F">
      <w:pPr>
        <w:jc w:val="both"/>
      </w:pPr>
      <w:r>
        <w:t>Physical examination include</w:t>
      </w:r>
      <w:r w:rsidR="00713120">
        <w:t>s</w:t>
      </w:r>
      <w:r>
        <w:t xml:space="preserve"> at least skin, mucous membranes, lymph nodes, head, neck, chest, abdomen, spine/extremities, and nervous system.</w:t>
      </w:r>
    </w:p>
    <w:p w14:paraId="1D2F3452" w14:textId="4E29BD3B" w:rsidR="00B9158E" w:rsidRPr="00C76458" w:rsidRDefault="00B9158E" w:rsidP="0027517F">
      <w:pPr>
        <w:pStyle w:val="20"/>
        <w:jc w:val="both"/>
      </w:pPr>
      <w:bookmarkStart w:id="176" w:name="_Toc112064895"/>
      <w:r w:rsidRPr="00C76458">
        <w:t>Electrocardiogram and Echocardiogram</w:t>
      </w:r>
      <w:bookmarkEnd w:id="176"/>
    </w:p>
    <w:p w14:paraId="36F6F712" w14:textId="4916F034" w:rsidR="00B9158E" w:rsidRPr="006B7D3D" w:rsidRDefault="00B9158E" w:rsidP="0027517F">
      <w:pPr>
        <w:jc w:val="both"/>
      </w:pPr>
      <w:r>
        <w:t>During CT103A cell therapy and follow-up observation period, ECG or echocardiogram can be performed at the discretion of the investigator according to the patient's symptoms and signs of suspected abnormal cardiac function.</w:t>
      </w:r>
    </w:p>
    <w:p w14:paraId="50FCB7F6" w14:textId="33787FEC" w:rsidR="005B2AD5" w:rsidRPr="00C820E8" w:rsidRDefault="00C76458" w:rsidP="00FF0C1E">
      <w:pPr>
        <w:pStyle w:val="1"/>
        <w:jc w:val="both"/>
      </w:pPr>
      <w:bookmarkStart w:id="177" w:name="_Toc112064896"/>
      <w:r>
        <w:lastRenderedPageBreak/>
        <w:t>EFFICACY</w:t>
      </w:r>
      <w:r w:rsidR="7436CE51">
        <w:t xml:space="preserve"> ASSESSMENTS</w:t>
      </w:r>
      <w:bookmarkEnd w:id="148"/>
      <w:bookmarkEnd w:id="149"/>
      <w:bookmarkEnd w:id="150"/>
      <w:bookmarkEnd w:id="151"/>
      <w:bookmarkEnd w:id="177"/>
    </w:p>
    <w:p w14:paraId="45C2C1CE" w14:textId="2C01588A" w:rsidR="00C76458" w:rsidRDefault="00C76458" w:rsidP="00FF0C1E">
      <w:pPr>
        <w:pStyle w:val="20"/>
        <w:jc w:val="both"/>
      </w:pPr>
      <w:bookmarkStart w:id="178" w:name="_Toc112064897"/>
      <w:bookmarkStart w:id="179" w:name="_Ref509404115"/>
      <w:r>
        <w:t>Efficacy Evaluation Criteria</w:t>
      </w:r>
      <w:bookmarkEnd w:id="178"/>
    </w:p>
    <w:p w14:paraId="5B91E2A3" w14:textId="353C53C5" w:rsidR="00C76458" w:rsidRPr="006B7D3D" w:rsidRDefault="00C76458" w:rsidP="00FF0C1E">
      <w:pPr>
        <w:jc w:val="both"/>
      </w:pPr>
      <w:r>
        <w:t>MM refers to the efficacy criteria for myeloma (</w:t>
      </w:r>
      <w:r w:rsidR="004E14F7" w:rsidRPr="004E14F7">
        <w:rPr>
          <w:color w:val="0000FF"/>
        </w:rPr>
        <w:fldChar w:fldCharType="begin"/>
      </w:r>
      <w:r w:rsidR="004E14F7" w:rsidRPr="004E14F7">
        <w:rPr>
          <w:color w:val="0000FF"/>
        </w:rPr>
        <w:instrText xml:space="preserve"> REF app3 \h  \* MERGEFORMAT </w:instrText>
      </w:r>
      <w:r w:rsidR="004E14F7" w:rsidRPr="004E14F7">
        <w:rPr>
          <w:color w:val="0000FF"/>
        </w:rPr>
      </w:r>
      <w:r w:rsidR="004E14F7" w:rsidRPr="004E14F7">
        <w:rPr>
          <w:color w:val="0000FF"/>
        </w:rPr>
        <w:fldChar w:fldCharType="separate"/>
      </w:r>
      <w:r w:rsidR="004E14F7" w:rsidRPr="004E14F7">
        <w:rPr>
          <w:color w:val="0000FF"/>
        </w:rPr>
        <w:t>Appendix </w:t>
      </w:r>
      <w:r w:rsidR="004E14F7" w:rsidRPr="004E14F7">
        <w:rPr>
          <w:noProof/>
          <w:color w:val="0000FF"/>
        </w:rPr>
        <w:t>3</w:t>
      </w:r>
      <w:r w:rsidR="004E14F7" w:rsidRPr="004E14F7">
        <w:rPr>
          <w:color w:val="0000FF"/>
        </w:rPr>
        <w:fldChar w:fldCharType="end"/>
      </w:r>
      <w:r>
        <w:t>) and MRD efficacy criteria (</w:t>
      </w:r>
      <w:r w:rsidR="004E14F7" w:rsidRPr="004E14F7">
        <w:rPr>
          <w:color w:val="0000FF"/>
        </w:rPr>
        <w:fldChar w:fldCharType="begin"/>
      </w:r>
      <w:r w:rsidR="004E14F7" w:rsidRPr="004E14F7">
        <w:rPr>
          <w:color w:val="0000FF"/>
        </w:rPr>
        <w:instrText xml:space="preserve"> REF app4 \h  \* MERGEFORMAT </w:instrText>
      </w:r>
      <w:r w:rsidR="004E14F7" w:rsidRPr="004E14F7">
        <w:rPr>
          <w:color w:val="0000FF"/>
        </w:rPr>
      </w:r>
      <w:r w:rsidR="004E14F7" w:rsidRPr="004E14F7">
        <w:rPr>
          <w:color w:val="0000FF"/>
        </w:rPr>
        <w:fldChar w:fldCharType="separate"/>
      </w:r>
      <w:r w:rsidR="004E14F7" w:rsidRPr="004E14F7">
        <w:rPr>
          <w:color w:val="0000FF"/>
        </w:rPr>
        <w:t>Appendix </w:t>
      </w:r>
      <w:r w:rsidR="004E14F7" w:rsidRPr="004E14F7">
        <w:rPr>
          <w:noProof/>
          <w:color w:val="0000FF"/>
        </w:rPr>
        <w:t>4</w:t>
      </w:r>
      <w:r w:rsidR="004E14F7" w:rsidRPr="004E14F7">
        <w:rPr>
          <w:color w:val="0000FF"/>
        </w:rPr>
        <w:fldChar w:fldCharType="end"/>
      </w:r>
      <w:r>
        <w:t>) of the IMWG in 2016.</w:t>
      </w:r>
    </w:p>
    <w:p w14:paraId="38BE99CB" w14:textId="724BC0AA" w:rsidR="00C76458" w:rsidRPr="00C76458" w:rsidRDefault="00C76458" w:rsidP="00FF0C1E">
      <w:pPr>
        <w:pStyle w:val="20"/>
        <w:jc w:val="both"/>
      </w:pPr>
      <w:bookmarkStart w:id="180" w:name="_Toc112064898"/>
      <w:r w:rsidRPr="00C76458">
        <w:t>Effective Assessment Indicators</w:t>
      </w:r>
      <w:bookmarkEnd w:id="180"/>
    </w:p>
    <w:p w14:paraId="031EC310" w14:textId="63607912" w:rsidR="00C76458" w:rsidRPr="006B7D3D" w:rsidRDefault="00C76458" w:rsidP="00FF0C1E">
      <w:pPr>
        <w:pStyle w:val="Bullet1"/>
        <w:jc w:val="both"/>
      </w:pPr>
      <w:r w:rsidRPr="006B7D3D">
        <w:t xml:space="preserve">PFS: the time from the CT103A infusion to disease progression or death from any </w:t>
      </w:r>
      <w:r w:rsidR="00C27F39" w:rsidRPr="006B7D3D">
        <w:t>cause.</w:t>
      </w:r>
    </w:p>
    <w:p w14:paraId="4E2DE6C6" w14:textId="6C3C8167" w:rsidR="00C76458" w:rsidRPr="006B7D3D" w:rsidRDefault="00C76458" w:rsidP="00FF0C1E">
      <w:pPr>
        <w:pStyle w:val="Bullet1"/>
        <w:jc w:val="both"/>
      </w:pPr>
      <w:r w:rsidRPr="006B7D3D">
        <w:t xml:space="preserve">Best ORR: best ORR at </w:t>
      </w:r>
      <w:r w:rsidR="00713120">
        <w:t>one</w:t>
      </w:r>
      <w:r w:rsidRPr="006B7D3D">
        <w:t xml:space="preserve"> month, </w:t>
      </w:r>
      <w:r w:rsidR="00713120">
        <w:t>three</w:t>
      </w:r>
      <w:r w:rsidRPr="006B7D3D">
        <w:t xml:space="preserve"> months, and </w:t>
      </w:r>
      <w:r w:rsidR="00713120">
        <w:t>six</w:t>
      </w:r>
      <w:r w:rsidRPr="006B7D3D">
        <w:t xml:space="preserve"> months after cell infusion, including </w:t>
      </w:r>
      <w:proofErr w:type="spellStart"/>
      <w:r w:rsidRPr="006B7D3D">
        <w:t>sCR</w:t>
      </w:r>
      <w:proofErr w:type="spellEnd"/>
      <w:r w:rsidRPr="006B7D3D">
        <w:t>, CR, VGPR, PR</w:t>
      </w:r>
      <w:r w:rsidR="00C27F39">
        <w:t>.</w:t>
      </w:r>
    </w:p>
    <w:p w14:paraId="51FB08FB" w14:textId="11E24AD3" w:rsidR="00C76458" w:rsidRPr="006B7D3D" w:rsidRDefault="00C76458" w:rsidP="00FF0C1E">
      <w:pPr>
        <w:pStyle w:val="Bullet1"/>
        <w:jc w:val="both"/>
      </w:pPr>
      <w:r w:rsidRPr="006B7D3D">
        <w:t>OS: the time from the CT103A infusion to death f</w:t>
      </w:r>
      <w:r w:rsidR="00713120">
        <w:t>or</w:t>
      </w:r>
      <w:r w:rsidRPr="006B7D3D">
        <w:t xml:space="preserve"> any reason</w:t>
      </w:r>
      <w:r w:rsidR="00C27F39">
        <w:t>.</w:t>
      </w:r>
    </w:p>
    <w:p w14:paraId="269467DE" w14:textId="553BEB8F" w:rsidR="00C76458" w:rsidRPr="006B7D3D" w:rsidRDefault="00C76458" w:rsidP="00FF0C1E">
      <w:pPr>
        <w:pStyle w:val="Bullet1"/>
        <w:jc w:val="both"/>
      </w:pPr>
      <w:r w:rsidRPr="006B7D3D">
        <w:t>DOR: the time from the first evaluation of PR or better</w:t>
      </w:r>
      <w:r w:rsidR="00713120">
        <w:t>,</w:t>
      </w:r>
      <w:r w:rsidRPr="006B7D3D">
        <w:t xml:space="preserve"> to the </w:t>
      </w:r>
      <w:r w:rsidR="00713120">
        <w:t>initial assessment</w:t>
      </w:r>
      <w:r w:rsidRPr="006B7D3D">
        <w:t xml:space="preserve"> of disease progression or death from any cause</w:t>
      </w:r>
      <w:r w:rsidR="00C27F39">
        <w:t>.</w:t>
      </w:r>
    </w:p>
    <w:p w14:paraId="26616B98" w14:textId="29DAAE01" w:rsidR="00C76458" w:rsidRDefault="00C76458" w:rsidP="00FF0C1E">
      <w:pPr>
        <w:pStyle w:val="Bullet1"/>
        <w:jc w:val="both"/>
        <w:rPr>
          <w:rFonts w:eastAsia="微软雅黑" w:cs="Times New Roman"/>
          <w:kern w:val="44"/>
          <w:szCs w:val="24"/>
        </w:rPr>
      </w:pPr>
      <w:r w:rsidRPr="006B7D3D">
        <w:t>MRD response assessment: the MRD assessment includes the proportion of</w:t>
      </w:r>
      <w:r>
        <w:rPr>
          <w:rFonts w:cs="Times New Roman"/>
          <w:szCs w:val="24"/>
        </w:rPr>
        <w:t xml:space="preserve"> MRD negative and the duration of MRD negative.</w:t>
      </w:r>
    </w:p>
    <w:p w14:paraId="026965B0" w14:textId="022FBAC9" w:rsidR="00C76458" w:rsidRPr="006B7D3D" w:rsidRDefault="00C76458" w:rsidP="00FF0C1E">
      <w:pPr>
        <w:jc w:val="both"/>
      </w:pPr>
      <w:r>
        <w:t>PFS, best ORR, and DOR are evaluated based on the response assessed by the investigator.</w:t>
      </w:r>
    </w:p>
    <w:p w14:paraId="0FB98FAB" w14:textId="160F3E0E" w:rsidR="00216E10" w:rsidRPr="00C820E8" w:rsidRDefault="00270C9D" w:rsidP="00FF0C1E">
      <w:pPr>
        <w:pStyle w:val="1"/>
        <w:jc w:val="both"/>
      </w:pPr>
      <w:bookmarkStart w:id="181" w:name="_Toc112064899"/>
      <w:r w:rsidRPr="00C820E8">
        <w:lastRenderedPageBreak/>
        <w:t>PHARMACOKINETICS</w:t>
      </w:r>
      <w:bookmarkEnd w:id="179"/>
      <w:bookmarkEnd w:id="181"/>
    </w:p>
    <w:p w14:paraId="35482CD5" w14:textId="7A6E910F" w:rsidR="00C76458" w:rsidRDefault="00C76458" w:rsidP="00FF0C1E">
      <w:pPr>
        <w:pStyle w:val="20"/>
        <w:jc w:val="both"/>
      </w:pPr>
      <w:bookmarkStart w:id="182" w:name="_Toc511728739"/>
      <w:bookmarkStart w:id="183" w:name="_Toc512249635"/>
      <w:bookmarkStart w:id="184" w:name="_Toc112064900"/>
      <w:bookmarkStart w:id="185" w:name="_Toc522000989"/>
      <w:bookmarkStart w:id="186" w:name="_Toc233187176"/>
      <w:bookmarkStart w:id="187" w:name="_Toc233431201"/>
      <w:bookmarkStart w:id="188" w:name="_Ref503272882"/>
      <w:bookmarkStart w:id="189" w:name="_Ref503342367"/>
      <w:bookmarkStart w:id="190" w:name="_Ref521868300"/>
      <w:bookmarkEnd w:id="182"/>
      <w:bookmarkEnd w:id="183"/>
      <w:r>
        <w:t>Pharmacokinetics Evaluation Indicators</w:t>
      </w:r>
      <w:bookmarkEnd w:id="184"/>
    </w:p>
    <w:p w14:paraId="2CECC14B" w14:textId="77777777" w:rsidR="00C76458" w:rsidRPr="00E02D96" w:rsidRDefault="00C76458" w:rsidP="00FF0C1E">
      <w:pPr>
        <w:jc w:val="both"/>
      </w:pPr>
      <w:r>
        <w:t>The number of CAR-T cells and VCN amplified by CT103A in peripheral blood after receiving cell infusion. PK parameters are as follows:</w:t>
      </w:r>
    </w:p>
    <w:p w14:paraId="11C032E4" w14:textId="404DD372" w:rsidR="00C76458" w:rsidRPr="00E02D96" w:rsidRDefault="00C76458" w:rsidP="00FF0C1E">
      <w:pPr>
        <w:pStyle w:val="Bullet1"/>
        <w:jc w:val="both"/>
      </w:pPr>
      <w:proofErr w:type="spellStart"/>
      <w:r w:rsidRPr="00E02D96">
        <w:t>C</w:t>
      </w:r>
      <w:r w:rsidRPr="00E02D96">
        <w:rPr>
          <w:vertAlign w:val="subscript"/>
        </w:rPr>
        <w:t>max</w:t>
      </w:r>
      <w:proofErr w:type="spellEnd"/>
      <w:r w:rsidRPr="00E02D96">
        <w:t>: maximum concentration of CT103A amplified in peripheral blood after administration</w:t>
      </w:r>
      <w:r w:rsidR="00C27F39">
        <w:t>.</w:t>
      </w:r>
    </w:p>
    <w:p w14:paraId="156D03BC" w14:textId="04B5A3E5" w:rsidR="00C76458" w:rsidRPr="00E02D96" w:rsidRDefault="00C76458" w:rsidP="00FF0C1E">
      <w:pPr>
        <w:pStyle w:val="Bullet1"/>
        <w:jc w:val="both"/>
      </w:pPr>
      <w:proofErr w:type="spellStart"/>
      <w:r w:rsidRPr="00E02D96">
        <w:t>T</w:t>
      </w:r>
      <w:r w:rsidRPr="00E02D96">
        <w:rPr>
          <w:vertAlign w:val="subscript"/>
        </w:rPr>
        <w:t>max</w:t>
      </w:r>
      <w:proofErr w:type="spellEnd"/>
      <w:r w:rsidRPr="00E02D96">
        <w:t xml:space="preserve">: time to maximum </w:t>
      </w:r>
      <w:r w:rsidR="007A1056">
        <w:t xml:space="preserve">plasma </w:t>
      </w:r>
      <w:r w:rsidRPr="00E02D96">
        <w:t>concentration</w:t>
      </w:r>
      <w:r w:rsidR="00C27F39">
        <w:t>.</w:t>
      </w:r>
    </w:p>
    <w:p w14:paraId="123511E6" w14:textId="1675C1D1" w:rsidR="00C76458" w:rsidRPr="00E02D96" w:rsidRDefault="00C76458" w:rsidP="00FF0C1E">
      <w:pPr>
        <w:pStyle w:val="Bullet1"/>
        <w:jc w:val="both"/>
      </w:pPr>
      <w:r w:rsidRPr="00E02D96">
        <w:t>AUC</w:t>
      </w:r>
      <w:r w:rsidRPr="00E02D96">
        <w:rPr>
          <w:vertAlign w:val="subscript"/>
        </w:rPr>
        <w:t xml:space="preserve">0-28d </w:t>
      </w:r>
      <w:r w:rsidRPr="00E02D96">
        <w:t>and AUC</w:t>
      </w:r>
      <w:r w:rsidRPr="00E02D96">
        <w:rPr>
          <w:vertAlign w:val="subscript"/>
        </w:rPr>
        <w:t>0-90d</w:t>
      </w:r>
      <w:r w:rsidRPr="00E02D96">
        <w:t>: area under the curve of PK test time points at 28 and 90</w:t>
      </w:r>
      <w:r w:rsidR="00587B49">
        <w:t> </w:t>
      </w:r>
      <w:r w:rsidRPr="00E02D96">
        <w:t>days after infusion.</w:t>
      </w:r>
    </w:p>
    <w:p w14:paraId="18FC6CCA" w14:textId="1BA5DC34" w:rsidR="00C76458" w:rsidRPr="00E02D96" w:rsidRDefault="00C76458" w:rsidP="00FF0C1E">
      <w:pPr>
        <w:pStyle w:val="Bullet1"/>
        <w:jc w:val="both"/>
      </w:pPr>
      <w:r w:rsidRPr="00E02D96">
        <w:t xml:space="preserve">The plasma concentration of </w:t>
      </w:r>
      <w:r w:rsidR="00F31A05">
        <w:t>Selinexor</w:t>
      </w:r>
      <w:r w:rsidRPr="00E02D96">
        <w:t xml:space="preserve"> in peripheral blood.</w:t>
      </w:r>
    </w:p>
    <w:p w14:paraId="691C26DE" w14:textId="56BBC595" w:rsidR="00C76458" w:rsidRPr="00C76458" w:rsidRDefault="00C76458" w:rsidP="00FF0C1E">
      <w:pPr>
        <w:pStyle w:val="20"/>
        <w:jc w:val="both"/>
      </w:pPr>
      <w:bookmarkStart w:id="191" w:name="_Toc112064901"/>
      <w:r w:rsidRPr="00C76458">
        <w:t>Pharmacokinetic Blood Sample Test</w:t>
      </w:r>
      <w:bookmarkEnd w:id="191"/>
    </w:p>
    <w:p w14:paraId="780BFBEB" w14:textId="10B47EEF" w:rsidR="00C76458" w:rsidRPr="00BC5BC6" w:rsidRDefault="00C76458" w:rsidP="00FF0C1E">
      <w:pPr>
        <w:jc w:val="both"/>
      </w:pPr>
      <w:r>
        <w:t>After all specimens are collected and sent to the laboratory, the laboratory will perform PK testing using the validated methods.</w:t>
      </w:r>
    </w:p>
    <w:p w14:paraId="1039B5ED" w14:textId="2058CE60" w:rsidR="00C76458" w:rsidRDefault="00C76458" w:rsidP="00FF0C1E">
      <w:pPr>
        <w:pStyle w:val="1"/>
        <w:jc w:val="both"/>
      </w:pPr>
      <w:bookmarkStart w:id="192" w:name="_Toc112064902"/>
      <w:r>
        <w:lastRenderedPageBreak/>
        <w:t>PHARMACODYNAMICS</w:t>
      </w:r>
      <w:bookmarkEnd w:id="192"/>
    </w:p>
    <w:p w14:paraId="244C649B" w14:textId="53FBA2AF" w:rsidR="00C76458" w:rsidRDefault="00C76458" w:rsidP="00FF0C1E">
      <w:pPr>
        <w:pStyle w:val="20"/>
        <w:jc w:val="both"/>
      </w:pPr>
      <w:bookmarkStart w:id="193" w:name="_Toc112064903"/>
      <w:r>
        <w:t>Pharmacodynamic Evaluation Indicators</w:t>
      </w:r>
      <w:bookmarkEnd w:id="193"/>
    </w:p>
    <w:p w14:paraId="21BC599D" w14:textId="0A79E7A5" w:rsidR="00C76458" w:rsidRPr="00BC5BC6" w:rsidRDefault="00C76458" w:rsidP="00FF0C1E">
      <w:pPr>
        <w:jc w:val="both"/>
      </w:pPr>
      <w:r>
        <w:t>The concentration of CAR-T-related inflammatory factors (</w:t>
      </w:r>
      <w:r w:rsidR="00587B49">
        <w:t>e</w:t>
      </w:r>
      <w:r w:rsidR="00713120">
        <w:t>.g.</w:t>
      </w:r>
      <w:r w:rsidR="00587B49">
        <w:t>,</w:t>
      </w:r>
      <w:r>
        <w:t xml:space="preserve"> IL-6, ferritin) at each time point.</w:t>
      </w:r>
    </w:p>
    <w:p w14:paraId="51C6A491" w14:textId="53D0F46B" w:rsidR="00C76458" w:rsidRDefault="00C76458" w:rsidP="00FF0C1E">
      <w:pPr>
        <w:pStyle w:val="20"/>
        <w:jc w:val="both"/>
      </w:pPr>
      <w:bookmarkStart w:id="194" w:name="_Toc112064904"/>
      <w:r>
        <w:t>Pharmacodynamic blood sample Test</w:t>
      </w:r>
      <w:bookmarkEnd w:id="194"/>
    </w:p>
    <w:p w14:paraId="4CA421EC" w14:textId="5C68D12B" w:rsidR="00C76458" w:rsidRPr="00BC5BC6" w:rsidRDefault="00C76458" w:rsidP="00FF0C1E">
      <w:pPr>
        <w:jc w:val="both"/>
      </w:pPr>
      <w:r>
        <w:t>After all specimens are collected and sent to the laboratory, the laboratory will perform PD testing using the validated methods.</w:t>
      </w:r>
    </w:p>
    <w:p w14:paraId="09F2023C" w14:textId="77777777" w:rsidR="00C76458" w:rsidRPr="00C76458" w:rsidRDefault="00C76458" w:rsidP="00FF0C1E">
      <w:pPr>
        <w:pStyle w:val="BodyText-12pt"/>
        <w:jc w:val="both"/>
        <w:rPr>
          <w:lang w:bidi="en-US"/>
        </w:rPr>
      </w:pPr>
    </w:p>
    <w:p w14:paraId="063DA35B" w14:textId="5645CDCE" w:rsidR="00C76458" w:rsidRDefault="00C76458" w:rsidP="00FF0C1E">
      <w:pPr>
        <w:pStyle w:val="1"/>
        <w:jc w:val="both"/>
      </w:pPr>
      <w:bookmarkStart w:id="195" w:name="_Toc112064905"/>
      <w:r w:rsidRPr="00C76458">
        <w:lastRenderedPageBreak/>
        <w:t>Q</w:t>
      </w:r>
      <w:r w:rsidR="003B3885">
        <w:t>UALITY</w:t>
      </w:r>
      <w:r w:rsidRPr="00C76458">
        <w:t xml:space="preserve"> </w:t>
      </w:r>
      <w:r w:rsidR="003B3885">
        <w:t>OF</w:t>
      </w:r>
      <w:r w:rsidRPr="00C76458">
        <w:t xml:space="preserve"> L</w:t>
      </w:r>
      <w:r w:rsidR="003B3885">
        <w:t>IFE</w:t>
      </w:r>
      <w:r w:rsidRPr="00C76458">
        <w:t xml:space="preserve"> A</w:t>
      </w:r>
      <w:r w:rsidR="003B3885">
        <w:t>SSESSMENT</w:t>
      </w:r>
      <w:bookmarkEnd w:id="195"/>
      <w:r w:rsidRPr="00C76458">
        <w:t xml:space="preserve"> </w:t>
      </w:r>
    </w:p>
    <w:p w14:paraId="533CFF14" w14:textId="40387AD0" w:rsidR="00C76458" w:rsidRPr="00BC5BC6" w:rsidRDefault="00C76458" w:rsidP="00FF0C1E">
      <w:pPr>
        <w:jc w:val="both"/>
      </w:pPr>
      <w:r>
        <w:t xml:space="preserve">The quality of life of patients will be assessed using European </w:t>
      </w:r>
      <w:proofErr w:type="spellStart"/>
      <w:r>
        <w:t>Organisation</w:t>
      </w:r>
      <w:proofErr w:type="spellEnd"/>
      <w:r>
        <w:t xml:space="preserve"> for Research and Treatment of Cancer Quality of Life Questionnaire</w:t>
      </w:r>
      <w:r w:rsidR="00BB06FD">
        <w:t>-C30</w:t>
      </w:r>
      <w:r>
        <w:t xml:space="preserve"> (EORTC-QLQ-C30) and the </w:t>
      </w:r>
      <w:r w:rsidR="00BB06FD" w:rsidRPr="00BB06FD">
        <w:t>European Organization for Research and Treatment of Cancer Quality of Life Questionnaire Multiple Myeloma Module</w:t>
      </w:r>
      <w:r>
        <w:t xml:space="preserve"> (EORTC-QLQ-MY20).</w:t>
      </w:r>
    </w:p>
    <w:p w14:paraId="35D4AE67" w14:textId="77777777" w:rsidR="00C76458" w:rsidRPr="00C76458" w:rsidRDefault="00C76458" w:rsidP="00FF0C1E">
      <w:pPr>
        <w:pStyle w:val="BodyText-12pt"/>
        <w:jc w:val="both"/>
        <w:rPr>
          <w:lang w:bidi="en-US"/>
        </w:rPr>
      </w:pPr>
    </w:p>
    <w:p w14:paraId="7EB9E99E" w14:textId="76294886" w:rsidR="00C76458" w:rsidRDefault="00C76458" w:rsidP="00FF0C1E">
      <w:pPr>
        <w:pStyle w:val="1"/>
        <w:jc w:val="both"/>
      </w:pPr>
      <w:bookmarkStart w:id="196" w:name="_Toc112064906"/>
      <w:r w:rsidRPr="00C76458">
        <w:lastRenderedPageBreak/>
        <w:t>I</w:t>
      </w:r>
      <w:r w:rsidR="003B3885">
        <w:t>MMUNE</w:t>
      </w:r>
      <w:r w:rsidRPr="00C76458">
        <w:t xml:space="preserve"> S</w:t>
      </w:r>
      <w:r w:rsidR="003B3885">
        <w:t>TATUS</w:t>
      </w:r>
      <w:r w:rsidRPr="00C76458">
        <w:t xml:space="preserve"> </w:t>
      </w:r>
      <w:r w:rsidR="003B3885">
        <w:t>OF</w:t>
      </w:r>
      <w:r w:rsidRPr="00C76458">
        <w:t xml:space="preserve"> </w:t>
      </w:r>
      <w:r w:rsidR="003B3885">
        <w:t>THE</w:t>
      </w:r>
      <w:r w:rsidRPr="00C76458">
        <w:t xml:space="preserve"> P</w:t>
      </w:r>
      <w:r w:rsidR="003B3885">
        <w:t>ATIENTS</w:t>
      </w:r>
      <w:bookmarkEnd w:id="196"/>
    </w:p>
    <w:p w14:paraId="05075782" w14:textId="18F3C93C" w:rsidR="00C76458" w:rsidRPr="00BC5BC6" w:rsidRDefault="00C76458" w:rsidP="00FF0C1E">
      <w:pPr>
        <w:jc w:val="both"/>
      </w:pPr>
      <w:r>
        <w:t xml:space="preserve">The changes </w:t>
      </w:r>
      <w:r w:rsidR="00713120">
        <w:t>in</w:t>
      </w:r>
      <w:r>
        <w:t xml:space="preserve"> lymphocyte subsets, immunoglobulin, and infectious status after receiving the treatment will be collected.</w:t>
      </w:r>
    </w:p>
    <w:p w14:paraId="2BE4D68B" w14:textId="77777777" w:rsidR="00C76458" w:rsidRPr="00C76458" w:rsidRDefault="00C76458" w:rsidP="00FF0C1E">
      <w:pPr>
        <w:pStyle w:val="BodyText-12pt"/>
        <w:jc w:val="both"/>
        <w:rPr>
          <w:lang w:bidi="en-US"/>
        </w:rPr>
      </w:pPr>
    </w:p>
    <w:p w14:paraId="1F428BCC" w14:textId="62D7753F" w:rsidR="009B3E9F" w:rsidRPr="00C820E8" w:rsidRDefault="00270C9D" w:rsidP="00FF0C1E">
      <w:pPr>
        <w:pStyle w:val="1"/>
        <w:jc w:val="both"/>
      </w:pPr>
      <w:bookmarkStart w:id="197" w:name="_Toc112064907"/>
      <w:r w:rsidRPr="00C820E8">
        <w:lastRenderedPageBreak/>
        <w:t>S</w:t>
      </w:r>
      <w:bookmarkEnd w:id="185"/>
      <w:bookmarkEnd w:id="186"/>
      <w:bookmarkEnd w:id="187"/>
      <w:r w:rsidRPr="00C820E8">
        <w:t>TATISTICAL ANALYSIS</w:t>
      </w:r>
      <w:bookmarkEnd w:id="188"/>
      <w:bookmarkEnd w:id="189"/>
      <w:bookmarkEnd w:id="190"/>
      <w:bookmarkEnd w:id="197"/>
    </w:p>
    <w:p w14:paraId="49663095" w14:textId="01CD3C56" w:rsidR="00037D18" w:rsidRDefault="00037D18" w:rsidP="00FF0C1E">
      <w:pPr>
        <w:jc w:val="both"/>
      </w:pPr>
      <w:r>
        <w:t xml:space="preserve">Detailed statistical analysis methods will be described in the </w:t>
      </w:r>
      <w:r w:rsidR="009E2C4D">
        <w:t>s</w:t>
      </w:r>
      <w:r>
        <w:t xml:space="preserve">tatistical </w:t>
      </w:r>
      <w:r w:rsidR="009E2C4D">
        <w:t>a</w:t>
      </w:r>
      <w:r>
        <w:t xml:space="preserve">nalysis </w:t>
      </w:r>
      <w:r w:rsidR="009E2C4D">
        <w:t>p</w:t>
      </w:r>
      <w:r>
        <w:t xml:space="preserve">lan (SAP). If there is any inconsistency between the SAP and the protocol, except that the primary study endpoint and changes in the primary analysis method must be reflected in the protocol simultaneously, the rest will only be listed, described, and clarified in the SAP. </w:t>
      </w:r>
    </w:p>
    <w:p w14:paraId="706297D2" w14:textId="5DBAA35F" w:rsidR="00037D18" w:rsidRDefault="00037D18" w:rsidP="00FF0C1E">
      <w:pPr>
        <w:pStyle w:val="20"/>
        <w:jc w:val="both"/>
        <w:rPr>
          <w:lang w:val="en"/>
        </w:rPr>
      </w:pPr>
      <w:bookmarkStart w:id="198" w:name="_Toc112064908"/>
      <w:r>
        <w:rPr>
          <w:lang w:val="en"/>
        </w:rPr>
        <w:t>General Methods</w:t>
      </w:r>
      <w:bookmarkEnd w:id="198"/>
    </w:p>
    <w:p w14:paraId="11674F60" w14:textId="3582334B" w:rsidR="00037D18" w:rsidRDefault="00037D18" w:rsidP="00FF0C1E">
      <w:pPr>
        <w:jc w:val="both"/>
      </w:pPr>
      <w:r>
        <w:t xml:space="preserve">PK parameters will be calculated based on </w:t>
      </w:r>
      <w:proofErr w:type="spellStart"/>
      <w:r>
        <w:t>WinNonlin</w:t>
      </w:r>
      <w:proofErr w:type="spellEnd"/>
      <w:r>
        <w:t xml:space="preserve"> version 6.1 or above</w:t>
      </w:r>
      <w:r w:rsidR="00713120">
        <w:t>. A</w:t>
      </w:r>
      <w:r>
        <w:t>ll remaining statistical analyses will be performed based on SAS</w:t>
      </w:r>
      <w:r w:rsidRPr="00BC5BC6">
        <w:rPr>
          <w:vertAlign w:val="superscript"/>
        </w:rPr>
        <w:t>®</w:t>
      </w:r>
      <w:r>
        <w:t xml:space="preserve"> version 9.2 or above. </w:t>
      </w:r>
    </w:p>
    <w:p w14:paraId="587A60D1" w14:textId="557CBB11" w:rsidR="00037D18" w:rsidRDefault="00037D18" w:rsidP="00FF0C1E">
      <w:pPr>
        <w:jc w:val="both"/>
      </w:pPr>
      <w:r>
        <w:t xml:space="preserve">Unless otherwise specified, summary tables will be produced for the scheduled time points. Listings will be produced by patient number, time points, and other variables for unscheduled time points. </w:t>
      </w:r>
    </w:p>
    <w:p w14:paraId="69E111E8" w14:textId="4A5C8D39" w:rsidR="00037D18" w:rsidRDefault="00037D18" w:rsidP="00FF0C1E">
      <w:pPr>
        <w:jc w:val="both"/>
      </w:pPr>
      <w:r>
        <w:t>Continuous variables, such as age, will be statistically described using the value of observations, mean, median, quartile, standard deviation, minimum, and maximum; categorical variables will be statistically described by the number of cases and the percentage</w:t>
      </w:r>
      <w:r w:rsidRPr="00E406C2">
        <w:t xml:space="preserve"> </w:t>
      </w:r>
      <w:r>
        <w:t xml:space="preserve">in each category. </w:t>
      </w:r>
      <w:r w:rsidR="00FF0C1E">
        <w:t xml:space="preserve">For the </w:t>
      </w:r>
      <w:r>
        <w:t xml:space="preserve">PK parameters, such as AUC and </w:t>
      </w:r>
      <w:proofErr w:type="spellStart"/>
      <w:r>
        <w:t>C</w:t>
      </w:r>
      <w:r w:rsidRPr="00BC5BC6">
        <w:rPr>
          <w:vertAlign w:val="subscript"/>
        </w:rPr>
        <w:t>max</w:t>
      </w:r>
      <w:proofErr w:type="spellEnd"/>
      <w:r>
        <w:t>, geometric mean and geometric coefficient of variation will be calculated. Time-event data will be estimated by the Kaplan-Meier method for the median time and 95% C</w:t>
      </w:r>
      <w:r w:rsidR="00587B49">
        <w:t>I</w:t>
      </w:r>
      <w:r>
        <w:t>s for the population. The decimal places of the minimum and maximum values are consistent with the record on the eCRF; the number of decimal places for the mean and median values is 1 more than the original data; the number of decimal places for the standard deviation is 2 more than the original data, and the percentage is retained to 2 decimal places. The number of decimal places reserved for all statistics is generally not more than 4. Except for the patient distribution, statistical summary tables and charts will be based on the corresponding analysis set, the relevant data of all patients will be listed.</w:t>
      </w:r>
    </w:p>
    <w:p w14:paraId="7A78E544" w14:textId="5DE411D9" w:rsidR="00037D18" w:rsidRDefault="00037D18" w:rsidP="00FF0C1E">
      <w:pPr>
        <w:pStyle w:val="20"/>
        <w:jc w:val="both"/>
      </w:pPr>
      <w:bookmarkStart w:id="199" w:name="_Toc112064909"/>
      <w:r>
        <w:t xml:space="preserve">Sample </w:t>
      </w:r>
      <w:r w:rsidR="00B87127">
        <w:rPr>
          <w:rFonts w:hint="eastAsia"/>
          <w:lang w:eastAsia="zh-CN"/>
        </w:rPr>
        <w:t>S</w:t>
      </w:r>
      <w:r>
        <w:t>ize</w:t>
      </w:r>
      <w:bookmarkEnd w:id="199"/>
    </w:p>
    <w:p w14:paraId="0B0068CD" w14:textId="1B41F8ED" w:rsidR="00037D18" w:rsidRDefault="00037D18" w:rsidP="00FF0C1E">
      <w:pPr>
        <w:jc w:val="both"/>
      </w:pPr>
      <w:r>
        <w:t>The study plans to enroll 16 to 20 patients.</w:t>
      </w:r>
    </w:p>
    <w:p w14:paraId="76D2A1D7" w14:textId="49A10EC4" w:rsidR="00037D18" w:rsidRDefault="00037D18" w:rsidP="00FF0C1E">
      <w:pPr>
        <w:pStyle w:val="20"/>
        <w:jc w:val="both"/>
        <w:rPr>
          <w:lang w:val="en"/>
        </w:rPr>
      </w:pPr>
      <w:bookmarkStart w:id="200" w:name="_Toc112064910"/>
      <w:r>
        <w:rPr>
          <w:rFonts w:hint="eastAsia"/>
          <w:lang w:val="en"/>
        </w:rPr>
        <w:t>Analysis</w:t>
      </w:r>
      <w:r>
        <w:rPr>
          <w:lang w:val="en"/>
        </w:rPr>
        <w:t xml:space="preserve"> </w:t>
      </w:r>
      <w:r w:rsidR="00553CA1">
        <w:rPr>
          <w:rFonts w:hint="eastAsia"/>
          <w:lang w:val="en"/>
        </w:rPr>
        <w:t>Population</w:t>
      </w:r>
      <w:r w:rsidR="00553CA1">
        <w:rPr>
          <w:lang w:val="en"/>
        </w:rPr>
        <w:t>s</w:t>
      </w:r>
      <w:bookmarkEnd w:id="200"/>
    </w:p>
    <w:p w14:paraId="0997A1AE" w14:textId="77777777" w:rsidR="00037D18" w:rsidRPr="00BC5BC6" w:rsidRDefault="00037D18" w:rsidP="00FF0C1E">
      <w:pPr>
        <w:jc w:val="both"/>
      </w:pPr>
      <w:r w:rsidRPr="00BC5BC6">
        <w:t xml:space="preserve">The main statistical analysis sets are as follows: </w:t>
      </w:r>
    </w:p>
    <w:p w14:paraId="19224B55" w14:textId="4CF7551E" w:rsidR="00037D18" w:rsidRPr="00BC5BC6" w:rsidRDefault="00037D18" w:rsidP="00FF0C1E">
      <w:pPr>
        <w:jc w:val="both"/>
      </w:pPr>
      <w:r w:rsidRPr="00BC5BC6">
        <w:t xml:space="preserve">Screening Analysis Set: Patients who signed the informed consent will be included in the screening analysis set. </w:t>
      </w:r>
    </w:p>
    <w:p w14:paraId="53B0BB6B" w14:textId="5E2D9C00" w:rsidR="00037D18" w:rsidRPr="00BC5BC6" w:rsidRDefault="00037D18" w:rsidP="00FF0C1E">
      <w:pPr>
        <w:jc w:val="both"/>
      </w:pPr>
      <w:r w:rsidRPr="00BC5BC6">
        <w:t>Enrollment Analysis Set (EAS</w:t>
      </w:r>
      <w:r w:rsidR="00C27F39" w:rsidRPr="00BC5BC6">
        <w:t>):</w:t>
      </w:r>
      <w:r w:rsidRPr="00BC5BC6">
        <w:t xml:space="preserve"> Patients in the screening analysis set who meet the inclusion criteria but did not meet the exclusion criteria and who are assigned an enrollment number will be enrolled in EAS. </w:t>
      </w:r>
    </w:p>
    <w:p w14:paraId="3E12D2E9" w14:textId="133FAAFE" w:rsidR="00037D18" w:rsidRPr="00BC5BC6" w:rsidRDefault="00037D18" w:rsidP="00FF0C1E">
      <w:pPr>
        <w:jc w:val="both"/>
      </w:pPr>
      <w:r w:rsidRPr="00BC5BC6">
        <w:t xml:space="preserve">Mononuclear cell collection Analysis set: Patients who undergo mononuclear cell collection in the enrollment analysis set will be included in this analysis set. </w:t>
      </w:r>
    </w:p>
    <w:p w14:paraId="733202B8" w14:textId="5274454E" w:rsidR="00037D18" w:rsidRPr="00BC5BC6" w:rsidRDefault="00037D18" w:rsidP="00FF0C1E">
      <w:pPr>
        <w:jc w:val="both"/>
      </w:pPr>
      <w:r w:rsidRPr="00BC5BC6">
        <w:lastRenderedPageBreak/>
        <w:t>Lymphodepleting conditioning Analysis set: Patients who undergo lymphodepleting</w:t>
      </w:r>
      <w:r w:rsidRPr="00BC5BC6" w:rsidDel="001D519F">
        <w:t xml:space="preserve"> </w:t>
      </w:r>
      <w:r w:rsidRPr="00BC5BC6">
        <w:t xml:space="preserve">conditioning in the enrollment analysis set will be included in the lymphodepleting conditioning analysis set. </w:t>
      </w:r>
    </w:p>
    <w:p w14:paraId="609F3105" w14:textId="1990B8B7" w:rsidR="00037D18" w:rsidRPr="00BC5BC6" w:rsidRDefault="00037D18" w:rsidP="00FF0C1E">
      <w:pPr>
        <w:jc w:val="both"/>
      </w:pPr>
      <w:r w:rsidRPr="00BC5BC6">
        <w:t xml:space="preserve">Full Analysis Set (FAS): All patients who have used CT103A for infusion will be included in this analysis set. FAS is the primary analysis set for efficacy endpoints. </w:t>
      </w:r>
    </w:p>
    <w:p w14:paraId="56288779" w14:textId="1679727C" w:rsidR="00037D18" w:rsidRPr="00BC5BC6" w:rsidRDefault="00037D18" w:rsidP="00FF0C1E">
      <w:pPr>
        <w:jc w:val="both"/>
      </w:pPr>
      <w:r w:rsidRPr="00BC5BC6">
        <w:t xml:space="preserve">Per-protocol Analysis Set (PPS): A subset of FAS, including all patients with no missing primary efficacy measures and no significant protocol deviation which will affect the efficacy. </w:t>
      </w:r>
    </w:p>
    <w:p w14:paraId="6BE2140E" w14:textId="49235BEE" w:rsidR="00037D18" w:rsidRPr="00BC5BC6" w:rsidRDefault="00037D18" w:rsidP="00FF0C1E">
      <w:pPr>
        <w:jc w:val="both"/>
      </w:pPr>
      <w:r w:rsidRPr="00BC5BC6">
        <w:t xml:space="preserve">Safety Set (SS): All the patients who receive cell infusion and have at least </w:t>
      </w:r>
      <w:r w:rsidR="00713120">
        <w:t>one</w:t>
      </w:r>
      <w:r w:rsidRPr="00BC5BC6">
        <w:t xml:space="preserve"> safety evaluation after the infusion are included in the SS. The safety analysis set is used to analyze safety measures. </w:t>
      </w:r>
    </w:p>
    <w:p w14:paraId="5B285AE4" w14:textId="192DFA93" w:rsidR="00037D18" w:rsidRPr="00BC5BC6" w:rsidRDefault="00037D18" w:rsidP="00FF0C1E">
      <w:pPr>
        <w:jc w:val="both"/>
      </w:pPr>
      <w:r w:rsidRPr="00BC5BC6">
        <w:t xml:space="preserve">Pharmacokinetic Analysis Set (PKS): All patients who have used the study treatment and have at least </w:t>
      </w:r>
      <w:r w:rsidR="00713120">
        <w:t>one</w:t>
      </w:r>
      <w:r w:rsidRPr="00BC5BC6">
        <w:t xml:space="preserve"> post-infusion PK evaluation data (concentration/parameter) will be included in the PKS. </w:t>
      </w:r>
    </w:p>
    <w:p w14:paraId="3633B5C5" w14:textId="5A4A2E76" w:rsidR="00037D18" w:rsidRPr="00BC5BC6" w:rsidRDefault="00037D18" w:rsidP="00FF0C1E">
      <w:pPr>
        <w:jc w:val="both"/>
      </w:pPr>
      <w:r w:rsidRPr="00BC5BC6">
        <w:t xml:space="preserve">Pharmacodynamics Analysis Set (PDS): All patients who have used the study treatment and have at least </w:t>
      </w:r>
      <w:r w:rsidR="00713120">
        <w:t>one</w:t>
      </w:r>
      <w:r w:rsidRPr="00BC5BC6">
        <w:t xml:space="preserve"> post-infusion PD evaluation data will be included in the PDS.</w:t>
      </w:r>
    </w:p>
    <w:p w14:paraId="07934174" w14:textId="1C645786" w:rsidR="00037D18" w:rsidRDefault="00037D18" w:rsidP="00FF0C1E">
      <w:pPr>
        <w:pStyle w:val="20"/>
        <w:jc w:val="both"/>
        <w:rPr>
          <w:lang w:val="en"/>
        </w:rPr>
      </w:pPr>
      <w:bookmarkStart w:id="201" w:name="_Toc112064911"/>
      <w:r>
        <w:rPr>
          <w:lang w:val="en"/>
        </w:rPr>
        <w:t xml:space="preserve">Handling of </w:t>
      </w:r>
      <w:r w:rsidR="00B87127">
        <w:rPr>
          <w:rFonts w:hint="eastAsia"/>
          <w:lang w:val="en" w:eastAsia="zh-CN"/>
        </w:rPr>
        <w:t>M</w:t>
      </w:r>
      <w:r>
        <w:rPr>
          <w:lang w:val="en"/>
        </w:rPr>
        <w:t xml:space="preserve">issing </w:t>
      </w:r>
      <w:r w:rsidR="00B87127">
        <w:rPr>
          <w:lang w:val="en"/>
        </w:rPr>
        <w:t>V</w:t>
      </w:r>
      <w:r>
        <w:rPr>
          <w:lang w:val="en"/>
        </w:rPr>
        <w:t>alues</w:t>
      </w:r>
      <w:bookmarkEnd w:id="201"/>
    </w:p>
    <w:p w14:paraId="3742A295" w14:textId="43367BE4" w:rsidR="00037D18" w:rsidRPr="00BC5BC6" w:rsidRDefault="00037D18" w:rsidP="00FF0C1E">
      <w:pPr>
        <w:jc w:val="both"/>
      </w:pPr>
      <w:r w:rsidRPr="00BC5BC6">
        <w:t>Efficacy measures: All the missing values of the primary efficacy measures caused by early withdrawal are regarded as “unevaluable” in the analysis. The censoring rules for time-event variables are detailed in the SAP.</w:t>
      </w:r>
    </w:p>
    <w:p w14:paraId="126404C0" w14:textId="6AE5522F" w:rsidR="00037D18" w:rsidRPr="00BC5BC6" w:rsidRDefault="00037D18" w:rsidP="00FF0C1E">
      <w:pPr>
        <w:jc w:val="both"/>
      </w:pPr>
      <w:r w:rsidRPr="00BC5BC6">
        <w:t xml:space="preserve">Unless otherwise specified, there will be </w:t>
      </w:r>
      <w:r w:rsidR="00713120">
        <w:t xml:space="preserve">an </w:t>
      </w:r>
      <w:r w:rsidRPr="00BC5BC6">
        <w:t>imputation for the missing value for the baseline, safety data, and PK data.</w:t>
      </w:r>
    </w:p>
    <w:p w14:paraId="2216EC54" w14:textId="7A8ED5CC" w:rsidR="00037D18" w:rsidRPr="00BC5BC6" w:rsidRDefault="00037D18" w:rsidP="00FF0C1E">
      <w:pPr>
        <w:jc w:val="both"/>
      </w:pPr>
      <w:r w:rsidRPr="00BC5BC6">
        <w:t>The extreme value of laboratory data caused by improper handling of specimens, blood samples, etc</w:t>
      </w:r>
      <w:r w:rsidR="00713120">
        <w:t>.</w:t>
      </w:r>
      <w:r w:rsidRPr="00BC5BC6">
        <w:t>, will be analyzed using the corresponding data from unscheduled visits during the analysis.</w:t>
      </w:r>
    </w:p>
    <w:p w14:paraId="64751D4B" w14:textId="40D022FD" w:rsidR="00037D18" w:rsidRPr="00112BA6" w:rsidRDefault="00112BA6" w:rsidP="00FF0C1E">
      <w:pPr>
        <w:pStyle w:val="20"/>
        <w:jc w:val="both"/>
        <w:rPr>
          <w:lang w:val="en"/>
        </w:rPr>
      </w:pPr>
      <w:bookmarkStart w:id="202" w:name="_Toc112064912"/>
      <w:r w:rsidRPr="00112BA6">
        <w:rPr>
          <w:lang w:val="en"/>
        </w:rPr>
        <w:t xml:space="preserve">Statistical </w:t>
      </w:r>
      <w:r w:rsidR="00E35CC9">
        <w:rPr>
          <w:lang w:val="en"/>
        </w:rPr>
        <w:t>Methodology</w:t>
      </w:r>
      <w:bookmarkEnd w:id="202"/>
    </w:p>
    <w:p w14:paraId="7BF1AAB9" w14:textId="5C81ECC4" w:rsidR="00037D18" w:rsidRPr="00BC5BC6" w:rsidRDefault="00037D18" w:rsidP="00FF0C1E">
      <w:pPr>
        <w:jc w:val="both"/>
      </w:pPr>
      <w:r>
        <w:t xml:space="preserve">The baseline value of demographic and other baseline characteristic values and safety measures are the conditions when the patients are enrolled in the study. </w:t>
      </w:r>
      <w:r w:rsidRPr="00D45726">
        <w:t xml:space="preserve">The baseline </w:t>
      </w:r>
      <w:r>
        <w:t xml:space="preserve">value of </w:t>
      </w:r>
      <w:r w:rsidRPr="00D45726">
        <w:t>eff</w:t>
      </w:r>
      <w:r>
        <w:t>icacy</w:t>
      </w:r>
      <w:r w:rsidRPr="00D45726">
        <w:t xml:space="preserve"> and re</w:t>
      </w:r>
      <w:r>
        <w:t>levant measures are the value</w:t>
      </w:r>
      <w:r w:rsidRPr="00D45726">
        <w:t xml:space="preserve"> during the baseline period before </w:t>
      </w:r>
      <w:r>
        <w:t xml:space="preserve">the </w:t>
      </w:r>
      <w:r w:rsidR="00C27F39" w:rsidRPr="00BC5BC6">
        <w:t>lymphodepleting</w:t>
      </w:r>
      <w:r w:rsidR="00C27F39" w:rsidRPr="00BC5BC6" w:rsidDel="001D519F">
        <w:t xml:space="preserve"> </w:t>
      </w:r>
      <w:r w:rsidR="00C27F39" w:rsidRPr="00BC5BC6">
        <w:t>conditioning</w:t>
      </w:r>
      <w:r w:rsidRPr="00D45726">
        <w:t>.</w:t>
      </w:r>
    </w:p>
    <w:p w14:paraId="012F6B4E" w14:textId="30F176E7" w:rsidR="00037D18" w:rsidRDefault="00037D18" w:rsidP="00FF0C1E">
      <w:pPr>
        <w:pStyle w:val="30"/>
        <w:jc w:val="both"/>
      </w:pPr>
      <w:bookmarkStart w:id="203" w:name="_Toc112064913"/>
      <w:r>
        <w:t>Patient Distribution</w:t>
      </w:r>
      <w:bookmarkEnd w:id="203"/>
    </w:p>
    <w:p w14:paraId="133438A0" w14:textId="54ACF5B5" w:rsidR="00037D18" w:rsidRDefault="00037D18" w:rsidP="00FF0C1E">
      <w:pPr>
        <w:jc w:val="both"/>
      </w:pPr>
      <w:r>
        <w:t xml:space="preserve">The number of cases (percentage) is used to describe the enrollment and completion of the patients. The distribution of subjects in each dataset and the reasons for </w:t>
      </w:r>
      <w:r w:rsidR="00713120">
        <w:t xml:space="preserve">the </w:t>
      </w:r>
      <w:r>
        <w:t>withdrawal of dropout and patient exclusion will be listed.</w:t>
      </w:r>
    </w:p>
    <w:p w14:paraId="52F85C8F" w14:textId="1E1AE20F" w:rsidR="00037D18" w:rsidRDefault="00037D18" w:rsidP="00FF0C1E">
      <w:pPr>
        <w:pStyle w:val="30"/>
        <w:jc w:val="both"/>
      </w:pPr>
      <w:bookmarkStart w:id="204" w:name="_Toc112064914"/>
      <w:r>
        <w:lastRenderedPageBreak/>
        <w:t xml:space="preserve">Demographic </w:t>
      </w:r>
      <w:r w:rsidR="00B87127">
        <w:t>D</w:t>
      </w:r>
      <w:r>
        <w:t xml:space="preserve">ata and </w:t>
      </w:r>
      <w:r w:rsidR="00B87127">
        <w:t>B</w:t>
      </w:r>
      <w:r>
        <w:t xml:space="preserve">aseline </w:t>
      </w:r>
      <w:r w:rsidR="00B87127">
        <w:t>A</w:t>
      </w:r>
      <w:r>
        <w:t>nalysis</w:t>
      </w:r>
      <w:bookmarkEnd w:id="204"/>
    </w:p>
    <w:p w14:paraId="1D03AA46" w14:textId="0A5B11AD" w:rsidR="00037D18" w:rsidRPr="00BC5BC6" w:rsidRDefault="00037D18" w:rsidP="00FF0C1E">
      <w:pPr>
        <w:jc w:val="both"/>
      </w:pPr>
      <w:r w:rsidRPr="00BC5BC6">
        <w:t>Descriptive statistical demographic data and other baseline characteristic values will be presented. Continuous variables are used to calculate the number of cases, mean, standard deviation, median, minimum, and maximum of non-missing observation results; counting and ranked data are used to calculate frequency and composition ratio.</w:t>
      </w:r>
    </w:p>
    <w:p w14:paraId="30A80E7B" w14:textId="519DF385" w:rsidR="00037D18" w:rsidRDefault="00037D18" w:rsidP="00FF0C1E">
      <w:pPr>
        <w:pStyle w:val="30"/>
        <w:jc w:val="both"/>
      </w:pPr>
      <w:bookmarkStart w:id="205" w:name="_Toc112064915"/>
      <w:r>
        <w:t>Analysis of Safety Measures</w:t>
      </w:r>
      <w:bookmarkEnd w:id="205"/>
      <w:r>
        <w:t xml:space="preserve"> </w:t>
      </w:r>
    </w:p>
    <w:p w14:paraId="3A40505D" w14:textId="18AD5AA7" w:rsidR="00037D18" w:rsidRPr="00BC5BC6" w:rsidRDefault="00037D18" w:rsidP="00FF0C1E">
      <w:pPr>
        <w:jc w:val="both"/>
        <w:rPr>
          <w:b/>
          <w:bCs/>
        </w:rPr>
      </w:pPr>
      <w:r w:rsidRPr="00BC5BC6">
        <w:rPr>
          <w:b/>
          <w:bCs/>
        </w:rPr>
        <w:t xml:space="preserve">AE analysis </w:t>
      </w:r>
    </w:p>
    <w:p w14:paraId="5057C4CB" w14:textId="40D35F05" w:rsidR="00037D18" w:rsidRDefault="00037D18" w:rsidP="00FF0C1E">
      <w:pPr>
        <w:jc w:val="both"/>
      </w:pPr>
      <w:r>
        <w:t xml:space="preserve">According to the time of AE, the AE analysis includes </w:t>
      </w:r>
      <w:r w:rsidR="00713120">
        <w:t>three</w:t>
      </w:r>
      <w:r>
        <w:t xml:space="preserve"> stages: </w:t>
      </w:r>
      <w:r w:rsidRPr="00BC5BC6">
        <w:t>PBMC</w:t>
      </w:r>
      <w:r>
        <w:t xml:space="preserve"> collection to </w:t>
      </w:r>
      <w:r w:rsidR="00C27F39">
        <w:t>l</w:t>
      </w:r>
      <w:r w:rsidR="00C27F39" w:rsidRPr="00552117">
        <w:t>ymphodepleting preconditioning</w:t>
      </w:r>
      <w:r>
        <w:t xml:space="preserve">, </w:t>
      </w:r>
      <w:r w:rsidRPr="00552117">
        <w:t>lymphodepleting conditioning</w:t>
      </w:r>
      <w:r>
        <w:t xml:space="preserve"> to infusion, and after infusion; and the AE </w:t>
      </w:r>
      <w:r w:rsidR="00713120">
        <w:t xml:space="preserve">that </w:t>
      </w:r>
      <w:r>
        <w:t xml:space="preserve">occurred after cell infusion will be mainly </w:t>
      </w:r>
      <w:r w:rsidRPr="00BC5BC6">
        <w:t>analyzed.</w:t>
      </w:r>
      <w:r>
        <w:t xml:space="preserve"> </w:t>
      </w:r>
    </w:p>
    <w:p w14:paraId="522584C0" w14:textId="5A856F25" w:rsidR="00037D18" w:rsidRDefault="00037D18" w:rsidP="00FF0C1E">
      <w:pPr>
        <w:jc w:val="both"/>
      </w:pPr>
      <w:r>
        <w:t>The Systematic Organ Classification (SOC) and Preferred Term (PT) classifications of AEs will be coded using the latest version of the Medical Dictionary of Regulated Activities (MedDRA). The number and percentage of AE, SAE, AESI after cell infusion will be summarized by group, AE, SOC, and PT, with a listing of related AEs. In addition, the severity of AEs after cell infusion (NCI</w:t>
      </w:r>
      <w:r w:rsidR="00587B49">
        <w:t>-</w:t>
      </w:r>
      <w:r>
        <w:t xml:space="preserve">CTCAE </w:t>
      </w:r>
      <w:r w:rsidR="00587B49">
        <w:t xml:space="preserve">version </w:t>
      </w:r>
      <w:r>
        <w:t xml:space="preserve">5.0) will be summarized by group, SOC, and PT. </w:t>
      </w:r>
    </w:p>
    <w:p w14:paraId="04628DE6" w14:textId="15080D7A" w:rsidR="00037D18" w:rsidRDefault="00037D18" w:rsidP="00FF0C1E">
      <w:pPr>
        <w:jc w:val="both"/>
      </w:pPr>
      <w:r>
        <w:t xml:space="preserve">CRS and ICANS will be summarized and analyzed according to the severity level (2019 ASTCT grading criteria). </w:t>
      </w:r>
    </w:p>
    <w:p w14:paraId="53EA635B" w14:textId="15F8B633" w:rsidR="00037D18" w:rsidRPr="00BC5BC6" w:rsidRDefault="00037D18" w:rsidP="00FF0C1E">
      <w:pPr>
        <w:jc w:val="both"/>
        <w:rPr>
          <w:b/>
          <w:bCs/>
        </w:rPr>
      </w:pPr>
      <w:r w:rsidRPr="00BC5BC6">
        <w:rPr>
          <w:b/>
          <w:bCs/>
        </w:rPr>
        <w:t xml:space="preserve">Laboratory analysis </w:t>
      </w:r>
    </w:p>
    <w:p w14:paraId="61F279BE" w14:textId="1601583F" w:rsidR="00037D18" w:rsidRDefault="00037D18" w:rsidP="00FF0C1E">
      <w:pPr>
        <w:jc w:val="both"/>
      </w:pPr>
      <w:r>
        <w:t>Laboratory test data will be graded according to CTCAE version 5.0. If the CTCAE classification c</w:t>
      </w:r>
      <w:r w:rsidR="00713120">
        <w:t>an</w:t>
      </w:r>
      <w:r>
        <w:t xml:space="preserve">not be determined, the results will be classified as Low, Normal, and High according to the normal range of the laboratory. Laboratory test results, such as </w:t>
      </w:r>
      <w:r w:rsidR="00F26339">
        <w:t>CBC</w:t>
      </w:r>
      <w:r>
        <w:t xml:space="preserve">, </w:t>
      </w:r>
      <w:r w:rsidR="00A324D3">
        <w:t>blood biochemical indexes</w:t>
      </w:r>
      <w:r>
        <w:t>, coagulation, urinalysis, inflammation factors, blood oxygen saturation test, and its changes before and after the baseline value</w:t>
      </w:r>
      <w:r w:rsidR="00713120">
        <w:t>,</w:t>
      </w:r>
      <w:r>
        <w:t xml:space="preserve"> will be summarized by different doses of each visit. The abnormal changes </w:t>
      </w:r>
      <w:r w:rsidR="00713120">
        <w:t>in</w:t>
      </w:r>
      <w:r>
        <w:t xml:space="preserve"> </w:t>
      </w:r>
      <w:r w:rsidR="00F26339">
        <w:t>CBC</w:t>
      </w:r>
      <w:r>
        <w:t xml:space="preserve">, </w:t>
      </w:r>
      <w:r w:rsidR="00A324D3">
        <w:t>blood biochemical indexes</w:t>
      </w:r>
      <w:r>
        <w:t xml:space="preserve">, coagulation, urinalysis, and other parameters before and after the baseline will be summarized, and the percentage of the </w:t>
      </w:r>
      <w:r w:rsidR="00713120">
        <w:t>great</w:t>
      </w:r>
      <w:r>
        <w:t xml:space="preserve">est changes in the post-baseline visit will be summarized. </w:t>
      </w:r>
    </w:p>
    <w:p w14:paraId="2E354624" w14:textId="2747BBAF" w:rsidR="00037D18" w:rsidRDefault="00037D18" w:rsidP="00FF0C1E">
      <w:pPr>
        <w:jc w:val="both"/>
      </w:pPr>
      <w:r>
        <w:t xml:space="preserve">All </w:t>
      </w:r>
      <w:r w:rsidR="00713120">
        <w:t>abnormal laboratory</w:t>
      </w:r>
      <w:r>
        <w:t xml:space="preserve"> changes will be listed.</w:t>
      </w:r>
    </w:p>
    <w:p w14:paraId="4CD09DEE" w14:textId="05143CE1" w:rsidR="00037D18" w:rsidRPr="004322E6" w:rsidRDefault="00037D18" w:rsidP="00FF0C1E">
      <w:pPr>
        <w:jc w:val="both"/>
        <w:rPr>
          <w:b/>
          <w:bCs/>
        </w:rPr>
      </w:pPr>
      <w:r w:rsidRPr="004322E6">
        <w:rPr>
          <w:b/>
          <w:bCs/>
        </w:rPr>
        <w:t xml:space="preserve">Analysis of vital signs, physical examination, </w:t>
      </w:r>
      <w:r w:rsidR="0048556E">
        <w:rPr>
          <w:b/>
          <w:bCs/>
        </w:rPr>
        <w:t>ECG</w:t>
      </w:r>
      <w:r w:rsidRPr="004322E6">
        <w:rPr>
          <w:b/>
          <w:bCs/>
        </w:rPr>
        <w:t xml:space="preserve">, ECOG performance score, echocardiogram, </w:t>
      </w:r>
      <w:proofErr w:type="spellStart"/>
      <w:r w:rsidRPr="004322E6">
        <w:rPr>
          <w:b/>
          <w:bCs/>
        </w:rPr>
        <w:t>etc</w:t>
      </w:r>
      <w:proofErr w:type="spellEnd"/>
      <w:r w:rsidRPr="004322E6">
        <w:rPr>
          <w:b/>
          <w:bCs/>
        </w:rPr>
        <w:t xml:space="preserve"> </w:t>
      </w:r>
    </w:p>
    <w:p w14:paraId="7A479EE8" w14:textId="057F1960" w:rsidR="00037D18" w:rsidRDefault="00037D18" w:rsidP="00FF0C1E">
      <w:pPr>
        <w:jc w:val="both"/>
      </w:pPr>
      <w:r>
        <w:t>Descriptive statistics of the data at each visit and the changes from baseline will be summarized by different dose groups, and the abnormal values will be listed. Statistical analysis methods are detailed in the SAP.</w:t>
      </w:r>
    </w:p>
    <w:p w14:paraId="28A81641" w14:textId="77FD27AD" w:rsidR="00037D18" w:rsidRDefault="00037D18" w:rsidP="00FF0C1E">
      <w:pPr>
        <w:pStyle w:val="30"/>
        <w:jc w:val="both"/>
      </w:pPr>
      <w:bookmarkStart w:id="206" w:name="_Toc112064916"/>
      <w:r>
        <w:lastRenderedPageBreak/>
        <w:t>Efficacy Analysis</w:t>
      </w:r>
      <w:bookmarkEnd w:id="206"/>
    </w:p>
    <w:p w14:paraId="397EA5A0" w14:textId="61E421AB" w:rsidR="00037D18" w:rsidRDefault="00037D18" w:rsidP="00FF0C1E">
      <w:pPr>
        <w:jc w:val="both"/>
      </w:pPr>
      <w:r>
        <w:t>PFS, DOR, and OS: The median of PFS, DOR, and OS will be calculated, and the two-sided 95% CIs will be estimated by the Brookmeyer and Crowley method. Kaplan-Meier survival curves will be plotted. Survival rates and 95% CIs at 6, 12, 18, and 24 months will be calculated.</w:t>
      </w:r>
    </w:p>
    <w:p w14:paraId="4AA4C32A" w14:textId="02006CCE" w:rsidR="00037D18" w:rsidRDefault="00037D18" w:rsidP="00FF0C1E">
      <w:pPr>
        <w:jc w:val="both"/>
      </w:pPr>
      <w:r>
        <w:t>Best ORR: Point estimates of the best ORR (</w:t>
      </w:r>
      <w:proofErr w:type="spellStart"/>
      <w:r>
        <w:t>sCR</w:t>
      </w:r>
      <w:proofErr w:type="spellEnd"/>
      <w:r>
        <w:t xml:space="preserve">&gt;CR&gt;VGPR&gt;PR) at 1, 3, and 6 months will be </w:t>
      </w:r>
      <w:r w:rsidR="00C27F39">
        <w:t>calculated,</w:t>
      </w:r>
      <w:r>
        <w:t xml:space="preserve"> and the two-sided 95% CIs will be estimated using the Clopper-Pearson exact method.</w:t>
      </w:r>
    </w:p>
    <w:p w14:paraId="21B3878F" w14:textId="456778C2" w:rsidR="00037D18" w:rsidRDefault="00037D18" w:rsidP="00FF0C1E">
      <w:pPr>
        <w:jc w:val="both"/>
      </w:pPr>
      <w:r>
        <w:t>MRD efficacy assessment: The proportion of patients with MRD negative and the duration of MRD negative will be calculated.</w:t>
      </w:r>
    </w:p>
    <w:p w14:paraId="7F644C7E" w14:textId="2D909028" w:rsidR="00037D18" w:rsidRDefault="00037D18" w:rsidP="00FF0C1E">
      <w:pPr>
        <w:pStyle w:val="30"/>
        <w:jc w:val="both"/>
        <w:rPr>
          <w:lang w:val="en"/>
        </w:rPr>
      </w:pPr>
      <w:bookmarkStart w:id="207" w:name="_Toc112064917"/>
      <w:r>
        <w:rPr>
          <w:lang w:val="en"/>
        </w:rPr>
        <w:t xml:space="preserve">PK/PD </w:t>
      </w:r>
      <w:r w:rsidR="00B87127">
        <w:rPr>
          <w:lang w:val="en"/>
        </w:rPr>
        <w:t>A</w:t>
      </w:r>
      <w:r>
        <w:rPr>
          <w:lang w:val="en"/>
        </w:rPr>
        <w:t>nalysis</w:t>
      </w:r>
      <w:bookmarkEnd w:id="207"/>
    </w:p>
    <w:p w14:paraId="45D76BEB" w14:textId="77777777" w:rsidR="00037D18" w:rsidRPr="00BC5BC6" w:rsidRDefault="00037D18" w:rsidP="00FF0C1E">
      <w:pPr>
        <w:jc w:val="both"/>
      </w:pPr>
      <w:r w:rsidRPr="00BC5BC6">
        <w:t>PK/PD analyses will be performed using the PK and PD analysis sets, respectively.</w:t>
      </w:r>
    </w:p>
    <w:p w14:paraId="534A1841" w14:textId="6AEB5708" w:rsidR="00037D18" w:rsidRPr="00BC5BC6" w:rsidRDefault="00037D18" w:rsidP="00FF0C1E">
      <w:pPr>
        <w:jc w:val="both"/>
      </w:pPr>
      <w:r w:rsidRPr="00BC5BC6">
        <w:t xml:space="preserve">Descriptive statistics will be used to summarize the drug concentration data at each time point, with individual blood drug concentration-time curves and arithmetic mean concentration-time plots presented on the linear and semi-logarithmic scales for the treatment groups. According to the actual blood collection time, </w:t>
      </w:r>
      <w:proofErr w:type="spellStart"/>
      <w:r w:rsidRPr="00BC5BC6">
        <w:t>WinNonlin</w:t>
      </w:r>
      <w:proofErr w:type="spellEnd"/>
      <w:r w:rsidRPr="00BC5BC6">
        <w:t xml:space="preserve"> software will </w:t>
      </w:r>
      <w:r w:rsidR="00713120">
        <w:t>be</w:t>
      </w:r>
      <w:r w:rsidRPr="00BC5BC6">
        <w:t xml:space="preserve"> used to calculate PK parameters through the non-compartment model. </w:t>
      </w:r>
    </w:p>
    <w:p w14:paraId="5C91548C" w14:textId="5C545EB2" w:rsidR="00037D18" w:rsidRPr="00BC5BC6" w:rsidRDefault="00037D18" w:rsidP="00FF0C1E">
      <w:pPr>
        <w:jc w:val="both"/>
      </w:pPr>
      <w:r>
        <w:t xml:space="preserve">Main PK parameters: </w:t>
      </w:r>
      <w:proofErr w:type="spellStart"/>
      <w:r>
        <w:t>C</w:t>
      </w:r>
      <w:r w:rsidRPr="00BC5BC6">
        <w:rPr>
          <w:vertAlign w:val="subscript"/>
        </w:rPr>
        <w:t>max</w:t>
      </w:r>
      <w:proofErr w:type="spellEnd"/>
      <w:r>
        <w:t xml:space="preserve"> of CT103A cells and VCN amplified in peripheral blood after CT103A infusion, </w:t>
      </w:r>
      <w:proofErr w:type="spellStart"/>
      <w:r>
        <w:t>T</w:t>
      </w:r>
      <w:r w:rsidRPr="00BC5BC6">
        <w:rPr>
          <w:vertAlign w:val="subscript"/>
        </w:rPr>
        <w:t>max</w:t>
      </w:r>
      <w:proofErr w:type="spellEnd"/>
      <w:r>
        <w:t>, AUC</w:t>
      </w:r>
      <w:r w:rsidRPr="00BC5BC6">
        <w:rPr>
          <w:vertAlign w:val="subscript"/>
        </w:rPr>
        <w:t>0-28d</w:t>
      </w:r>
      <w:r>
        <w:t>, AUC</w:t>
      </w:r>
      <w:r w:rsidRPr="00BC5BC6">
        <w:rPr>
          <w:vertAlign w:val="subscript"/>
        </w:rPr>
        <w:t>0-90d</w:t>
      </w:r>
      <w:r>
        <w:t xml:space="preserve">, etc. Descriptive statistics of PK parameters (CT103A cell concentration and lentiviral VCN, mainly lentiviral copy number) will be summarized and analyzed. The serum concentration of </w:t>
      </w:r>
      <w:r w:rsidR="00F31A05">
        <w:t>Selinexor</w:t>
      </w:r>
      <w:r w:rsidRPr="008569FE" w:rsidDel="008569FE">
        <w:t xml:space="preserve"> </w:t>
      </w:r>
      <w:r>
        <w:t>in peripheral blood after infusion will be analyzed.</w:t>
      </w:r>
    </w:p>
    <w:p w14:paraId="4E655E05" w14:textId="77777777" w:rsidR="00037D18" w:rsidRPr="00BC5BC6" w:rsidRDefault="00037D18" w:rsidP="00FF0C1E">
      <w:pPr>
        <w:jc w:val="both"/>
      </w:pPr>
      <w:r w:rsidRPr="00BC5BC6">
        <w:t xml:space="preserve">PD analysis: cytokines </w:t>
      </w:r>
    </w:p>
    <w:p w14:paraId="21D4B385" w14:textId="4BD5E67E" w:rsidR="00037D18" w:rsidRDefault="00037D18" w:rsidP="00FF0C1E">
      <w:pPr>
        <w:jc w:val="both"/>
      </w:pPr>
      <w:r w:rsidRPr="00BC5BC6">
        <w:t>Descriptive statistics will be used to analyze CAR-T-related inflammatory factors (IL-6 and ferritin concentration levels) at each time point</w:t>
      </w:r>
      <w:r w:rsidR="00713120">
        <w:t>. T</w:t>
      </w:r>
      <w:r w:rsidRPr="00BC5BC6">
        <w:t xml:space="preserve">he changes from baseline and line charts will be used to show the trends. The exploratory analysis of the correlation between inflammatory factors (IL-6, ferritin) and safety and efficacy will be based on the CRS grade and the results of the IMWG efficacy evaluation. The concentration of inflammatory factors at the corresponding visit will be analyzed. </w:t>
      </w:r>
    </w:p>
    <w:p w14:paraId="77F7B6A7" w14:textId="2A9B062D" w:rsidR="00037D18" w:rsidRPr="00F23CA1" w:rsidRDefault="00037D18" w:rsidP="00FF0C1E">
      <w:pPr>
        <w:pStyle w:val="30"/>
        <w:jc w:val="both"/>
      </w:pPr>
      <w:bookmarkStart w:id="208" w:name="_Toc112064918"/>
      <w:r w:rsidRPr="00F23CA1">
        <w:t>Exploratory Analysis</w:t>
      </w:r>
      <w:bookmarkEnd w:id="208"/>
    </w:p>
    <w:p w14:paraId="4FB515E1" w14:textId="2BC1C3CF" w:rsidR="00BC5BC6" w:rsidRPr="00BC5BC6" w:rsidRDefault="00210210" w:rsidP="00FF0C1E">
      <w:pPr>
        <w:pStyle w:val="BodyText-12pt"/>
        <w:jc w:val="both"/>
        <w:rPr>
          <w:rFonts w:eastAsia="TimesNewRomanPSMT"/>
          <w:lang w:bidi="en-US"/>
        </w:rPr>
      </w:pPr>
      <w:r w:rsidRPr="00210210">
        <w:rPr>
          <w:rFonts w:eastAsia="TimesNewRomanPSMT"/>
          <w:lang w:bidi="en-US"/>
        </w:rPr>
        <w:t xml:space="preserve">The effect of different doses of </w:t>
      </w:r>
      <w:r w:rsidR="00F31A05">
        <w:rPr>
          <w:rFonts w:eastAsia="TimesNewRomanPSMT"/>
          <w:lang w:bidi="en-US"/>
        </w:rPr>
        <w:t>Selinexor</w:t>
      </w:r>
      <w:r w:rsidRPr="00210210">
        <w:rPr>
          <w:rFonts w:eastAsia="TimesNewRomanPSMT"/>
          <w:lang w:bidi="en-US"/>
        </w:rPr>
        <w:t xml:space="preserve"> on the CT103A.</w:t>
      </w:r>
    </w:p>
    <w:p w14:paraId="75270D7D" w14:textId="73F7A477" w:rsidR="00037D18" w:rsidRDefault="00037D18" w:rsidP="00FF0C1E">
      <w:pPr>
        <w:pStyle w:val="20"/>
        <w:jc w:val="both"/>
        <w:rPr>
          <w:lang w:val="en"/>
        </w:rPr>
      </w:pPr>
      <w:bookmarkStart w:id="209" w:name="_Toc112064919"/>
      <w:r>
        <w:rPr>
          <w:lang w:val="en"/>
        </w:rPr>
        <w:t>Summary and Analysis</w:t>
      </w:r>
      <w:bookmarkEnd w:id="209"/>
      <w:r>
        <w:rPr>
          <w:lang w:val="en"/>
        </w:rPr>
        <w:t xml:space="preserve"> </w:t>
      </w:r>
    </w:p>
    <w:p w14:paraId="5D3EC8A3" w14:textId="1E8821B4" w:rsidR="00037D18" w:rsidRPr="00BC5BC6" w:rsidRDefault="00713120" w:rsidP="00FF0C1E">
      <w:pPr>
        <w:jc w:val="both"/>
      </w:pPr>
      <w:r>
        <w:t>The s</w:t>
      </w:r>
      <w:r w:rsidR="00037D18" w:rsidRPr="00BC5BC6">
        <w:t xml:space="preserve">ummarized analysis will be performed </w:t>
      </w:r>
      <w:r>
        <w:t>one</w:t>
      </w:r>
      <w:r w:rsidR="00037D18" w:rsidRPr="00BC5BC6">
        <w:t xml:space="preserve"> year after the completion of cell infusion of the last patient in this study, with descriptive analyses for endpoints</w:t>
      </w:r>
      <w:r>
        <w:t>,</w:t>
      </w:r>
      <w:r w:rsidR="00037D18" w:rsidRPr="00BC5BC6">
        <w:t xml:space="preserve"> including efficacy, safety, and</w:t>
      </w:r>
      <w:r w:rsidR="00037D18" w:rsidRPr="00BC5BC6" w:rsidDel="00AD4277">
        <w:t xml:space="preserve"> </w:t>
      </w:r>
      <w:r w:rsidR="00037D18" w:rsidRPr="00BC5BC6">
        <w:t>PK</w:t>
      </w:r>
      <w:r w:rsidR="00BC5BC6">
        <w:t xml:space="preserve"> parameters.</w:t>
      </w:r>
    </w:p>
    <w:p w14:paraId="250B8971" w14:textId="447A109F" w:rsidR="00374E3F" w:rsidRDefault="00270C9D" w:rsidP="00FF0C1E">
      <w:pPr>
        <w:pStyle w:val="1"/>
        <w:jc w:val="both"/>
      </w:pPr>
      <w:bookmarkStart w:id="210" w:name="_Toc112064920"/>
      <w:r w:rsidRPr="00C820E8">
        <w:lastRenderedPageBreak/>
        <w:t>STUDY MANAGEMENT</w:t>
      </w:r>
      <w:bookmarkEnd w:id="210"/>
    </w:p>
    <w:p w14:paraId="435E2C48" w14:textId="77777777" w:rsidR="00F83A3C" w:rsidRPr="00F83A3C" w:rsidRDefault="00F83A3C" w:rsidP="00FF0C1E">
      <w:pPr>
        <w:pStyle w:val="20"/>
        <w:jc w:val="both"/>
      </w:pPr>
      <w:bookmarkStart w:id="211" w:name="_Toc112064921"/>
      <w:r w:rsidRPr="00F83A3C">
        <w:t>Data Handling and Record Keeping</w:t>
      </w:r>
      <w:bookmarkEnd w:id="211"/>
    </w:p>
    <w:p w14:paraId="32B89EB5" w14:textId="73EE605C" w:rsidR="00F83A3C" w:rsidRDefault="00F83A3C" w:rsidP="00FF0C1E">
      <w:pPr>
        <w:jc w:val="both"/>
      </w:pPr>
      <w:r>
        <w:t xml:space="preserve">The data management for this study will be conducted </w:t>
      </w:r>
      <w:r w:rsidR="00713120">
        <w:t>according to China's applicable laws and regulations</w:t>
      </w:r>
      <w:r>
        <w:t>.</w:t>
      </w:r>
    </w:p>
    <w:p w14:paraId="6FAD637D" w14:textId="154FE43A" w:rsidR="00F83A3C" w:rsidRDefault="00F83A3C" w:rsidP="00FF0C1E">
      <w:pPr>
        <w:pStyle w:val="30"/>
        <w:jc w:val="both"/>
        <w:rPr>
          <w:lang w:val="en"/>
        </w:rPr>
      </w:pPr>
      <w:bookmarkStart w:id="212" w:name="_Toc112064922"/>
      <w:r>
        <w:rPr>
          <w:lang w:val="en"/>
        </w:rPr>
        <w:t>Data Collection</w:t>
      </w:r>
      <w:bookmarkEnd w:id="212"/>
    </w:p>
    <w:p w14:paraId="69CE952A" w14:textId="5CAB8B7F" w:rsidR="00F83A3C" w:rsidRDefault="00F83A3C" w:rsidP="00FF0C1E">
      <w:pPr>
        <w:jc w:val="both"/>
      </w:pPr>
      <w:r>
        <w:t>Study data will be collected using eCRFs (excel format). Study data (except for PK data) will be entered into the eCRF by the investigator or authorized site staff. Before the site initiation or data entry, the investigators and authorized site staff will be appropriately trained, and appropriate information security measures will be implemented.</w:t>
      </w:r>
    </w:p>
    <w:p w14:paraId="353D55AF" w14:textId="4F5A4019" w:rsidR="00F83A3C" w:rsidRDefault="00F83A3C" w:rsidP="00FF0C1E">
      <w:pPr>
        <w:jc w:val="both"/>
      </w:pPr>
      <w:r>
        <w:t>All data entered are in simplified Chinese. The eCRF should be completed as soon as possible during or after the visits</w:t>
      </w:r>
      <w:r w:rsidR="00713120">
        <w:t>,</w:t>
      </w:r>
      <w:r>
        <w:t xml:space="preserve"> and updated at any time to ensure it reflects the latest conditions for the patients participating in the study. To avoid differences in result evaluations between investigators, effort should be made to ensure that the </w:t>
      </w:r>
      <w:r w:rsidR="00713120">
        <w:t>same person completes the baseline evaluation and all subsequent efficacy and safety evaluations</w:t>
      </w:r>
      <w:r>
        <w:t xml:space="preserve"> for the same patient. The investigator must review the data to ensure the accuracy and correctness of all data entered into the eCRF. If certain assessments are not performed during the study, or certain information is </w:t>
      </w:r>
      <w:r w:rsidR="00713120">
        <w:t>un</w:t>
      </w:r>
      <w:r>
        <w:t>available, not applicable, or unknown, the investigator should record it in the eCRF.</w:t>
      </w:r>
    </w:p>
    <w:p w14:paraId="0D0CE3DC" w14:textId="34F494F2" w:rsidR="00F83A3C" w:rsidRDefault="00F83A3C" w:rsidP="00FF0C1E">
      <w:pPr>
        <w:jc w:val="both"/>
      </w:pPr>
      <w:r>
        <w:t xml:space="preserve">Unless otherwise specified, the eCRF will only be used as a form for collecting data and will not be used as source data. Source documents refer to any record used by the investigator or study site that are relevant to the patient and can demonstrate the patient’s presence, enrollment criteria, and participation in this study, including laboratory records, ECG results, patient folders, </w:t>
      </w:r>
      <w:r w:rsidRPr="004322E6">
        <w:t>etc</w:t>
      </w:r>
      <w:r w:rsidRPr="00BC5BC6">
        <w:t>.</w:t>
      </w:r>
    </w:p>
    <w:p w14:paraId="428E14C3" w14:textId="5459D626" w:rsidR="00F83A3C" w:rsidRPr="00BC5BC6" w:rsidRDefault="00F83A3C" w:rsidP="00FF0C1E">
      <w:pPr>
        <w:jc w:val="both"/>
      </w:pPr>
      <w:r>
        <w:t xml:space="preserve">The investigator is responsible for maintaining all source documents and will ensure the documents are </w:t>
      </w:r>
      <w:r w:rsidR="00C27F39">
        <w:t>monitored by</w:t>
      </w:r>
      <w:r>
        <w:t xml:space="preserve"> the </w:t>
      </w:r>
      <w:r w:rsidR="00C3075E">
        <w:t>c</w:t>
      </w:r>
      <w:r>
        <w:t xml:space="preserve">linical </w:t>
      </w:r>
      <w:r w:rsidR="00C3075E">
        <w:t>r</w:t>
      </w:r>
      <w:r>
        <w:t xml:space="preserve">esearch </w:t>
      </w:r>
      <w:r w:rsidR="00C3075E">
        <w:t>a</w:t>
      </w:r>
      <w:r>
        <w:t>ssociate (CRA) at each visit. In addition, the investigator must submit a complete eCRF for each patient participating in the study, regardless of the duration of their participation. All supporting documents (such as laboratory or research center records) submitted with the eCRF should be carefully verified for study numbers and patient numbers, and all personal privacy information (including patient names) should be deleted or rendered illegible to protect the patient’s privacy.</w:t>
      </w:r>
    </w:p>
    <w:p w14:paraId="48DD94DC" w14:textId="30EAF192" w:rsidR="00F83A3C" w:rsidRDefault="00F83A3C" w:rsidP="00FF0C1E">
      <w:pPr>
        <w:pStyle w:val="30"/>
        <w:jc w:val="both"/>
        <w:rPr>
          <w:lang w:val="en"/>
        </w:rPr>
      </w:pPr>
      <w:bookmarkStart w:id="213" w:name="_Toc112064923"/>
      <w:r>
        <w:rPr>
          <w:lang w:val="en"/>
        </w:rPr>
        <w:t>Data Monitoring</w:t>
      </w:r>
      <w:bookmarkEnd w:id="213"/>
      <w:r>
        <w:rPr>
          <w:lang w:val="en"/>
        </w:rPr>
        <w:t xml:space="preserve"> </w:t>
      </w:r>
    </w:p>
    <w:p w14:paraId="77A492B0" w14:textId="2A420E3D" w:rsidR="00F83A3C" w:rsidRDefault="00F83A3C" w:rsidP="00FF0C1E">
      <w:pPr>
        <w:jc w:val="both"/>
      </w:pPr>
      <w:r>
        <w:t xml:space="preserve">The CRA will review the original documents and eCRF and assess the completeness and consistency. Then CRA will compare the eCRF with the original documents and other relevant documents to ensure the integrity and consistency of the critical data. </w:t>
      </w:r>
    </w:p>
    <w:p w14:paraId="2AD5248A" w14:textId="18DD2217" w:rsidR="00F83A3C" w:rsidRDefault="00F83A3C" w:rsidP="00FF0C1E">
      <w:pPr>
        <w:pStyle w:val="30"/>
        <w:jc w:val="both"/>
        <w:rPr>
          <w:lang w:val="en"/>
        </w:rPr>
      </w:pPr>
      <w:r>
        <w:rPr>
          <w:rFonts w:ascii="Times New Roman" w:eastAsia="宋体" w:hAnsi="Times New Roman"/>
          <w:szCs w:val="24"/>
        </w:rPr>
        <w:lastRenderedPageBreak/>
        <w:t xml:space="preserve"> </w:t>
      </w:r>
      <w:bookmarkStart w:id="214" w:name="_Toc112064924"/>
      <w:r>
        <w:rPr>
          <w:lang w:val="en"/>
        </w:rPr>
        <w:t xml:space="preserve">Data </w:t>
      </w:r>
      <w:r w:rsidR="00B87127">
        <w:rPr>
          <w:lang w:val="en"/>
        </w:rPr>
        <w:t>E</w:t>
      </w:r>
      <w:r>
        <w:rPr>
          <w:lang w:val="en"/>
        </w:rPr>
        <w:t xml:space="preserve">ntry and </w:t>
      </w:r>
      <w:r w:rsidR="00B87127">
        <w:rPr>
          <w:lang w:val="en"/>
        </w:rPr>
        <w:t>M</w:t>
      </w:r>
      <w:r>
        <w:rPr>
          <w:lang w:val="en"/>
        </w:rPr>
        <w:t>odification</w:t>
      </w:r>
      <w:bookmarkEnd w:id="214"/>
      <w:r>
        <w:rPr>
          <w:lang w:val="en"/>
        </w:rPr>
        <w:t xml:space="preserve"> </w:t>
      </w:r>
    </w:p>
    <w:p w14:paraId="4DE7880A" w14:textId="15794C32" w:rsidR="00F83A3C" w:rsidRDefault="00F83A3C" w:rsidP="00FF0C1E">
      <w:pPr>
        <w:jc w:val="both"/>
      </w:pPr>
      <w:r>
        <w:t>All data entry, correction, and modification will be the responsibility of the investigator or the authorized personnel,</w:t>
      </w:r>
      <w:r w:rsidR="00713120">
        <w:t xml:space="preserve"> and</w:t>
      </w:r>
      <w:r>
        <w:t xml:space="preserve"> the </w:t>
      </w:r>
      <w:r w:rsidR="008B1929">
        <w:t xml:space="preserve">CRA </w:t>
      </w:r>
      <w:r>
        <w:t xml:space="preserve">does not have this authority. The roles and authority of the center staff responsible for data entry will be determined in advance. If there is any question about the data, the CRA or the data manager will issue the query, and the center staff will answer the query. </w:t>
      </w:r>
    </w:p>
    <w:p w14:paraId="465AD388" w14:textId="1F71C554" w:rsidR="00F83A3C" w:rsidRDefault="00F83A3C" w:rsidP="00FF0C1E">
      <w:pPr>
        <w:pStyle w:val="30"/>
        <w:jc w:val="both"/>
        <w:rPr>
          <w:lang w:val="en"/>
        </w:rPr>
      </w:pPr>
      <w:bookmarkStart w:id="215" w:name="_Toc112064925"/>
      <w:r>
        <w:rPr>
          <w:lang w:val="en"/>
        </w:rPr>
        <w:t>Data</w:t>
      </w:r>
      <w:r w:rsidR="00B312E1">
        <w:rPr>
          <w:lang w:val="en"/>
        </w:rPr>
        <w:t>base</w:t>
      </w:r>
      <w:r>
        <w:rPr>
          <w:lang w:val="en"/>
        </w:rPr>
        <w:t xml:space="preserve"> </w:t>
      </w:r>
      <w:r w:rsidRPr="00B312E1">
        <w:rPr>
          <w:lang w:val="en"/>
        </w:rPr>
        <w:t>Lock</w:t>
      </w:r>
      <w:bookmarkEnd w:id="215"/>
      <w:r>
        <w:rPr>
          <w:lang w:val="en"/>
        </w:rPr>
        <w:t xml:space="preserve"> </w:t>
      </w:r>
    </w:p>
    <w:p w14:paraId="2571D177" w14:textId="2776FD1D" w:rsidR="00F83A3C" w:rsidRDefault="00F83A3C" w:rsidP="00FF0C1E">
      <w:pPr>
        <w:jc w:val="both"/>
      </w:pPr>
      <w:r>
        <w:t xml:space="preserve">The principal investigator, the sponsor, the head of statistical analysis, and the head of data management will hold the data review meeting and jointly determine the data set population. Then the data manager will lock the database. </w:t>
      </w:r>
    </w:p>
    <w:p w14:paraId="1A7D7988" w14:textId="0D6CA2E8" w:rsidR="00F83A3C" w:rsidRDefault="00F83A3C" w:rsidP="00FF0C1E">
      <w:pPr>
        <w:pStyle w:val="30"/>
        <w:jc w:val="both"/>
        <w:rPr>
          <w:lang w:val="en"/>
        </w:rPr>
      </w:pPr>
      <w:bookmarkStart w:id="216" w:name="_Toc112064926"/>
      <w:r>
        <w:rPr>
          <w:lang w:val="en"/>
        </w:rPr>
        <w:t>Data Transfer</w:t>
      </w:r>
      <w:bookmarkEnd w:id="216"/>
      <w:r>
        <w:rPr>
          <w:lang w:val="en"/>
        </w:rPr>
        <w:t xml:space="preserve"> </w:t>
      </w:r>
    </w:p>
    <w:p w14:paraId="5AAC0BD4" w14:textId="696CCC37" w:rsidR="00F83A3C" w:rsidRDefault="00F83A3C" w:rsidP="00FF0C1E">
      <w:pPr>
        <w:jc w:val="both"/>
      </w:pPr>
      <w:r>
        <w:t xml:space="preserve">After the database is locked, it will be submitted to the statistical analyst for analysis according to the requirements of the statistical analysis plan. After completing the statistical analysis, the analyst will develop the report, and the principal investigator is responsible for the clinical study report. </w:t>
      </w:r>
    </w:p>
    <w:p w14:paraId="154EB16A" w14:textId="2A773A27" w:rsidR="00F83A3C" w:rsidRDefault="00F83A3C" w:rsidP="00FF0C1E">
      <w:pPr>
        <w:pStyle w:val="30"/>
        <w:jc w:val="both"/>
        <w:rPr>
          <w:lang w:val="en"/>
        </w:rPr>
      </w:pPr>
      <w:bookmarkStart w:id="217" w:name="_Toc112064927"/>
      <w:r>
        <w:rPr>
          <w:lang w:val="en"/>
        </w:rPr>
        <w:t>Data Preservation</w:t>
      </w:r>
      <w:bookmarkEnd w:id="217"/>
      <w:r>
        <w:rPr>
          <w:lang w:val="en"/>
        </w:rPr>
        <w:t xml:space="preserve"> </w:t>
      </w:r>
    </w:p>
    <w:p w14:paraId="06F8EA7B" w14:textId="4A0DA536" w:rsidR="00F83A3C" w:rsidRDefault="00F83A3C" w:rsidP="00FF0C1E">
      <w:pPr>
        <w:jc w:val="both"/>
      </w:pPr>
      <w:r>
        <w:t xml:space="preserve">During the study and upon the study completion, the study center/sponsor will archive the necessary documents as per the requirements of the </w:t>
      </w:r>
      <w:r w:rsidR="00C3075E" w:rsidRPr="00C3075E">
        <w:t>Good Clinical Practice</w:t>
      </w:r>
      <w:r w:rsidR="00C3075E" w:rsidRPr="00C3075E" w:rsidDel="00531959">
        <w:t xml:space="preserve"> </w:t>
      </w:r>
      <w:r w:rsidR="00C3075E">
        <w:t>(</w:t>
      </w:r>
      <w:r>
        <w:t>GCP</w:t>
      </w:r>
      <w:r w:rsidR="00C3075E">
        <w:t>)</w:t>
      </w:r>
      <w:r>
        <w:t xml:space="preserve"> in China. </w:t>
      </w:r>
    </w:p>
    <w:p w14:paraId="1648224A" w14:textId="77777777" w:rsidR="00F83A3C" w:rsidRDefault="00F83A3C" w:rsidP="00FF0C1E">
      <w:pPr>
        <w:jc w:val="both"/>
      </w:pPr>
      <w:r>
        <w:t xml:space="preserve">In addition, these documents will be kept until: </w:t>
      </w:r>
    </w:p>
    <w:p w14:paraId="68582DCC" w14:textId="62363AB7" w:rsidR="00F83A3C" w:rsidRPr="00EC40F9" w:rsidRDefault="00F83A3C" w:rsidP="00FF0C1E">
      <w:pPr>
        <w:pStyle w:val="Bullet1"/>
        <w:jc w:val="both"/>
      </w:pPr>
      <w:r w:rsidRPr="00EC40F9">
        <w:t xml:space="preserve">At least </w:t>
      </w:r>
      <w:r w:rsidR="00713120">
        <w:t>five</w:t>
      </w:r>
      <w:r w:rsidRPr="00EC40F9">
        <w:t xml:space="preserve"> years after study completion or early termination</w:t>
      </w:r>
      <w:r w:rsidR="00C27F39">
        <w:t>,</w:t>
      </w:r>
      <w:r w:rsidRPr="00EC40F9">
        <w:t xml:space="preserve"> or </w:t>
      </w:r>
    </w:p>
    <w:p w14:paraId="19E1DECD" w14:textId="61753193" w:rsidR="00F83A3C" w:rsidRPr="00EC40F9" w:rsidRDefault="00F83A3C" w:rsidP="00FF0C1E">
      <w:pPr>
        <w:pStyle w:val="Bullet1"/>
        <w:jc w:val="both"/>
      </w:pPr>
      <w:r w:rsidRPr="00EC40F9">
        <w:t xml:space="preserve">At least </w:t>
      </w:r>
      <w:r w:rsidR="00713120">
        <w:t>five</w:t>
      </w:r>
      <w:r w:rsidRPr="00EC40F9">
        <w:t xml:space="preserve"> years after the final approval of the application in China and until no pending or pending marketing applications in China</w:t>
      </w:r>
      <w:r w:rsidR="00C27F39">
        <w:t>,</w:t>
      </w:r>
      <w:r w:rsidRPr="00EC40F9">
        <w:t xml:space="preserve"> or </w:t>
      </w:r>
    </w:p>
    <w:p w14:paraId="092D2356" w14:textId="2E13F0B9" w:rsidR="00F83A3C" w:rsidRPr="00EC40F9" w:rsidRDefault="00F83A3C" w:rsidP="00FF0C1E">
      <w:pPr>
        <w:pStyle w:val="Bullet1"/>
        <w:jc w:val="both"/>
      </w:pPr>
      <w:r w:rsidRPr="00EC40F9">
        <w:t xml:space="preserve">At least </w:t>
      </w:r>
      <w:r w:rsidR="00713120">
        <w:t>five</w:t>
      </w:r>
      <w:r w:rsidRPr="00EC40F9">
        <w:t xml:space="preserve"> years after the formal termination of the clinical development project for the investigational </w:t>
      </w:r>
      <w:r w:rsidR="00C27F39" w:rsidRPr="00EC40F9">
        <w:t>drug.</w:t>
      </w:r>
      <w:r w:rsidRPr="00EC40F9">
        <w:t xml:space="preserve"> </w:t>
      </w:r>
    </w:p>
    <w:p w14:paraId="23B14AF3" w14:textId="16FCF671" w:rsidR="00F83A3C" w:rsidRDefault="00F83A3C" w:rsidP="00FF0C1E">
      <w:pPr>
        <w:jc w:val="both"/>
      </w:pPr>
      <w:r>
        <w:t xml:space="preserve">Whichever is longer. </w:t>
      </w:r>
    </w:p>
    <w:p w14:paraId="6395024C" w14:textId="01870421" w:rsidR="00F83A3C" w:rsidRDefault="00F83A3C" w:rsidP="00FF0C1E">
      <w:pPr>
        <w:jc w:val="both"/>
      </w:pPr>
      <w:r>
        <w:t>The sponsor shall promptly notify the investigator of any documents that are not required to be retained further. These documents should not be destroyed/moved without informing and obtaining consent from the sponsor.</w:t>
      </w:r>
    </w:p>
    <w:p w14:paraId="2F6C032E" w14:textId="69247C9F" w:rsidR="00F83A3C" w:rsidRDefault="00F83A3C" w:rsidP="00FF0C1E">
      <w:pPr>
        <w:pStyle w:val="20"/>
        <w:jc w:val="both"/>
        <w:rPr>
          <w:lang w:val="en"/>
        </w:rPr>
      </w:pPr>
      <w:bookmarkStart w:id="218" w:name="_Toc112064928"/>
      <w:r>
        <w:rPr>
          <w:lang w:val="en"/>
        </w:rPr>
        <w:t xml:space="preserve">Ethical Considerations and </w:t>
      </w:r>
      <w:r w:rsidR="00B87127">
        <w:rPr>
          <w:lang w:val="en"/>
        </w:rPr>
        <w:t>I</w:t>
      </w:r>
      <w:r>
        <w:rPr>
          <w:lang w:val="en"/>
        </w:rPr>
        <w:t xml:space="preserve">nformed </w:t>
      </w:r>
      <w:r w:rsidR="00B87127">
        <w:rPr>
          <w:lang w:val="en"/>
        </w:rPr>
        <w:t>C</w:t>
      </w:r>
      <w:r>
        <w:rPr>
          <w:lang w:val="en"/>
        </w:rPr>
        <w:t>onsent</w:t>
      </w:r>
      <w:bookmarkEnd w:id="218"/>
      <w:r>
        <w:rPr>
          <w:lang w:val="en"/>
        </w:rPr>
        <w:t xml:space="preserve"> </w:t>
      </w:r>
    </w:p>
    <w:p w14:paraId="5DC2D16D" w14:textId="0AE6F560" w:rsidR="00F83A3C" w:rsidRDefault="00F83A3C" w:rsidP="00FF0C1E">
      <w:pPr>
        <w:jc w:val="both"/>
      </w:pPr>
      <w:r>
        <w:t xml:space="preserve">Before initiating the screening procedure, </w:t>
      </w:r>
      <w:r w:rsidR="00553CA1">
        <w:t>patients</w:t>
      </w:r>
      <w:r>
        <w:t xml:space="preserve"> will be informed orally and in writing by the investigator of the nature, purpose, and risks of the screening procedure, as well as the study objectives, methods, limitations, obligations, benefits, risks, rewards, insurance coverage, and possible adverse drug reactions. Written informed consent will be provided</w:t>
      </w:r>
      <w:r w:rsidR="00713120">
        <w:t>,</w:t>
      </w:r>
      <w:r>
        <w:t xml:space="preserve"> and the process of signing the informed consent will be performed f</w:t>
      </w:r>
      <w:r w:rsidR="00713120">
        <w:t>or</w:t>
      </w:r>
      <w:r>
        <w:t xml:space="preserve"> each </w:t>
      </w:r>
      <w:r>
        <w:lastRenderedPageBreak/>
        <w:t xml:space="preserve">patient before enrollment in the study. The notice to the Subject and the informed consent must be signed and dated. The informed consent must be </w:t>
      </w:r>
      <w:r w:rsidR="00713120">
        <w:t>duplicated</w:t>
      </w:r>
      <w:r>
        <w:t xml:space="preserve">, with one copy given to the patient and one original copy retained by the investigator as part of the clinical study record. No study-specific procedures will be performed until obtaining written consent. The time to obtain the informed consent must be recorded in the EDC system. The informed consent form must be maintained in the trial investigator folder. </w:t>
      </w:r>
    </w:p>
    <w:p w14:paraId="15E93B03" w14:textId="5AA32F8E" w:rsidR="00F83A3C" w:rsidRDefault="00F83A3C" w:rsidP="00FF0C1E">
      <w:pPr>
        <w:jc w:val="both"/>
      </w:pPr>
      <w:r>
        <w:t xml:space="preserve">If protocol amendment is required, the patient note and informed consent may be revised to reflect the changes in the protocol. Revisions to the patient notice and informed consent must be submitted to the </w:t>
      </w:r>
      <w:r w:rsidR="00C3075E" w:rsidRPr="00C3075E">
        <w:t xml:space="preserve">independent ethics committee </w:t>
      </w:r>
      <w:r w:rsidR="00C3075E">
        <w:t>(</w:t>
      </w:r>
      <w:r>
        <w:t>IEC</w:t>
      </w:r>
      <w:r w:rsidR="00C3075E">
        <w:t>)</w:t>
      </w:r>
      <w:r>
        <w:t xml:space="preserve"> for approval, after which all patients enrolled in the study and those currently on the study must sign the revised patient note and informed consent approved by the IEC. </w:t>
      </w:r>
    </w:p>
    <w:p w14:paraId="2F899199" w14:textId="59601BD8" w:rsidR="00F83A3C" w:rsidRDefault="00F83A3C" w:rsidP="00FF0C1E">
      <w:pPr>
        <w:jc w:val="both"/>
      </w:pPr>
      <w:r>
        <w:t xml:space="preserve">The </w:t>
      </w:r>
      <w:r w:rsidRPr="00A83A1C">
        <w:t>preservation</w:t>
      </w:r>
      <w:r w:rsidRPr="00A83A1C" w:rsidDel="00A83A1C">
        <w:t xml:space="preserve"> </w:t>
      </w:r>
      <w:r>
        <w:t>of study results should be consistent with the information protection laws of China. Patients</w:t>
      </w:r>
      <w:r w:rsidRPr="00A83A1C">
        <w:t xml:space="preserve"> should be informed that auditors, inspectors, ethics committees, and drug regulatory inspectors can access the </w:t>
      </w:r>
      <w:r>
        <w:t>patients</w:t>
      </w:r>
      <w:r w:rsidRPr="00A83A1C">
        <w:t>' original medical records to verify the process and data of the clinical trials</w:t>
      </w:r>
      <w:r>
        <w:t xml:space="preserve"> </w:t>
      </w:r>
      <w:r w:rsidR="00BF6C67">
        <w:t>without</w:t>
      </w:r>
      <w:r>
        <w:t xml:space="preserve"> violating confidentiality and related laws and regulations</w:t>
      </w:r>
      <w:r w:rsidRPr="00A83A1C">
        <w:t>.</w:t>
      </w:r>
    </w:p>
    <w:p w14:paraId="4BA35434" w14:textId="4BA73B46" w:rsidR="00F83A3C" w:rsidRDefault="00F83A3C" w:rsidP="00FF0C1E">
      <w:pPr>
        <w:jc w:val="both"/>
      </w:pPr>
      <w:r>
        <w:t>The investigator will maintain a patient identification code sheet (patient number and corresponding patient name) to identify the appropriate records.</w:t>
      </w:r>
    </w:p>
    <w:p w14:paraId="53E21C84" w14:textId="52883CAB" w:rsidR="00F83A3C" w:rsidRDefault="00F83A3C" w:rsidP="00FF0C1E">
      <w:pPr>
        <w:pStyle w:val="20"/>
        <w:jc w:val="both"/>
        <w:rPr>
          <w:lang w:val="en"/>
        </w:rPr>
      </w:pPr>
      <w:bookmarkStart w:id="219" w:name="_Toc112064929"/>
      <w:r>
        <w:rPr>
          <w:lang w:val="en"/>
        </w:rPr>
        <w:t>Quality control</w:t>
      </w:r>
      <w:bookmarkEnd w:id="219"/>
      <w:r>
        <w:rPr>
          <w:lang w:val="en"/>
        </w:rPr>
        <w:t xml:space="preserve"> </w:t>
      </w:r>
    </w:p>
    <w:p w14:paraId="246CD4B0" w14:textId="5884F9AA" w:rsidR="00F83A3C" w:rsidRDefault="00F83A3C" w:rsidP="00FF0C1E">
      <w:pPr>
        <w:pStyle w:val="30"/>
        <w:jc w:val="both"/>
        <w:rPr>
          <w:lang w:val="en"/>
        </w:rPr>
      </w:pPr>
      <w:bookmarkStart w:id="220" w:name="_Toc112064930"/>
      <w:r>
        <w:rPr>
          <w:lang w:val="en"/>
        </w:rPr>
        <w:t>Inspection</w:t>
      </w:r>
      <w:bookmarkEnd w:id="220"/>
      <w:r>
        <w:rPr>
          <w:lang w:val="en"/>
        </w:rPr>
        <w:t xml:space="preserve"> </w:t>
      </w:r>
    </w:p>
    <w:p w14:paraId="7E282A84" w14:textId="571F0F50" w:rsidR="00F83A3C" w:rsidRPr="00EC40F9" w:rsidRDefault="00F83A3C" w:rsidP="00FF0C1E">
      <w:pPr>
        <w:jc w:val="both"/>
      </w:pPr>
      <w:r w:rsidRPr="00EC40F9">
        <w:t xml:space="preserve">This study will be monitored according to the GCP of China. Inspections will be conducted in accordance with all relevant legal and regulatory requirements. The capacity, facilities, and technical equipment needed </w:t>
      </w:r>
      <w:r w:rsidR="00BF6C67">
        <w:t>in</w:t>
      </w:r>
      <w:r w:rsidRPr="00EC40F9">
        <w:t xml:space="preserve"> the study will be assessed. The study center will undergo periodic monitoring visits </w:t>
      </w:r>
      <w:r w:rsidR="00713120">
        <w:t>when</w:t>
      </w:r>
      <w:r w:rsidRPr="00EC40F9">
        <w:t xml:space="preserve"> the patient is enrolled.  At the same time, the data entered into the eCRF will be compared with the original data, and the investigator will be informed of any errors or omissions. Compliance </w:t>
      </w:r>
      <w:r w:rsidR="00713120">
        <w:t>with</w:t>
      </w:r>
      <w:r w:rsidRPr="00EC40F9">
        <w:t xml:space="preserve"> the study protocol will also be ensured at the study center, the supply of study drugs will be arranged, and the study drugs </w:t>
      </w:r>
      <w:r w:rsidR="00BF6C67">
        <w:t>must be preserved</w:t>
      </w:r>
      <w:r w:rsidRPr="00EC40F9">
        <w:t xml:space="preserve"> in appropriate conditions. </w:t>
      </w:r>
    </w:p>
    <w:p w14:paraId="65F40E33" w14:textId="31D1412D" w:rsidR="00F83A3C" w:rsidRDefault="00F83A3C" w:rsidP="00FF0C1E">
      <w:pPr>
        <w:pStyle w:val="30"/>
        <w:jc w:val="both"/>
        <w:rPr>
          <w:lang w:val="en"/>
        </w:rPr>
      </w:pPr>
      <w:bookmarkStart w:id="221" w:name="_Toc112064931"/>
      <w:r>
        <w:rPr>
          <w:lang w:val="en"/>
        </w:rPr>
        <w:t>Data Verification</w:t>
      </w:r>
      <w:bookmarkEnd w:id="221"/>
      <w:r>
        <w:rPr>
          <w:lang w:val="en"/>
        </w:rPr>
        <w:t xml:space="preserve"> </w:t>
      </w:r>
    </w:p>
    <w:p w14:paraId="5ED1AB4B" w14:textId="55C91825" w:rsidR="00F83A3C" w:rsidRPr="00EC40F9" w:rsidRDefault="00F83A3C" w:rsidP="00FF0C1E">
      <w:pPr>
        <w:jc w:val="both"/>
      </w:pPr>
      <w:r w:rsidRPr="00EC40F9">
        <w:t xml:space="preserve">This study requires that the </w:t>
      </w:r>
      <w:r w:rsidR="00C97EE2">
        <w:t>inspectors</w:t>
      </w:r>
      <w:r w:rsidR="00C97EE2" w:rsidRPr="00EC40F9">
        <w:t xml:space="preserve"> </w:t>
      </w:r>
      <w:r w:rsidR="00713120">
        <w:t>directly access the original data for verification by comparing data on patients' eCRF with</w:t>
      </w:r>
      <w:r w:rsidRPr="00EC40F9">
        <w:t xml:space="preserve"> their sources. This data verification process is essential to ensure the study's quality </w:t>
      </w:r>
      <w:r w:rsidR="00C97EE2" w:rsidRPr="00EC40F9">
        <w:t>whe</w:t>
      </w:r>
      <w:r w:rsidR="00C97EE2">
        <w:t>n inspectors can point out the</w:t>
      </w:r>
      <w:r w:rsidR="00C97EE2" w:rsidRPr="00EC40F9">
        <w:t xml:space="preserve"> </w:t>
      </w:r>
      <w:r w:rsidRPr="00EC40F9">
        <w:t>errors and omissions</w:t>
      </w:r>
      <w:r w:rsidR="00C97EE2">
        <w:t xml:space="preserve"> during data input</w:t>
      </w:r>
      <w:r w:rsidRPr="00EC40F9">
        <w:t xml:space="preserve">. </w:t>
      </w:r>
    </w:p>
    <w:p w14:paraId="2CA54440" w14:textId="22374454" w:rsidR="00F83A3C" w:rsidRDefault="00F83A3C" w:rsidP="00FF0C1E">
      <w:pPr>
        <w:pStyle w:val="30"/>
        <w:jc w:val="both"/>
        <w:rPr>
          <w:lang w:val="en"/>
        </w:rPr>
      </w:pPr>
      <w:bookmarkStart w:id="222" w:name="_Toc112064932"/>
      <w:r>
        <w:rPr>
          <w:lang w:val="en"/>
        </w:rPr>
        <w:t xml:space="preserve">Audit and </w:t>
      </w:r>
      <w:r w:rsidR="00B87127">
        <w:rPr>
          <w:lang w:val="en"/>
        </w:rPr>
        <w:t>I</w:t>
      </w:r>
      <w:r>
        <w:rPr>
          <w:lang w:val="en"/>
        </w:rPr>
        <w:t>nspection</w:t>
      </w:r>
      <w:bookmarkEnd w:id="222"/>
      <w:r>
        <w:rPr>
          <w:lang w:val="en"/>
        </w:rPr>
        <w:t xml:space="preserve"> </w:t>
      </w:r>
    </w:p>
    <w:p w14:paraId="5B380338" w14:textId="1EB02945" w:rsidR="00F83A3C" w:rsidRPr="00EC40F9" w:rsidRDefault="00F83A3C" w:rsidP="00FF0C1E">
      <w:pPr>
        <w:jc w:val="both"/>
      </w:pPr>
      <w:r w:rsidRPr="00EC40F9">
        <w:t>The sponsor's representative, regulatory authorities, IEC, etc</w:t>
      </w:r>
      <w:r w:rsidR="00713120">
        <w:t>.</w:t>
      </w:r>
      <w:r w:rsidR="00C3075E">
        <w:t>,</w:t>
      </w:r>
      <w:r w:rsidRPr="00EC40F9">
        <w:t xml:space="preserve"> can go to the study center for inspection, including original data verification. </w:t>
      </w:r>
    </w:p>
    <w:p w14:paraId="0EE06F7C" w14:textId="639234A6" w:rsidR="00F83A3C" w:rsidRDefault="00F83A3C" w:rsidP="00FF0C1E">
      <w:pPr>
        <w:pStyle w:val="30"/>
        <w:jc w:val="both"/>
        <w:rPr>
          <w:lang w:val="en"/>
        </w:rPr>
      </w:pPr>
      <w:bookmarkStart w:id="223" w:name="_Toc112064933"/>
      <w:r>
        <w:rPr>
          <w:lang w:val="en"/>
        </w:rPr>
        <w:lastRenderedPageBreak/>
        <w:t xml:space="preserve">Personnel </w:t>
      </w:r>
      <w:r w:rsidR="00B87127">
        <w:rPr>
          <w:lang w:val="en"/>
        </w:rPr>
        <w:t>T</w:t>
      </w:r>
      <w:r>
        <w:rPr>
          <w:lang w:val="en"/>
        </w:rPr>
        <w:t>raining</w:t>
      </w:r>
      <w:bookmarkEnd w:id="223"/>
      <w:r>
        <w:rPr>
          <w:lang w:val="en"/>
        </w:rPr>
        <w:t xml:space="preserve"> </w:t>
      </w:r>
    </w:p>
    <w:p w14:paraId="5321B05A" w14:textId="15D77944" w:rsidR="00F83A3C" w:rsidRPr="00EC40F9" w:rsidRDefault="00F83A3C" w:rsidP="00FF0C1E">
      <w:pPr>
        <w:jc w:val="both"/>
      </w:pPr>
      <w:r w:rsidRPr="00EC40F9">
        <w:t xml:space="preserve">The principal investigator will keep a copy of all study participants' assignments and training records. The investigators will ensure that all personnel </w:t>
      </w:r>
      <w:proofErr w:type="gramStart"/>
      <w:r w:rsidR="00C27F39" w:rsidRPr="00EC40F9">
        <w:t>ha</w:t>
      </w:r>
      <w:r w:rsidR="00713120">
        <w:t>s</w:t>
      </w:r>
      <w:proofErr w:type="gramEnd"/>
      <w:r w:rsidRPr="00EC40F9">
        <w:t xml:space="preserve"> been appropriately trained and authorized with the study and that any information relevant to the conduct of the study has been passed on to the relevant personnel.</w:t>
      </w:r>
    </w:p>
    <w:p w14:paraId="4E775166" w14:textId="20D19D9B" w:rsidR="00F83A3C" w:rsidRDefault="00F83A3C" w:rsidP="00FF0C1E">
      <w:pPr>
        <w:pStyle w:val="20"/>
        <w:jc w:val="both"/>
        <w:rPr>
          <w:lang w:val="en"/>
        </w:rPr>
      </w:pPr>
      <w:bookmarkStart w:id="224" w:name="_Toc112064934"/>
      <w:r>
        <w:rPr>
          <w:lang w:val="en"/>
        </w:rPr>
        <w:t>Protocol Approval and Amendments</w:t>
      </w:r>
      <w:bookmarkEnd w:id="224"/>
      <w:r>
        <w:rPr>
          <w:lang w:val="en"/>
        </w:rPr>
        <w:t xml:space="preserve"> </w:t>
      </w:r>
    </w:p>
    <w:p w14:paraId="527A94B0" w14:textId="4D525C85" w:rsidR="00F83A3C" w:rsidRDefault="00F83A3C" w:rsidP="00FF0C1E">
      <w:pPr>
        <w:jc w:val="both"/>
      </w:pPr>
      <w:r>
        <w:t>Before the initiati</w:t>
      </w:r>
      <w:r w:rsidR="00713120">
        <w:t>on</w:t>
      </w:r>
      <w:r>
        <w:t xml:space="preserve"> of the study, the protocol and other relevant documents are submitted to the IEC/competent authority for approval as per local legal requirements. Sponsors and investigators must ensure that all ethical and legal requirements are met before </w:t>
      </w:r>
      <w:r w:rsidR="00713120">
        <w:t>enrolling the first patient</w:t>
      </w:r>
      <w:r>
        <w:t xml:space="preserve">. </w:t>
      </w:r>
    </w:p>
    <w:p w14:paraId="43A70D96" w14:textId="7E2D1293" w:rsidR="00F83A3C" w:rsidRDefault="00F83A3C" w:rsidP="00FF0C1E">
      <w:pPr>
        <w:jc w:val="both"/>
      </w:pPr>
      <w:r>
        <w:t xml:space="preserve">The study protocol must be strictly followed during the study. Changes to the protocol </w:t>
      </w:r>
      <w:r w:rsidR="00713120">
        <w:t>must</w:t>
      </w:r>
      <w:r>
        <w:t xml:space="preserve"> be made in writing, issued by the responsible person, and approved by the IEC/competent authority (if applicable) before implementation.</w:t>
      </w:r>
    </w:p>
    <w:p w14:paraId="7AC111AC" w14:textId="59A9740D" w:rsidR="00F83A3C" w:rsidRDefault="00F83A3C" w:rsidP="00FF0C1E">
      <w:pPr>
        <w:pStyle w:val="20"/>
        <w:jc w:val="both"/>
        <w:rPr>
          <w:lang w:val="en"/>
        </w:rPr>
      </w:pPr>
      <w:bookmarkStart w:id="225" w:name="_Toc112064935"/>
      <w:r>
        <w:rPr>
          <w:lang w:val="en"/>
        </w:rPr>
        <w:t xml:space="preserve">Duration of </w:t>
      </w:r>
      <w:r w:rsidR="00B87127">
        <w:rPr>
          <w:lang w:val="en"/>
        </w:rPr>
        <w:t>C</w:t>
      </w:r>
      <w:r>
        <w:rPr>
          <w:lang w:val="en"/>
        </w:rPr>
        <w:t xml:space="preserve">linical </w:t>
      </w:r>
      <w:r w:rsidR="00B87127">
        <w:rPr>
          <w:lang w:val="en"/>
        </w:rPr>
        <w:t>S</w:t>
      </w:r>
      <w:r>
        <w:rPr>
          <w:lang w:val="en"/>
        </w:rPr>
        <w:t>tudy</w:t>
      </w:r>
      <w:bookmarkEnd w:id="225"/>
      <w:r>
        <w:rPr>
          <w:lang w:val="en"/>
        </w:rPr>
        <w:t xml:space="preserve"> </w:t>
      </w:r>
    </w:p>
    <w:p w14:paraId="5BD0000C" w14:textId="6FF0B4EA" w:rsidR="00F83A3C" w:rsidRDefault="00F83A3C" w:rsidP="00FF0C1E">
      <w:pPr>
        <w:jc w:val="both"/>
      </w:pPr>
      <w:r>
        <w:t xml:space="preserve">The </w:t>
      </w:r>
      <w:r>
        <w:rPr>
          <w:rFonts w:hint="eastAsia"/>
        </w:rPr>
        <w:t xml:space="preserve">main </w:t>
      </w:r>
      <w:r>
        <w:t>f</w:t>
      </w:r>
      <w:r>
        <w:rPr>
          <w:rFonts w:hint="eastAsia"/>
        </w:rPr>
        <w:t>ollow-up</w:t>
      </w:r>
      <w:r>
        <w:t xml:space="preserve"> period of this study is </w:t>
      </w:r>
      <w:r w:rsidR="00713120">
        <w:t>one</w:t>
      </w:r>
      <w:r>
        <w:t xml:space="preserve"> year after cell infusion.</w:t>
      </w:r>
    </w:p>
    <w:p w14:paraId="559EC345" w14:textId="75CFC7BB" w:rsidR="00F83A3C" w:rsidRDefault="00F83A3C" w:rsidP="00FF0C1E">
      <w:pPr>
        <w:pStyle w:val="20"/>
        <w:jc w:val="both"/>
        <w:rPr>
          <w:lang w:val="en"/>
        </w:rPr>
      </w:pPr>
      <w:bookmarkStart w:id="226" w:name="_Toc112064936"/>
      <w:r>
        <w:rPr>
          <w:lang w:val="en"/>
        </w:rPr>
        <w:t xml:space="preserve">Confidential </w:t>
      </w:r>
      <w:r w:rsidR="00B87127">
        <w:rPr>
          <w:lang w:val="en"/>
        </w:rPr>
        <w:t>D</w:t>
      </w:r>
      <w:r>
        <w:rPr>
          <w:lang w:val="en"/>
        </w:rPr>
        <w:t xml:space="preserve">ata </w:t>
      </w:r>
      <w:r w:rsidR="00B87127">
        <w:rPr>
          <w:lang w:val="en"/>
        </w:rPr>
        <w:t>P</w:t>
      </w:r>
      <w:r>
        <w:rPr>
          <w:lang w:val="en"/>
        </w:rPr>
        <w:t>rotection</w:t>
      </w:r>
      <w:bookmarkEnd w:id="226"/>
      <w:r>
        <w:rPr>
          <w:lang w:val="en"/>
        </w:rPr>
        <w:t xml:space="preserve"> </w:t>
      </w:r>
    </w:p>
    <w:p w14:paraId="46B61205" w14:textId="01689C29" w:rsidR="00F83A3C" w:rsidRDefault="00F83A3C" w:rsidP="00FF0C1E">
      <w:pPr>
        <w:jc w:val="both"/>
      </w:pPr>
      <w:r>
        <w:t xml:space="preserve">The identity of the patients participating in the study must be confidential. The patient shall be represented only by his/her number, initials, or date of birth on the eCRF and other documents, and his/her name shall not appear. </w:t>
      </w:r>
      <w:r w:rsidR="00713120">
        <w:t>The investigator must keep documentation identifying the patient (</w:t>
      </w:r>
      <w:proofErr w:type="spellStart"/>
      <w:r w:rsidR="00713120">
        <w:t>eg</w:t>
      </w:r>
      <w:proofErr w:type="spellEnd"/>
      <w:r w:rsidR="00713120">
        <w:t>, signed patient note and informed consent forms) confidential</w:t>
      </w:r>
      <w:r w:rsidRPr="00662233">
        <w:t>.</w:t>
      </w:r>
    </w:p>
    <w:p w14:paraId="51DE2F7E" w14:textId="433672E8" w:rsidR="00F83A3C" w:rsidRPr="004479E5" w:rsidRDefault="00B312E1" w:rsidP="00FF0C1E">
      <w:pPr>
        <w:pStyle w:val="20"/>
        <w:jc w:val="both"/>
        <w:rPr>
          <w:lang w:val="en"/>
        </w:rPr>
      </w:pPr>
      <w:bookmarkStart w:id="227" w:name="_Toc112064937"/>
      <w:r>
        <w:rPr>
          <w:lang w:val="en"/>
        </w:rPr>
        <w:t>Financing</w:t>
      </w:r>
      <w:r w:rsidRPr="004479E5">
        <w:rPr>
          <w:lang w:val="en"/>
        </w:rPr>
        <w:t xml:space="preserve"> </w:t>
      </w:r>
      <w:r w:rsidR="00F83A3C" w:rsidRPr="004479E5">
        <w:rPr>
          <w:lang w:val="en"/>
        </w:rPr>
        <w:t xml:space="preserve">and </w:t>
      </w:r>
      <w:r w:rsidR="00B87127">
        <w:rPr>
          <w:lang w:val="en"/>
        </w:rPr>
        <w:t>I</w:t>
      </w:r>
      <w:r w:rsidR="00F83A3C" w:rsidRPr="004479E5">
        <w:rPr>
          <w:lang w:val="en"/>
        </w:rPr>
        <w:t>nsurance</w:t>
      </w:r>
      <w:bookmarkEnd w:id="227"/>
      <w:r w:rsidR="00F83A3C" w:rsidRPr="004479E5">
        <w:rPr>
          <w:lang w:val="en"/>
        </w:rPr>
        <w:t xml:space="preserve"> </w:t>
      </w:r>
    </w:p>
    <w:p w14:paraId="0F5EEE82" w14:textId="35F28154" w:rsidR="00F83A3C" w:rsidRPr="00662233" w:rsidRDefault="00F83A3C" w:rsidP="00FF0C1E">
      <w:pPr>
        <w:jc w:val="both"/>
      </w:pPr>
      <w:r w:rsidRPr="00662233">
        <w:t xml:space="preserve">Coverage </w:t>
      </w:r>
      <w:r>
        <w:t>is</w:t>
      </w:r>
      <w:r w:rsidRPr="00662233">
        <w:t xml:space="preserve"> </w:t>
      </w:r>
      <w:r w:rsidR="00CA6DA8">
        <w:t>set</w:t>
      </w:r>
      <w:r w:rsidRPr="00662233">
        <w:t xml:space="preserve"> in accordance with the GCP and local insurance law</w:t>
      </w:r>
      <w:r>
        <w:t>s</w:t>
      </w:r>
      <w:r w:rsidR="00CA6DA8">
        <w:t>. Participant</w:t>
      </w:r>
      <w:r w:rsidR="00713120">
        <w:t>s</w:t>
      </w:r>
      <w:r w:rsidRPr="00662233">
        <w:t xml:space="preserve"> will be paid in the event of death or any impairment to the </w:t>
      </w:r>
      <w:r>
        <w:t>patient</w:t>
      </w:r>
      <w:r w:rsidRPr="00662233">
        <w:t xml:space="preserve">'s health or state of life </w:t>
      </w:r>
      <w:r w:rsidR="00713120">
        <w:t>due to</w:t>
      </w:r>
      <w:r w:rsidRPr="00662233">
        <w:t xml:space="preserve"> study participation.</w:t>
      </w:r>
    </w:p>
    <w:p w14:paraId="47F0ADEB" w14:textId="5454CE68" w:rsidR="00F83A3C" w:rsidRDefault="00F83A3C" w:rsidP="00FF0C1E">
      <w:pPr>
        <w:jc w:val="both"/>
      </w:pPr>
      <w:r w:rsidRPr="00662233">
        <w:t xml:space="preserve">The </w:t>
      </w:r>
      <w:r w:rsidR="00CA6DA8" w:rsidRPr="00662233">
        <w:t xml:space="preserve">insurance </w:t>
      </w:r>
      <w:r w:rsidRPr="00662233">
        <w:t>policy will be saved in the trial</w:t>
      </w:r>
      <w:r>
        <w:t xml:space="preserve"> master file</w:t>
      </w:r>
      <w:r w:rsidRPr="00662233">
        <w:t>.</w:t>
      </w:r>
    </w:p>
    <w:p w14:paraId="00DB1625" w14:textId="708BA9F6" w:rsidR="00374E3F" w:rsidRPr="00C820E8" w:rsidRDefault="23520827" w:rsidP="00FF0C1E">
      <w:pPr>
        <w:pStyle w:val="1"/>
        <w:jc w:val="both"/>
      </w:pPr>
      <w:bookmarkStart w:id="228" w:name="_Ref507509273"/>
      <w:bookmarkStart w:id="229" w:name="_Toc112064938"/>
      <w:r>
        <w:lastRenderedPageBreak/>
        <w:t>REFERENCES</w:t>
      </w:r>
      <w:bookmarkEnd w:id="228"/>
      <w:bookmarkEnd w:id="229"/>
    </w:p>
    <w:p w14:paraId="375BDF62" w14:textId="79E7844E" w:rsidR="00B91B3C" w:rsidRDefault="00B91B3C" w:rsidP="00FF0C1E">
      <w:pPr>
        <w:pStyle w:val="ReferenceList"/>
        <w:ind w:left="360"/>
        <w:jc w:val="both"/>
      </w:pPr>
      <w:r w:rsidRPr="00FF1145">
        <w:t xml:space="preserve">van de </w:t>
      </w:r>
      <w:proofErr w:type="spellStart"/>
      <w:r w:rsidRPr="00FF1145">
        <w:t>Donk</w:t>
      </w:r>
      <w:proofErr w:type="spellEnd"/>
      <w:r w:rsidRPr="00FF1145">
        <w:t xml:space="preserve"> NWCJ, </w:t>
      </w:r>
      <w:proofErr w:type="spellStart"/>
      <w:r w:rsidRPr="00FF1145">
        <w:t>Pawlyn</w:t>
      </w:r>
      <w:proofErr w:type="spellEnd"/>
      <w:r w:rsidRPr="00FF1145">
        <w:t xml:space="preserve"> C, Yong KL. Multiple myeloma. </w:t>
      </w:r>
      <w:r w:rsidRPr="00FE2B16">
        <w:rPr>
          <w:i/>
          <w:iCs/>
        </w:rPr>
        <w:t>Lancet</w:t>
      </w:r>
      <w:r w:rsidRPr="00FF1145">
        <w:t>. 2021;397(10272):410-427. doi:10.1016/S0140-6736(21)00135-5</w:t>
      </w:r>
    </w:p>
    <w:p w14:paraId="5A958B51" w14:textId="02DAE82C" w:rsidR="00B91B3C" w:rsidRDefault="00B91B3C" w:rsidP="00FF0C1E">
      <w:pPr>
        <w:pStyle w:val="ReferenceList"/>
        <w:ind w:left="360"/>
        <w:jc w:val="both"/>
      </w:pPr>
      <w:proofErr w:type="spellStart"/>
      <w:r w:rsidRPr="00FF1145">
        <w:t>Terpos</w:t>
      </w:r>
      <w:proofErr w:type="spellEnd"/>
      <w:r w:rsidRPr="00FF1145">
        <w:t xml:space="preserve"> E, </w:t>
      </w:r>
      <w:proofErr w:type="spellStart"/>
      <w:r w:rsidRPr="00FF1145">
        <w:t>Zamagni</w:t>
      </w:r>
      <w:proofErr w:type="spellEnd"/>
      <w:r w:rsidRPr="00FF1145">
        <w:t xml:space="preserve"> E, </w:t>
      </w:r>
      <w:proofErr w:type="spellStart"/>
      <w:r w:rsidRPr="00FF1145">
        <w:t>Lentzsch</w:t>
      </w:r>
      <w:proofErr w:type="spellEnd"/>
      <w:r w:rsidRPr="00FF1145">
        <w:t xml:space="preserve"> S,</w:t>
      </w:r>
      <w:r>
        <w:t xml:space="preserve"> et al. </w:t>
      </w:r>
      <w:r w:rsidRPr="00FF1145">
        <w:t xml:space="preserve">Treatment of multiple myeloma-related bone disease: recommendations from the Bone Working Group of the International Myeloma Working Group. </w:t>
      </w:r>
      <w:r w:rsidRPr="00FE2B16">
        <w:rPr>
          <w:i/>
          <w:iCs/>
        </w:rPr>
        <w:t>Lancet Oncol.</w:t>
      </w:r>
      <w:r w:rsidRPr="00FF1145">
        <w:t xml:space="preserve"> 2021;22(3</w:t>
      </w:r>
      <w:proofErr w:type="gramStart"/>
      <w:r w:rsidRPr="00FF1145">
        <w:t>):e</w:t>
      </w:r>
      <w:proofErr w:type="gramEnd"/>
      <w:r w:rsidRPr="00FF1145">
        <w:t>119-e130. doi:10.1016/S1470-2045(20)30559-3</w:t>
      </w:r>
    </w:p>
    <w:p w14:paraId="360E7EAA" w14:textId="03B94000" w:rsidR="00B91B3C" w:rsidRDefault="00B91B3C" w:rsidP="00FF0C1E">
      <w:pPr>
        <w:pStyle w:val="ReferenceList"/>
        <w:ind w:left="360"/>
        <w:jc w:val="both"/>
      </w:pPr>
      <w:proofErr w:type="spellStart"/>
      <w:r w:rsidRPr="00FF1145">
        <w:t>Bladé</w:t>
      </w:r>
      <w:proofErr w:type="spellEnd"/>
      <w:r w:rsidRPr="00FF1145">
        <w:t xml:space="preserve"> J, Fernández de Larrea C, </w:t>
      </w:r>
      <w:proofErr w:type="spellStart"/>
      <w:r w:rsidRPr="00FF1145">
        <w:t>Rosiñol</w:t>
      </w:r>
      <w:proofErr w:type="spellEnd"/>
      <w:r w:rsidRPr="00FF1145">
        <w:t xml:space="preserve"> L, </w:t>
      </w:r>
      <w:proofErr w:type="spellStart"/>
      <w:r w:rsidRPr="00FF1145">
        <w:t>Cibeira</w:t>
      </w:r>
      <w:proofErr w:type="spellEnd"/>
      <w:r w:rsidRPr="00FF1145">
        <w:t xml:space="preserve"> MT, Jiménez R, Powles R</w:t>
      </w:r>
      <w:r>
        <w:t xml:space="preserve">. </w:t>
      </w:r>
      <w:r w:rsidRPr="00FF1145">
        <w:t xml:space="preserve">Soft-tissue plasmacytomas in multiple myeloma: incidence, mechanisms of extramedullary spread, and treatment approach. </w:t>
      </w:r>
      <w:r w:rsidRPr="00FE2B16">
        <w:rPr>
          <w:i/>
          <w:iCs/>
        </w:rPr>
        <w:t>J Clin Oncol.</w:t>
      </w:r>
      <w:r w:rsidRPr="00FF1145">
        <w:t xml:space="preserve"> 2011;29(28):3805-</w:t>
      </w:r>
      <w:r w:rsidR="00E57734">
        <w:t>38</w:t>
      </w:r>
      <w:r w:rsidRPr="00FF1145">
        <w:t>12. doi:10.1200/JCO.2011.34.9290</w:t>
      </w:r>
    </w:p>
    <w:p w14:paraId="651E0A3C" w14:textId="74D8EFF4" w:rsidR="00B91B3C" w:rsidRDefault="00B91B3C" w:rsidP="00FF0C1E">
      <w:pPr>
        <w:pStyle w:val="ReferenceList"/>
        <w:ind w:left="360"/>
        <w:jc w:val="both"/>
      </w:pPr>
      <w:proofErr w:type="spellStart"/>
      <w:r w:rsidRPr="00FF1145">
        <w:t>Vande</w:t>
      </w:r>
      <w:proofErr w:type="spellEnd"/>
      <w:r w:rsidRPr="00FF1145">
        <w:t xml:space="preserve"> Broek I, </w:t>
      </w:r>
      <w:proofErr w:type="spellStart"/>
      <w:r w:rsidRPr="00FF1145">
        <w:t>Vanderkerken</w:t>
      </w:r>
      <w:proofErr w:type="spellEnd"/>
      <w:r w:rsidRPr="00FF1145">
        <w:t xml:space="preserve"> K, Van Camp B, Van Riet I. Extravasation and homing mechanisms in multiple myeloma. </w:t>
      </w:r>
      <w:r w:rsidRPr="00FE2B16">
        <w:rPr>
          <w:i/>
          <w:iCs/>
        </w:rPr>
        <w:t>Clin Exp Metastasis.</w:t>
      </w:r>
      <w:r w:rsidRPr="00FF1145">
        <w:t xml:space="preserve"> 2008;25(4):325-</w:t>
      </w:r>
      <w:r w:rsidR="00E57734">
        <w:t>3</w:t>
      </w:r>
      <w:r w:rsidRPr="00FF1145">
        <w:t>34. doi:10.1007/s10585-007-9108-4</w:t>
      </w:r>
    </w:p>
    <w:p w14:paraId="4C7B8EC4" w14:textId="662F39DF" w:rsidR="00B91B3C" w:rsidRDefault="00B91B3C" w:rsidP="00FF0C1E">
      <w:pPr>
        <w:pStyle w:val="ReferenceList"/>
        <w:ind w:left="360"/>
        <w:jc w:val="both"/>
      </w:pPr>
      <w:proofErr w:type="spellStart"/>
      <w:r w:rsidRPr="00061F6A">
        <w:t>Bhutani</w:t>
      </w:r>
      <w:proofErr w:type="spellEnd"/>
      <w:r w:rsidRPr="00061F6A">
        <w:t xml:space="preserve"> M, </w:t>
      </w:r>
      <w:proofErr w:type="spellStart"/>
      <w:r w:rsidRPr="00061F6A">
        <w:t>Foureau</w:t>
      </w:r>
      <w:proofErr w:type="spellEnd"/>
      <w:r w:rsidRPr="00061F6A">
        <w:t xml:space="preserve"> DM, </w:t>
      </w:r>
      <w:proofErr w:type="spellStart"/>
      <w:r w:rsidRPr="00061F6A">
        <w:t>Atrash</w:t>
      </w:r>
      <w:proofErr w:type="spellEnd"/>
      <w:r w:rsidRPr="00061F6A">
        <w:t xml:space="preserve"> S, Voorhees PM, Usmani SZ. Extramedullary multiple myeloma. </w:t>
      </w:r>
      <w:r w:rsidRPr="00FE2B16">
        <w:rPr>
          <w:i/>
          <w:iCs/>
        </w:rPr>
        <w:t>Leukemia</w:t>
      </w:r>
      <w:r w:rsidRPr="00061F6A">
        <w:t>. 2020;34(1):1-20. doi:10.1038/s41375-019-0660-0</w:t>
      </w:r>
    </w:p>
    <w:p w14:paraId="3B20CF6B" w14:textId="12382420" w:rsidR="00B91B3C" w:rsidRDefault="00B91B3C" w:rsidP="00FF0C1E">
      <w:pPr>
        <w:pStyle w:val="ReferenceList"/>
        <w:ind w:left="360"/>
        <w:jc w:val="both"/>
      </w:pPr>
      <w:proofErr w:type="spellStart"/>
      <w:r w:rsidRPr="00061F6A">
        <w:t>Sevcikova</w:t>
      </w:r>
      <w:proofErr w:type="spellEnd"/>
      <w:r w:rsidRPr="00061F6A">
        <w:t xml:space="preserve"> S, </w:t>
      </w:r>
      <w:proofErr w:type="spellStart"/>
      <w:r w:rsidRPr="00061F6A">
        <w:t>Minarik</w:t>
      </w:r>
      <w:proofErr w:type="spellEnd"/>
      <w:r w:rsidRPr="00061F6A">
        <w:t xml:space="preserve"> J, Stork M, Jelinek T, Pour L, Hajek R. Extramedullary disease in multiple myeloma - controversies and future directions. </w:t>
      </w:r>
      <w:r w:rsidRPr="00FE2B16">
        <w:rPr>
          <w:i/>
          <w:iCs/>
        </w:rPr>
        <w:t>Blood Rev</w:t>
      </w:r>
      <w:r w:rsidRPr="00061F6A">
        <w:t xml:space="preserve">. </w:t>
      </w:r>
      <w:proofErr w:type="gramStart"/>
      <w:r w:rsidRPr="00061F6A">
        <w:t>2019;36:32</w:t>
      </w:r>
      <w:proofErr w:type="gramEnd"/>
      <w:r w:rsidRPr="00061F6A">
        <w:t xml:space="preserve">-39. </w:t>
      </w:r>
      <w:proofErr w:type="gramStart"/>
      <w:r w:rsidRPr="00061F6A">
        <w:t>doi:10.1016/j.blre</w:t>
      </w:r>
      <w:proofErr w:type="gramEnd"/>
      <w:r w:rsidRPr="00061F6A">
        <w:t>.2019.04.002</w:t>
      </w:r>
    </w:p>
    <w:p w14:paraId="74C20A05" w14:textId="417A4712" w:rsidR="00B91B3C" w:rsidRDefault="00B91B3C" w:rsidP="00FF0C1E">
      <w:pPr>
        <w:pStyle w:val="ReferenceList"/>
        <w:ind w:left="360"/>
        <w:jc w:val="both"/>
      </w:pPr>
      <w:proofErr w:type="spellStart"/>
      <w:r>
        <w:t>Varga</w:t>
      </w:r>
      <w:proofErr w:type="spellEnd"/>
      <w:r>
        <w:t xml:space="preserve"> C, </w:t>
      </w:r>
      <w:proofErr w:type="spellStart"/>
      <w:r>
        <w:t>Xie</w:t>
      </w:r>
      <w:proofErr w:type="spellEnd"/>
      <w:r>
        <w:t xml:space="preserve"> W, Laubach J, et al. </w:t>
      </w:r>
      <w:r w:rsidRPr="00061F6A">
        <w:t xml:space="preserve">Development of extramedullary myeloma in the era of novel agents: no evidence of increased risk with lenalidomide-bortezomib combinations. </w:t>
      </w:r>
      <w:r w:rsidRPr="00FE2B16">
        <w:rPr>
          <w:i/>
          <w:iCs/>
        </w:rPr>
        <w:t xml:space="preserve">Br J </w:t>
      </w:r>
      <w:proofErr w:type="spellStart"/>
      <w:r w:rsidRPr="00FE2B16">
        <w:rPr>
          <w:i/>
          <w:iCs/>
        </w:rPr>
        <w:t>Haematol</w:t>
      </w:r>
      <w:proofErr w:type="spellEnd"/>
      <w:r w:rsidRPr="00FE2B16">
        <w:rPr>
          <w:i/>
          <w:iCs/>
        </w:rPr>
        <w:t>.</w:t>
      </w:r>
      <w:r w:rsidRPr="00061F6A">
        <w:t xml:space="preserve"> 2015;169(6):843-</w:t>
      </w:r>
      <w:r w:rsidR="00E57734">
        <w:t>8</w:t>
      </w:r>
      <w:r w:rsidRPr="00061F6A">
        <w:t>50. doi:10.1111/bjh.13382</w:t>
      </w:r>
    </w:p>
    <w:p w14:paraId="53074CF7" w14:textId="0B0558E1" w:rsidR="00B91B3C" w:rsidRDefault="00B91B3C" w:rsidP="00FF0C1E">
      <w:pPr>
        <w:pStyle w:val="ReferenceList"/>
        <w:ind w:left="360"/>
        <w:jc w:val="both"/>
      </w:pPr>
      <w:proofErr w:type="spellStart"/>
      <w:r>
        <w:t>Pasmantier</w:t>
      </w:r>
      <w:proofErr w:type="spellEnd"/>
      <w:r>
        <w:t xml:space="preserve"> M W, Azar H A. </w:t>
      </w:r>
      <w:proofErr w:type="spellStart"/>
      <w:r w:rsidRPr="00061F6A">
        <w:t>Pasmantier</w:t>
      </w:r>
      <w:proofErr w:type="spellEnd"/>
      <w:r w:rsidRPr="00061F6A">
        <w:t xml:space="preserve"> MW, Azar HA. </w:t>
      </w:r>
      <w:proofErr w:type="spellStart"/>
      <w:r w:rsidRPr="00061F6A">
        <w:t>Extraskeletal</w:t>
      </w:r>
      <w:proofErr w:type="spellEnd"/>
      <w:r w:rsidRPr="00061F6A">
        <w:t xml:space="preserve"> spread in multiple plasma cell myeloma. A review of 57 autopsied cases. </w:t>
      </w:r>
      <w:r w:rsidRPr="00FE2B16">
        <w:rPr>
          <w:i/>
          <w:iCs/>
        </w:rPr>
        <w:t>Cancer</w:t>
      </w:r>
      <w:r w:rsidRPr="00061F6A">
        <w:t>. 1969;23(1):167-</w:t>
      </w:r>
      <w:r w:rsidR="00E57734">
        <w:t>1</w:t>
      </w:r>
      <w:r w:rsidRPr="00061F6A">
        <w:t>74. doi:10.1002/1097-0142(196901)23:1&lt;</w:t>
      </w:r>
      <w:proofErr w:type="gramStart"/>
      <w:r w:rsidRPr="00061F6A">
        <w:t>167::</w:t>
      </w:r>
      <w:proofErr w:type="gramEnd"/>
      <w:r w:rsidRPr="00061F6A">
        <w:t>aid-cncr2820230122&gt;3.0.co;2-0.</w:t>
      </w:r>
    </w:p>
    <w:p w14:paraId="5A206FFA" w14:textId="48E01C6E" w:rsidR="00B91B3C" w:rsidRDefault="00B91B3C" w:rsidP="00FF0C1E">
      <w:pPr>
        <w:pStyle w:val="ReferenceList"/>
        <w:ind w:left="360"/>
        <w:jc w:val="both"/>
      </w:pPr>
      <w:proofErr w:type="spellStart"/>
      <w:r w:rsidRPr="00061F6A">
        <w:t>Varettoni</w:t>
      </w:r>
      <w:proofErr w:type="spellEnd"/>
      <w:r w:rsidRPr="00061F6A">
        <w:t xml:space="preserve"> M, Corso A, Pica G, </w:t>
      </w:r>
      <w:proofErr w:type="spellStart"/>
      <w:r w:rsidRPr="00061F6A">
        <w:t>Mangiacavalli</w:t>
      </w:r>
      <w:proofErr w:type="spellEnd"/>
      <w:r w:rsidRPr="00061F6A">
        <w:t xml:space="preserve"> S, </w:t>
      </w:r>
      <w:proofErr w:type="spellStart"/>
      <w:r w:rsidRPr="00061F6A">
        <w:t>Pascutto</w:t>
      </w:r>
      <w:proofErr w:type="spellEnd"/>
      <w:r w:rsidRPr="00061F6A">
        <w:t xml:space="preserve"> C, </w:t>
      </w:r>
      <w:proofErr w:type="spellStart"/>
      <w:r w:rsidRPr="00061F6A">
        <w:t>Lazzarino</w:t>
      </w:r>
      <w:proofErr w:type="spellEnd"/>
      <w:r w:rsidRPr="00061F6A">
        <w:t xml:space="preserve"> M. Incidence, presenting features and outcome of extramedullary disease in multiple myeloma: a longitudinal study on 1003 consecutive patients. </w:t>
      </w:r>
      <w:r w:rsidRPr="00FE2B16">
        <w:rPr>
          <w:i/>
          <w:iCs/>
        </w:rPr>
        <w:t>Ann Oncol</w:t>
      </w:r>
      <w:r w:rsidRPr="00061F6A">
        <w:t>. 2010;21(2):325-330. doi:10.1093/</w:t>
      </w:r>
      <w:proofErr w:type="spellStart"/>
      <w:r w:rsidRPr="00061F6A">
        <w:t>annonc</w:t>
      </w:r>
      <w:proofErr w:type="spellEnd"/>
      <w:r w:rsidRPr="00061F6A">
        <w:t>/mdp329</w:t>
      </w:r>
    </w:p>
    <w:p w14:paraId="2974B844" w14:textId="2327799F" w:rsidR="00B91B3C" w:rsidRDefault="00B91B3C" w:rsidP="00FF0C1E">
      <w:pPr>
        <w:pStyle w:val="ReferenceList"/>
        <w:ind w:left="360"/>
        <w:jc w:val="both"/>
      </w:pPr>
      <w:proofErr w:type="spellStart"/>
      <w:r>
        <w:t>Mangiacavalli</w:t>
      </w:r>
      <w:proofErr w:type="spellEnd"/>
      <w:r>
        <w:t xml:space="preserve"> S, </w:t>
      </w:r>
      <w:proofErr w:type="spellStart"/>
      <w:r>
        <w:t>Pompa</w:t>
      </w:r>
      <w:proofErr w:type="spellEnd"/>
      <w:r>
        <w:t xml:space="preserve"> A, Ferretti V, et al. </w:t>
      </w:r>
      <w:r w:rsidRPr="00061F6A">
        <w:t xml:space="preserve">The possible role of burden of therapy on the risk of myeloma extramedullary spread. </w:t>
      </w:r>
      <w:r w:rsidRPr="00FE2B16">
        <w:rPr>
          <w:i/>
          <w:iCs/>
        </w:rPr>
        <w:t xml:space="preserve">Ann </w:t>
      </w:r>
      <w:proofErr w:type="spellStart"/>
      <w:r w:rsidRPr="00FE2B16">
        <w:rPr>
          <w:i/>
          <w:iCs/>
        </w:rPr>
        <w:t>Hematol</w:t>
      </w:r>
      <w:proofErr w:type="spellEnd"/>
      <w:r w:rsidRPr="00FE2B16">
        <w:rPr>
          <w:i/>
          <w:iCs/>
        </w:rPr>
        <w:t>.</w:t>
      </w:r>
      <w:r w:rsidRPr="00061F6A">
        <w:t xml:space="preserve"> 2017;96(1):73-80. doi:10.1007/s00277-016-2847-z</w:t>
      </w:r>
    </w:p>
    <w:p w14:paraId="7DCDD880" w14:textId="1C7C0B27" w:rsidR="00B91B3C" w:rsidRDefault="00B91B3C" w:rsidP="00FF0C1E">
      <w:pPr>
        <w:pStyle w:val="ReferenceList"/>
        <w:ind w:left="360"/>
        <w:jc w:val="both"/>
      </w:pPr>
      <w:proofErr w:type="spellStart"/>
      <w:r>
        <w:t>Beksac</w:t>
      </w:r>
      <w:proofErr w:type="spellEnd"/>
      <w:r>
        <w:t xml:space="preserve"> M, </w:t>
      </w:r>
      <w:proofErr w:type="spellStart"/>
      <w:r>
        <w:t>Seval</w:t>
      </w:r>
      <w:proofErr w:type="spellEnd"/>
      <w:r>
        <w:t xml:space="preserve"> G C, </w:t>
      </w:r>
      <w:proofErr w:type="spellStart"/>
      <w:r>
        <w:t>Kanellias</w:t>
      </w:r>
      <w:proofErr w:type="spellEnd"/>
      <w:r>
        <w:t xml:space="preserve"> N, et al. </w:t>
      </w:r>
      <w:r w:rsidRPr="00E9017A">
        <w:t xml:space="preserve">A real world multicenter retrospective study on extramedullary disease from Balkan Myeloma Study Group and Barcelona University: analysis of parameters that improve outcome. </w:t>
      </w:r>
      <w:proofErr w:type="spellStart"/>
      <w:r w:rsidRPr="00FE2B16">
        <w:rPr>
          <w:i/>
          <w:iCs/>
        </w:rPr>
        <w:t>Haematologica</w:t>
      </w:r>
      <w:proofErr w:type="spellEnd"/>
      <w:r w:rsidRPr="00FE2B16">
        <w:rPr>
          <w:i/>
          <w:iCs/>
        </w:rPr>
        <w:t>.</w:t>
      </w:r>
      <w:r w:rsidRPr="00E9017A">
        <w:t xml:space="preserve"> 2020;105(1):201-208. doi:10.3324/haematol.2019.219295</w:t>
      </w:r>
    </w:p>
    <w:p w14:paraId="5CF7917F" w14:textId="22680AD9" w:rsidR="00B91B3C" w:rsidRDefault="00B91B3C" w:rsidP="00FF0C1E">
      <w:pPr>
        <w:pStyle w:val="ReferenceList"/>
        <w:ind w:left="360"/>
        <w:jc w:val="both"/>
      </w:pPr>
      <w:r w:rsidRPr="00E9017A">
        <w:t xml:space="preserve">Weinstock M, </w:t>
      </w:r>
      <w:proofErr w:type="spellStart"/>
      <w:r w:rsidRPr="00E9017A">
        <w:t>Ghobrial</w:t>
      </w:r>
      <w:proofErr w:type="spellEnd"/>
      <w:r w:rsidRPr="00E9017A">
        <w:t xml:space="preserve"> IM. Extramedullary multiple myeloma. </w:t>
      </w:r>
      <w:r w:rsidRPr="00FE2B16">
        <w:rPr>
          <w:i/>
          <w:iCs/>
        </w:rPr>
        <w:t>Leuk Lymphoma.</w:t>
      </w:r>
      <w:r w:rsidRPr="00E9017A">
        <w:t xml:space="preserve"> 2013;54(6):1135-</w:t>
      </w:r>
      <w:r w:rsidR="00E57734">
        <w:t>11</w:t>
      </w:r>
      <w:r w:rsidRPr="00E9017A">
        <w:t>41. doi:10.3109/10428194.2012.740562</w:t>
      </w:r>
    </w:p>
    <w:p w14:paraId="20959DAA" w14:textId="0C74FC8E" w:rsidR="00B91B3C" w:rsidRDefault="00B91B3C" w:rsidP="00FF0C1E">
      <w:pPr>
        <w:pStyle w:val="ReferenceList"/>
        <w:ind w:left="360"/>
        <w:jc w:val="both"/>
      </w:pPr>
      <w:r>
        <w:lastRenderedPageBreak/>
        <w:t xml:space="preserve">Deng S, Xu Y, </w:t>
      </w:r>
      <w:proofErr w:type="gramStart"/>
      <w:r>
        <w:t>An</w:t>
      </w:r>
      <w:proofErr w:type="gramEnd"/>
      <w:r>
        <w:t xml:space="preserve"> G, et al. </w:t>
      </w:r>
      <w:r w:rsidRPr="00E9017A">
        <w:t xml:space="preserve">Features of extramedullary disease of multiple myeloma: high frequency of p53 deletion and poor survival: a retrospective single-center study of 834 cases. </w:t>
      </w:r>
      <w:r w:rsidRPr="00FE2B16">
        <w:rPr>
          <w:i/>
          <w:iCs/>
        </w:rPr>
        <w:t>Clin Lymphoma Myeloma Leuk.</w:t>
      </w:r>
      <w:r w:rsidRPr="00E9017A">
        <w:t xml:space="preserve"> 2015;15(5):286-</w:t>
      </w:r>
      <w:r w:rsidR="00E57734">
        <w:t>2</w:t>
      </w:r>
      <w:r w:rsidRPr="00E9017A">
        <w:t xml:space="preserve">91. </w:t>
      </w:r>
      <w:proofErr w:type="gramStart"/>
      <w:r w:rsidRPr="00E9017A">
        <w:t>doi:10.1016/j.clml</w:t>
      </w:r>
      <w:proofErr w:type="gramEnd"/>
      <w:r w:rsidRPr="00E9017A">
        <w:t>.2014.12.013</w:t>
      </w:r>
    </w:p>
    <w:p w14:paraId="26CE4525" w14:textId="655B63F5" w:rsidR="00B91B3C" w:rsidRDefault="00B91B3C" w:rsidP="00FF0C1E">
      <w:pPr>
        <w:pStyle w:val="ReferenceList"/>
        <w:ind w:left="360"/>
        <w:jc w:val="both"/>
      </w:pPr>
      <w:proofErr w:type="spellStart"/>
      <w:r>
        <w:t>Rasche</w:t>
      </w:r>
      <w:proofErr w:type="spellEnd"/>
      <w:r>
        <w:t xml:space="preserve"> L, Bernard C, </w:t>
      </w:r>
      <w:proofErr w:type="spellStart"/>
      <w:r>
        <w:t>Topp</w:t>
      </w:r>
      <w:proofErr w:type="spellEnd"/>
      <w:r>
        <w:t xml:space="preserve"> MS, et al. </w:t>
      </w:r>
      <w:r w:rsidRPr="00E9017A">
        <w:t xml:space="preserve">Features of extramedullary myeloma relapse: high proliferation, minimal marrow involvement, adverse cytogenetics: a retrospective single-center study of 24 cases. </w:t>
      </w:r>
      <w:r w:rsidRPr="00FE2B16">
        <w:rPr>
          <w:i/>
          <w:iCs/>
        </w:rPr>
        <w:t xml:space="preserve">Ann </w:t>
      </w:r>
      <w:proofErr w:type="spellStart"/>
      <w:r w:rsidRPr="00FE2B16">
        <w:rPr>
          <w:i/>
          <w:iCs/>
        </w:rPr>
        <w:t>Hematol</w:t>
      </w:r>
      <w:proofErr w:type="spellEnd"/>
      <w:r w:rsidRPr="00E9017A">
        <w:t>. 2012;91(7):1031-</w:t>
      </w:r>
      <w:r w:rsidR="00E57734">
        <w:t>103</w:t>
      </w:r>
      <w:r w:rsidRPr="00E9017A">
        <w:t>7. doi:10.1007/s00277-012-1414-5</w:t>
      </w:r>
    </w:p>
    <w:p w14:paraId="523F73BB" w14:textId="5838B4A8" w:rsidR="00B91B3C" w:rsidRDefault="00B91B3C" w:rsidP="00FF0C1E">
      <w:pPr>
        <w:pStyle w:val="ReferenceList"/>
        <w:ind w:left="360"/>
        <w:jc w:val="both"/>
      </w:pPr>
      <w:proofErr w:type="spellStart"/>
      <w:r>
        <w:t>Muchtar</w:t>
      </w:r>
      <w:proofErr w:type="spellEnd"/>
      <w:r>
        <w:t xml:space="preserve"> E, </w:t>
      </w:r>
      <w:proofErr w:type="spellStart"/>
      <w:r>
        <w:t>Gatt</w:t>
      </w:r>
      <w:proofErr w:type="spellEnd"/>
      <w:r>
        <w:t xml:space="preserve"> ME, </w:t>
      </w:r>
      <w:proofErr w:type="spellStart"/>
      <w:r>
        <w:t>Rouvio</w:t>
      </w:r>
      <w:proofErr w:type="spellEnd"/>
      <w:r>
        <w:t xml:space="preserve"> O, et al. </w:t>
      </w:r>
      <w:r w:rsidRPr="00342591">
        <w:t xml:space="preserve">Efficacy and safety of salvage therapy using Carfilzomib for relapsed or refractory multiple myeloma patients: a </w:t>
      </w:r>
      <w:proofErr w:type="spellStart"/>
      <w:r w:rsidRPr="00342591">
        <w:t>multicentre</w:t>
      </w:r>
      <w:proofErr w:type="spellEnd"/>
      <w:r w:rsidRPr="00342591">
        <w:t xml:space="preserve"> retrospective observational study. </w:t>
      </w:r>
      <w:r w:rsidRPr="00FE2B16">
        <w:rPr>
          <w:i/>
          <w:iCs/>
        </w:rPr>
        <w:t xml:space="preserve">Br J </w:t>
      </w:r>
      <w:proofErr w:type="spellStart"/>
      <w:r w:rsidRPr="00FE2B16">
        <w:rPr>
          <w:i/>
          <w:iCs/>
        </w:rPr>
        <w:t>Haematol</w:t>
      </w:r>
      <w:proofErr w:type="spellEnd"/>
      <w:r w:rsidRPr="00342591">
        <w:t>. 2016;172(1):89-96. doi:10.1111/bjh.13799</w:t>
      </w:r>
    </w:p>
    <w:p w14:paraId="6747BE39" w14:textId="09AE31AF" w:rsidR="00B91B3C" w:rsidRDefault="00B91B3C" w:rsidP="00FF0C1E">
      <w:pPr>
        <w:pStyle w:val="ReferenceList"/>
        <w:ind w:left="360"/>
        <w:jc w:val="both"/>
      </w:pPr>
      <w:r>
        <w:t xml:space="preserve">Pick M, </w:t>
      </w:r>
      <w:proofErr w:type="spellStart"/>
      <w:r>
        <w:t>Vainstein</w:t>
      </w:r>
      <w:proofErr w:type="spellEnd"/>
      <w:r>
        <w:t xml:space="preserve"> V, Goldschmidt N, et al. </w:t>
      </w:r>
      <w:r w:rsidRPr="00342591">
        <w:t xml:space="preserve">Daratumumab resistance is frequent in advanced-stage multiple myeloma patients irrespective of CD38 expression and is related to dismal prognosis. </w:t>
      </w:r>
      <w:r w:rsidRPr="00FE2B16">
        <w:rPr>
          <w:i/>
          <w:iCs/>
        </w:rPr>
        <w:t xml:space="preserve">Eur J </w:t>
      </w:r>
      <w:proofErr w:type="spellStart"/>
      <w:r w:rsidRPr="00FE2B16">
        <w:rPr>
          <w:i/>
          <w:iCs/>
        </w:rPr>
        <w:t>Haematol</w:t>
      </w:r>
      <w:proofErr w:type="spellEnd"/>
      <w:r w:rsidRPr="00FE2B16">
        <w:rPr>
          <w:i/>
          <w:iCs/>
        </w:rPr>
        <w:t>.</w:t>
      </w:r>
      <w:r w:rsidRPr="00342591">
        <w:t xml:space="preserve"> 2018;100(5):494-501. doi:10.1111/ejh.13046</w:t>
      </w:r>
    </w:p>
    <w:p w14:paraId="4659831F" w14:textId="41A8582B" w:rsidR="00B91B3C" w:rsidRDefault="00B91B3C" w:rsidP="00FF0C1E">
      <w:pPr>
        <w:pStyle w:val="ReferenceList"/>
        <w:ind w:left="360"/>
        <w:jc w:val="both"/>
      </w:pPr>
      <w:r w:rsidRPr="00342591">
        <w:t xml:space="preserve">Pérez-Simón JA, </w:t>
      </w:r>
      <w:proofErr w:type="spellStart"/>
      <w:r w:rsidRPr="00342591">
        <w:t>Sureda</w:t>
      </w:r>
      <w:proofErr w:type="spellEnd"/>
      <w:r w:rsidRPr="00342591">
        <w:t xml:space="preserve"> A, Fernández-Aviles F</w:t>
      </w:r>
      <w:r>
        <w:t xml:space="preserve">, et al. </w:t>
      </w:r>
      <w:r w:rsidRPr="00342591">
        <w:t xml:space="preserve">Reduced-intensity conditioning allogeneic transplantation is associated with a high incidence of extramedullary relapses in multiple myeloma patients. </w:t>
      </w:r>
      <w:r w:rsidRPr="00FE2B16">
        <w:rPr>
          <w:i/>
          <w:iCs/>
        </w:rPr>
        <w:t>Leukemia.</w:t>
      </w:r>
      <w:r w:rsidRPr="00342591">
        <w:t xml:space="preserve"> 2006;20(3):542-</w:t>
      </w:r>
      <w:r w:rsidR="00E57734">
        <w:t>54</w:t>
      </w:r>
      <w:r w:rsidRPr="00342591">
        <w:t xml:space="preserve">5. </w:t>
      </w:r>
      <w:proofErr w:type="gramStart"/>
      <w:r w:rsidRPr="00342591">
        <w:t>doi:10.1038/sj.leu</w:t>
      </w:r>
      <w:proofErr w:type="gramEnd"/>
      <w:r w:rsidRPr="00342591">
        <w:t>.2404085</w:t>
      </w:r>
    </w:p>
    <w:p w14:paraId="7308241C" w14:textId="1C497F45" w:rsidR="00B91B3C" w:rsidRDefault="00B91B3C" w:rsidP="00FF0C1E">
      <w:pPr>
        <w:pStyle w:val="ReferenceList"/>
        <w:ind w:left="360"/>
        <w:jc w:val="both"/>
      </w:pPr>
      <w:proofErr w:type="spellStart"/>
      <w:r w:rsidRPr="00342591">
        <w:t>Nachmias</w:t>
      </w:r>
      <w:proofErr w:type="spellEnd"/>
      <w:r w:rsidRPr="00342591">
        <w:t xml:space="preserve"> B, </w:t>
      </w:r>
      <w:proofErr w:type="spellStart"/>
      <w:r w:rsidRPr="00342591">
        <w:t>Schimmer</w:t>
      </w:r>
      <w:proofErr w:type="spellEnd"/>
      <w:r w:rsidRPr="00342591">
        <w:t xml:space="preserve"> AD. Targeting nuclear import and export in hematological malignancies.</w:t>
      </w:r>
      <w:r w:rsidRPr="00FE2B16">
        <w:rPr>
          <w:i/>
          <w:iCs/>
        </w:rPr>
        <w:t xml:space="preserve"> Leukemia</w:t>
      </w:r>
      <w:r w:rsidRPr="00342591">
        <w:t>. 2020;34(11):2875-2886. doi:10.1038/s41375-020-0958-y</w:t>
      </w:r>
    </w:p>
    <w:p w14:paraId="1A5E3CF0" w14:textId="4F1AE16B" w:rsidR="00B91B3C" w:rsidRDefault="00B91B3C" w:rsidP="00FF0C1E">
      <w:pPr>
        <w:pStyle w:val="ReferenceList"/>
        <w:ind w:left="360"/>
        <w:jc w:val="both"/>
      </w:pPr>
      <w:r w:rsidRPr="007D6CF9">
        <w:t xml:space="preserve">Tai YT, </w:t>
      </w:r>
      <w:proofErr w:type="spellStart"/>
      <w:r w:rsidRPr="007D6CF9">
        <w:t>Landesman</w:t>
      </w:r>
      <w:proofErr w:type="spellEnd"/>
      <w:r w:rsidRPr="007D6CF9">
        <w:t xml:space="preserve"> Y, Acharya C,</w:t>
      </w:r>
      <w:r>
        <w:t xml:space="preserve"> et al. </w:t>
      </w:r>
      <w:r w:rsidRPr="007D6CF9">
        <w:t xml:space="preserve">CRM1 inhibition induces tumor cell cytotoxicity and impairs </w:t>
      </w:r>
      <w:proofErr w:type="spellStart"/>
      <w:r w:rsidRPr="007D6CF9">
        <w:t>osteoclastogenesis</w:t>
      </w:r>
      <w:proofErr w:type="spellEnd"/>
      <w:r w:rsidRPr="007D6CF9">
        <w:t xml:space="preserve"> in multiple myeloma: molecular mechanisms and therapeutic implications. </w:t>
      </w:r>
      <w:r w:rsidRPr="00FE2B16">
        <w:rPr>
          <w:i/>
          <w:iCs/>
        </w:rPr>
        <w:t>Leukemia.</w:t>
      </w:r>
      <w:r w:rsidRPr="007D6CF9">
        <w:t xml:space="preserve"> 2014;28(1):155-</w:t>
      </w:r>
      <w:r w:rsidR="00E57734">
        <w:t>1</w:t>
      </w:r>
      <w:r w:rsidRPr="007D6CF9">
        <w:t>65. doi:10.1038/leu.2013.115</w:t>
      </w:r>
    </w:p>
    <w:p w14:paraId="2C5472EB" w14:textId="6BF20EE1" w:rsidR="00B91B3C" w:rsidRDefault="00B91B3C" w:rsidP="00FF0C1E">
      <w:pPr>
        <w:pStyle w:val="ReferenceList"/>
        <w:ind w:left="360"/>
        <w:jc w:val="both"/>
      </w:pPr>
      <w:r w:rsidRPr="007D6CF9">
        <w:t xml:space="preserve">Sun Q, Chen X, Zhou Q, Burstein E, Yang S, Jia D. Inhibiting cancer cell hallmark features through nuclear export inhibition. </w:t>
      </w:r>
      <w:r w:rsidRPr="00FE2B16">
        <w:rPr>
          <w:i/>
          <w:iCs/>
        </w:rPr>
        <w:t xml:space="preserve">Signal </w:t>
      </w:r>
      <w:proofErr w:type="spellStart"/>
      <w:r w:rsidRPr="00FE2B16">
        <w:rPr>
          <w:i/>
          <w:iCs/>
        </w:rPr>
        <w:t>Transduct</w:t>
      </w:r>
      <w:proofErr w:type="spellEnd"/>
      <w:r w:rsidRPr="00FE2B16">
        <w:rPr>
          <w:i/>
          <w:iCs/>
        </w:rPr>
        <w:t xml:space="preserve"> Target </w:t>
      </w:r>
      <w:proofErr w:type="spellStart"/>
      <w:r w:rsidRPr="00FE2B16">
        <w:rPr>
          <w:i/>
          <w:iCs/>
        </w:rPr>
        <w:t>Ther</w:t>
      </w:r>
      <w:proofErr w:type="spellEnd"/>
      <w:r w:rsidRPr="007D6CF9">
        <w:t xml:space="preserve">. </w:t>
      </w:r>
      <w:proofErr w:type="gramStart"/>
      <w:r w:rsidRPr="007D6CF9">
        <w:t>2016;1:16010</w:t>
      </w:r>
      <w:proofErr w:type="gramEnd"/>
      <w:r w:rsidRPr="007D6CF9">
        <w:t>. doi:10.1038/sigtrans.2016.10</w:t>
      </w:r>
    </w:p>
    <w:p w14:paraId="3EC96FE5" w14:textId="131BE744" w:rsidR="00B91B3C" w:rsidRDefault="00B91B3C" w:rsidP="00FF0C1E">
      <w:pPr>
        <w:pStyle w:val="ReferenceList"/>
        <w:ind w:left="360"/>
        <w:jc w:val="both"/>
      </w:pPr>
      <w:r w:rsidRPr="00EE40F6">
        <w:t xml:space="preserve">Schmidt J, </w:t>
      </w:r>
      <w:proofErr w:type="spellStart"/>
      <w:r w:rsidRPr="00EE40F6">
        <w:t>Braggio</w:t>
      </w:r>
      <w:proofErr w:type="spellEnd"/>
      <w:r w:rsidRPr="00EE40F6">
        <w:t xml:space="preserve"> E, </w:t>
      </w:r>
      <w:proofErr w:type="spellStart"/>
      <w:r w:rsidRPr="00EE40F6">
        <w:t>Kortuem</w:t>
      </w:r>
      <w:proofErr w:type="spellEnd"/>
      <w:r w:rsidRPr="00EE40F6">
        <w:t xml:space="preserve"> KM</w:t>
      </w:r>
      <w:r>
        <w:t xml:space="preserve">, et al. </w:t>
      </w:r>
      <w:r w:rsidRPr="00EE40F6">
        <w:t xml:space="preserve">Genome-wide studies in multiple myeloma identify XPO1/CRM1 as a critical target validated using the selective nuclear export inhibitor KPT-276. </w:t>
      </w:r>
      <w:r w:rsidRPr="00FE2B16">
        <w:rPr>
          <w:i/>
          <w:iCs/>
        </w:rPr>
        <w:t>Leukemia.</w:t>
      </w:r>
      <w:r w:rsidRPr="00EE40F6">
        <w:t xml:space="preserve"> 2013;27(12):2357-</w:t>
      </w:r>
      <w:r w:rsidR="00E57734">
        <w:t>23</w:t>
      </w:r>
      <w:r w:rsidRPr="00EE40F6">
        <w:t>65. doi:10.1038/leu.2013.172</w:t>
      </w:r>
    </w:p>
    <w:p w14:paraId="50D68BD1" w14:textId="2A8D861D" w:rsidR="00B91B3C" w:rsidRDefault="00B91B3C" w:rsidP="00FF0C1E">
      <w:pPr>
        <w:pStyle w:val="ReferenceList"/>
        <w:ind w:left="360"/>
        <w:jc w:val="both"/>
      </w:pPr>
      <w:r w:rsidRPr="00EE40F6">
        <w:t xml:space="preserve">Gandhi UH, </w:t>
      </w:r>
      <w:proofErr w:type="spellStart"/>
      <w:r w:rsidRPr="00EE40F6">
        <w:t>Senapedis</w:t>
      </w:r>
      <w:proofErr w:type="spellEnd"/>
      <w:r w:rsidRPr="00EE40F6">
        <w:t xml:space="preserve"> W, </w:t>
      </w:r>
      <w:proofErr w:type="spellStart"/>
      <w:r w:rsidRPr="00EE40F6">
        <w:t>Baloglu</w:t>
      </w:r>
      <w:proofErr w:type="spellEnd"/>
      <w:r w:rsidRPr="00EE40F6">
        <w:t xml:space="preserve"> E,</w:t>
      </w:r>
      <w:r>
        <w:t xml:space="preserve"> et al. </w:t>
      </w:r>
      <w:r w:rsidRPr="00EE40F6">
        <w:t xml:space="preserve">Clinical Implications of Targeting XPO1-mediated Nuclear Export in Multiple Myeloma. </w:t>
      </w:r>
      <w:r w:rsidRPr="00FE2B16">
        <w:rPr>
          <w:i/>
          <w:iCs/>
        </w:rPr>
        <w:t>Clin Lymphoma Myeloma Leuk.</w:t>
      </w:r>
      <w:r w:rsidRPr="00EE40F6">
        <w:t xml:space="preserve"> 2018;18(5):335-345. </w:t>
      </w:r>
      <w:proofErr w:type="gramStart"/>
      <w:r w:rsidRPr="00EE40F6">
        <w:t>doi:10.1016/j.clml</w:t>
      </w:r>
      <w:proofErr w:type="gramEnd"/>
      <w:r w:rsidRPr="00EE40F6">
        <w:t>.2018.03.003</w:t>
      </w:r>
    </w:p>
    <w:p w14:paraId="51BEB2C8" w14:textId="6AE3E7F0" w:rsidR="00B91B3C" w:rsidRDefault="00B91B3C" w:rsidP="00FF0C1E">
      <w:pPr>
        <w:pStyle w:val="ReferenceList"/>
        <w:ind w:left="360"/>
        <w:jc w:val="both"/>
      </w:pPr>
      <w:proofErr w:type="spellStart"/>
      <w:r w:rsidRPr="00EE40F6">
        <w:t>Malandrakis</w:t>
      </w:r>
      <w:proofErr w:type="spellEnd"/>
      <w:r w:rsidRPr="00EE40F6">
        <w:t xml:space="preserve"> P, </w:t>
      </w:r>
      <w:proofErr w:type="spellStart"/>
      <w:r w:rsidRPr="00EE40F6">
        <w:t>Ntanasis</w:t>
      </w:r>
      <w:proofErr w:type="spellEnd"/>
      <w:r w:rsidRPr="00EE40F6">
        <w:t xml:space="preserve">-Stathopoulos I, </w:t>
      </w:r>
      <w:proofErr w:type="spellStart"/>
      <w:r w:rsidRPr="00EE40F6">
        <w:t>Gavriatopoulou</w:t>
      </w:r>
      <w:proofErr w:type="spellEnd"/>
      <w:r w:rsidRPr="00EE40F6">
        <w:t xml:space="preserve"> M, </w:t>
      </w:r>
      <w:proofErr w:type="spellStart"/>
      <w:r w:rsidRPr="00EE40F6">
        <w:t>Terpos</w:t>
      </w:r>
      <w:proofErr w:type="spellEnd"/>
      <w:r w:rsidRPr="00EE40F6">
        <w:t xml:space="preserve"> E. Clinical </w:t>
      </w:r>
      <w:r w:rsidR="00B539DA">
        <w:t>u</w:t>
      </w:r>
      <w:r w:rsidRPr="00EE40F6">
        <w:t xml:space="preserve">tility of </w:t>
      </w:r>
      <w:proofErr w:type="spellStart"/>
      <w:r w:rsidR="00B539DA">
        <w:t>s</w:t>
      </w:r>
      <w:r w:rsidRPr="00EE40F6">
        <w:t>elinexor</w:t>
      </w:r>
      <w:proofErr w:type="spellEnd"/>
      <w:r w:rsidRPr="00EE40F6">
        <w:t>/</w:t>
      </w:r>
      <w:r w:rsidR="00B539DA">
        <w:t>d</w:t>
      </w:r>
      <w:r w:rsidRPr="00EE40F6">
        <w:t xml:space="preserve">examethasone in </w:t>
      </w:r>
      <w:r w:rsidR="00B539DA">
        <w:t>p</w:t>
      </w:r>
      <w:r w:rsidRPr="00EE40F6">
        <w:t xml:space="preserve">atients with </w:t>
      </w:r>
      <w:r w:rsidR="00B539DA">
        <w:t>r</w:t>
      </w:r>
      <w:r w:rsidRPr="00EE40F6">
        <w:t xml:space="preserve">elapsed or </w:t>
      </w:r>
      <w:r w:rsidR="00B539DA">
        <w:t>r</w:t>
      </w:r>
      <w:r w:rsidRPr="00EE40F6">
        <w:t xml:space="preserve">efractory </w:t>
      </w:r>
      <w:r w:rsidR="00B539DA">
        <w:t>m</w:t>
      </w:r>
      <w:r w:rsidRPr="00EE40F6">
        <w:t xml:space="preserve">ultiple </w:t>
      </w:r>
      <w:r w:rsidR="00B539DA">
        <w:t>m</w:t>
      </w:r>
      <w:r w:rsidRPr="00EE40F6">
        <w:t xml:space="preserve">yeloma: </w:t>
      </w:r>
      <w:r w:rsidR="00B539DA">
        <w:t>a</w:t>
      </w:r>
      <w:r w:rsidRPr="00EE40F6">
        <w:t xml:space="preserve"> </w:t>
      </w:r>
      <w:r w:rsidR="00B539DA">
        <w:t>r</w:t>
      </w:r>
      <w:r w:rsidRPr="00EE40F6">
        <w:t xml:space="preserve">eview of </w:t>
      </w:r>
      <w:r w:rsidR="00B539DA">
        <w:t>c</w:t>
      </w:r>
      <w:r w:rsidRPr="00EE40F6">
        <w:t xml:space="preserve">urrent </w:t>
      </w:r>
      <w:r w:rsidR="00B539DA">
        <w:t>e</w:t>
      </w:r>
      <w:r w:rsidRPr="00EE40F6">
        <w:t xml:space="preserve">vidence and </w:t>
      </w:r>
      <w:r w:rsidR="00B539DA">
        <w:t>p</w:t>
      </w:r>
      <w:r w:rsidRPr="00EE40F6">
        <w:t xml:space="preserve">atient </w:t>
      </w:r>
      <w:r w:rsidR="00B539DA">
        <w:t>s</w:t>
      </w:r>
      <w:r w:rsidRPr="00EE40F6">
        <w:t xml:space="preserve">election. </w:t>
      </w:r>
      <w:proofErr w:type="spellStart"/>
      <w:r w:rsidRPr="00FE2B16">
        <w:rPr>
          <w:i/>
          <w:iCs/>
        </w:rPr>
        <w:t>Onco</w:t>
      </w:r>
      <w:proofErr w:type="spellEnd"/>
      <w:r w:rsidRPr="00FE2B16">
        <w:rPr>
          <w:i/>
          <w:iCs/>
        </w:rPr>
        <w:t xml:space="preserve"> Targets </w:t>
      </w:r>
      <w:proofErr w:type="spellStart"/>
      <w:r w:rsidRPr="00FE2B16">
        <w:rPr>
          <w:i/>
          <w:iCs/>
        </w:rPr>
        <w:t>Ther</w:t>
      </w:r>
      <w:proofErr w:type="spellEnd"/>
      <w:r w:rsidRPr="00EE40F6">
        <w:t xml:space="preserve">. </w:t>
      </w:r>
      <w:proofErr w:type="gramStart"/>
      <w:r w:rsidRPr="00EE40F6">
        <w:t>2020;13:6405</w:t>
      </w:r>
      <w:proofErr w:type="gramEnd"/>
      <w:r w:rsidRPr="00EE40F6">
        <w:t>-6416. doi:10.2147/OTT.S227166</w:t>
      </w:r>
    </w:p>
    <w:p w14:paraId="1BDD850A" w14:textId="0C4D0866" w:rsidR="00B91B3C" w:rsidRDefault="00B91B3C" w:rsidP="00FF0C1E">
      <w:pPr>
        <w:pStyle w:val="ReferenceList"/>
        <w:ind w:left="360"/>
        <w:jc w:val="both"/>
      </w:pPr>
      <w:proofErr w:type="spellStart"/>
      <w:r w:rsidRPr="00EE40F6">
        <w:lastRenderedPageBreak/>
        <w:t>Nachmias</w:t>
      </w:r>
      <w:proofErr w:type="spellEnd"/>
      <w:r w:rsidRPr="00EE40F6">
        <w:t xml:space="preserve"> B, </w:t>
      </w:r>
      <w:proofErr w:type="spellStart"/>
      <w:r w:rsidRPr="00EE40F6">
        <w:t>Schimmer</w:t>
      </w:r>
      <w:proofErr w:type="spellEnd"/>
      <w:r w:rsidRPr="00EE40F6">
        <w:t xml:space="preserve"> AD. Targeting nuclear import and export in hematological malignancies. </w:t>
      </w:r>
      <w:r w:rsidRPr="00FE2B16">
        <w:rPr>
          <w:i/>
          <w:iCs/>
        </w:rPr>
        <w:t>Leukemia.</w:t>
      </w:r>
      <w:r w:rsidRPr="00EE40F6">
        <w:t xml:space="preserve"> 2020;34(11):2875-2886. doi:10.1038/s41375-020-0958-y</w:t>
      </w:r>
    </w:p>
    <w:p w14:paraId="1C459711" w14:textId="02543D19" w:rsidR="00B91B3C" w:rsidRDefault="00B91B3C" w:rsidP="00FF0C1E">
      <w:pPr>
        <w:pStyle w:val="ReferenceList"/>
        <w:ind w:left="360"/>
        <w:jc w:val="both"/>
      </w:pPr>
      <w:r w:rsidRPr="00EE40F6">
        <w:t xml:space="preserve">Jiménez I, </w:t>
      </w:r>
      <w:proofErr w:type="spellStart"/>
      <w:r w:rsidRPr="00EE40F6">
        <w:t>Carabia</w:t>
      </w:r>
      <w:proofErr w:type="spellEnd"/>
      <w:r w:rsidRPr="00EE40F6">
        <w:t xml:space="preserve"> J, </w:t>
      </w:r>
      <w:proofErr w:type="spellStart"/>
      <w:r w:rsidRPr="00EE40F6">
        <w:t>Bobillo</w:t>
      </w:r>
      <w:proofErr w:type="spellEnd"/>
      <w:r w:rsidRPr="00EE40F6">
        <w:t xml:space="preserve"> S</w:t>
      </w:r>
      <w:r>
        <w:t xml:space="preserve">, et al. </w:t>
      </w:r>
      <w:r w:rsidRPr="00EE40F6">
        <w:t>Repolarization of tumor infiltrating macrophages and increased survival in mouse primary CNS lymphomas after XPO1 and BTK inhibition</w:t>
      </w:r>
      <w:r w:rsidRPr="00FE2B16">
        <w:rPr>
          <w:i/>
          <w:iCs/>
        </w:rPr>
        <w:t xml:space="preserve">. J </w:t>
      </w:r>
      <w:proofErr w:type="spellStart"/>
      <w:r w:rsidRPr="00FE2B16">
        <w:rPr>
          <w:i/>
          <w:iCs/>
        </w:rPr>
        <w:t>Neurooncol</w:t>
      </w:r>
      <w:proofErr w:type="spellEnd"/>
      <w:r w:rsidRPr="00FE2B16">
        <w:rPr>
          <w:i/>
          <w:iCs/>
        </w:rPr>
        <w:t>.</w:t>
      </w:r>
      <w:r w:rsidRPr="00EE40F6">
        <w:t xml:space="preserve"> 2020;149(1):13-25. doi:10.1007/s11060-020-03580-y</w:t>
      </w:r>
    </w:p>
    <w:p w14:paraId="34C13720" w14:textId="325D4BB3" w:rsidR="00B91B3C" w:rsidRDefault="00B91B3C" w:rsidP="00FF0C1E">
      <w:pPr>
        <w:pStyle w:val="ReferenceList"/>
        <w:ind w:left="360"/>
        <w:jc w:val="both"/>
      </w:pPr>
      <w:proofErr w:type="spellStart"/>
      <w:r w:rsidRPr="00EE40F6">
        <w:t>Brudno</w:t>
      </w:r>
      <w:proofErr w:type="spellEnd"/>
      <w:r w:rsidRPr="00EE40F6">
        <w:t xml:space="preserve"> JN, </w:t>
      </w:r>
      <w:proofErr w:type="spellStart"/>
      <w:r w:rsidRPr="00EE40F6">
        <w:t>Maric</w:t>
      </w:r>
      <w:proofErr w:type="spellEnd"/>
      <w:r w:rsidRPr="00EE40F6">
        <w:t xml:space="preserve"> I, Hartman SD</w:t>
      </w:r>
      <w:r>
        <w:t xml:space="preserve">, et al. </w:t>
      </w:r>
      <w:r w:rsidRPr="00EE40F6">
        <w:t xml:space="preserve">T </w:t>
      </w:r>
      <w:r w:rsidR="00B539DA">
        <w:t>c</w:t>
      </w:r>
      <w:r w:rsidRPr="00EE40F6">
        <w:t xml:space="preserve">ells </w:t>
      </w:r>
      <w:r w:rsidR="00B539DA">
        <w:t>g</w:t>
      </w:r>
      <w:r w:rsidRPr="00EE40F6">
        <w:t xml:space="preserve">enetically </w:t>
      </w:r>
      <w:r w:rsidR="00B539DA">
        <w:t>m</w:t>
      </w:r>
      <w:r w:rsidRPr="00EE40F6">
        <w:t xml:space="preserve">odified to </w:t>
      </w:r>
      <w:r w:rsidR="00B539DA">
        <w:t>e</w:t>
      </w:r>
      <w:r w:rsidRPr="00EE40F6">
        <w:t xml:space="preserve">xpress an </w:t>
      </w:r>
      <w:r w:rsidR="00B539DA">
        <w:t>a</w:t>
      </w:r>
      <w:r w:rsidRPr="00EE40F6">
        <w:t>nti-B-</w:t>
      </w:r>
      <w:r w:rsidR="00B539DA">
        <w:t>c</w:t>
      </w:r>
      <w:r w:rsidRPr="00EE40F6">
        <w:t xml:space="preserve">ell </w:t>
      </w:r>
      <w:r w:rsidR="00B539DA">
        <w:t>m</w:t>
      </w:r>
      <w:r w:rsidRPr="00EE40F6">
        <w:t xml:space="preserve">aturation </w:t>
      </w:r>
      <w:r w:rsidR="00B539DA">
        <w:t>a</w:t>
      </w:r>
      <w:r w:rsidRPr="00EE40F6">
        <w:t xml:space="preserve">ntigen </w:t>
      </w:r>
      <w:r w:rsidR="00B539DA">
        <w:t>c</w:t>
      </w:r>
      <w:r w:rsidRPr="00EE40F6">
        <w:t xml:space="preserve">himeric </w:t>
      </w:r>
      <w:r w:rsidR="00B539DA">
        <w:t>a</w:t>
      </w:r>
      <w:r w:rsidRPr="00EE40F6">
        <w:t xml:space="preserve">ntigen </w:t>
      </w:r>
      <w:r w:rsidR="00B539DA">
        <w:t>r</w:t>
      </w:r>
      <w:r w:rsidRPr="00EE40F6">
        <w:t xml:space="preserve">eceptor </w:t>
      </w:r>
      <w:r w:rsidR="00B539DA">
        <w:t>c</w:t>
      </w:r>
      <w:r w:rsidRPr="00EE40F6">
        <w:t xml:space="preserve">ause </w:t>
      </w:r>
      <w:r w:rsidR="00B539DA">
        <w:t>r</w:t>
      </w:r>
      <w:r w:rsidRPr="00EE40F6">
        <w:t xml:space="preserve">emissions of </w:t>
      </w:r>
      <w:r w:rsidR="00B539DA">
        <w:t>p</w:t>
      </w:r>
      <w:r w:rsidRPr="00EE40F6">
        <w:t>oor-</w:t>
      </w:r>
      <w:r w:rsidR="00B539DA">
        <w:t>p</w:t>
      </w:r>
      <w:r w:rsidRPr="00EE40F6">
        <w:t xml:space="preserve">rognosis </w:t>
      </w:r>
      <w:r w:rsidR="00B539DA">
        <w:t>r</w:t>
      </w:r>
      <w:r w:rsidRPr="00EE40F6">
        <w:t xml:space="preserve">elapsed </w:t>
      </w:r>
      <w:r w:rsidR="00B539DA">
        <w:t>m</w:t>
      </w:r>
      <w:r w:rsidRPr="00EE40F6">
        <w:t xml:space="preserve">ultiple </w:t>
      </w:r>
      <w:r w:rsidR="00B539DA">
        <w:t>m</w:t>
      </w:r>
      <w:r w:rsidRPr="00EE40F6">
        <w:t xml:space="preserve">yeloma. </w:t>
      </w:r>
      <w:r w:rsidRPr="00FE2B16">
        <w:rPr>
          <w:i/>
          <w:iCs/>
        </w:rPr>
        <w:t>J Clin Oncol</w:t>
      </w:r>
      <w:r w:rsidRPr="00EE40F6">
        <w:t>. 2018;36(22):2267-2280. doi:10.1200/JCO.2018.77.8084</w:t>
      </w:r>
    </w:p>
    <w:p w14:paraId="736C9931" w14:textId="7B81561B" w:rsidR="00B91B3C" w:rsidRDefault="00B91B3C" w:rsidP="00FF0C1E">
      <w:pPr>
        <w:pStyle w:val="ReferenceList"/>
        <w:ind w:left="360"/>
        <w:jc w:val="both"/>
      </w:pPr>
      <w:r w:rsidRPr="00E70982">
        <w:t>Zhao WH, Liu J, Wang BY</w:t>
      </w:r>
      <w:r>
        <w:rPr>
          <w:rFonts w:hint="eastAsia"/>
        </w:rPr>
        <w:t>,</w:t>
      </w:r>
      <w:r>
        <w:t xml:space="preserve"> et al. </w:t>
      </w:r>
      <w:r w:rsidRPr="00E70982">
        <w:t xml:space="preserve">A phase 1, open-label study of LCAR-B38M, a chimeric antigen receptor T cell therapy directed against B cell maturation antigen, in patients with relapsed or refractory multiple myeloma. </w:t>
      </w:r>
      <w:r w:rsidRPr="00FE2B16">
        <w:rPr>
          <w:i/>
          <w:iCs/>
        </w:rPr>
        <w:t xml:space="preserve">J </w:t>
      </w:r>
      <w:proofErr w:type="spellStart"/>
      <w:r w:rsidRPr="00FE2B16">
        <w:rPr>
          <w:i/>
          <w:iCs/>
        </w:rPr>
        <w:t>Hematol</w:t>
      </w:r>
      <w:proofErr w:type="spellEnd"/>
      <w:r w:rsidRPr="00FE2B16">
        <w:rPr>
          <w:i/>
          <w:iCs/>
        </w:rPr>
        <w:t xml:space="preserve"> Oncol</w:t>
      </w:r>
      <w:r w:rsidRPr="00E70982">
        <w:t>. 2018;11(1):141. doi:10.1186/s13045-018-0681-6</w:t>
      </w:r>
    </w:p>
    <w:p w14:paraId="283DF373" w14:textId="1CCDCE05" w:rsidR="00B91B3C" w:rsidRDefault="00B91B3C" w:rsidP="00FF0C1E">
      <w:pPr>
        <w:pStyle w:val="ReferenceList"/>
        <w:ind w:left="360"/>
        <w:jc w:val="both"/>
      </w:pPr>
      <w:proofErr w:type="spellStart"/>
      <w:r>
        <w:t>Raje</w:t>
      </w:r>
      <w:proofErr w:type="spellEnd"/>
      <w:r>
        <w:t xml:space="preserve"> N, </w:t>
      </w:r>
      <w:proofErr w:type="spellStart"/>
      <w:r>
        <w:t>Berdeja</w:t>
      </w:r>
      <w:proofErr w:type="spellEnd"/>
      <w:r>
        <w:t xml:space="preserve"> J, Lin Y, et al. </w:t>
      </w:r>
      <w:r w:rsidRPr="00D222BC">
        <w:t>Anti-BCMA CAR T-</w:t>
      </w:r>
      <w:r w:rsidR="00B539DA">
        <w:t>c</w:t>
      </w:r>
      <w:r w:rsidRPr="00D222BC">
        <w:t xml:space="preserve">ell </w:t>
      </w:r>
      <w:r w:rsidR="00B539DA">
        <w:t>t</w:t>
      </w:r>
      <w:r w:rsidRPr="00D222BC">
        <w:t xml:space="preserve">herapy bb2121 in </w:t>
      </w:r>
      <w:r w:rsidR="00B539DA">
        <w:t>r</w:t>
      </w:r>
      <w:r w:rsidRPr="00D222BC">
        <w:t xml:space="preserve">elapsed or </w:t>
      </w:r>
      <w:r w:rsidR="00B539DA">
        <w:t>r</w:t>
      </w:r>
      <w:r w:rsidRPr="00D222BC">
        <w:t xml:space="preserve">efractory </w:t>
      </w:r>
      <w:r w:rsidR="00B539DA">
        <w:t>m</w:t>
      </w:r>
      <w:r w:rsidRPr="00D222BC">
        <w:t xml:space="preserve">ultiple </w:t>
      </w:r>
      <w:r w:rsidR="00B539DA">
        <w:t>m</w:t>
      </w:r>
      <w:r w:rsidRPr="00D222BC">
        <w:t xml:space="preserve">yeloma. </w:t>
      </w:r>
      <w:r w:rsidRPr="00FE2B16">
        <w:rPr>
          <w:i/>
          <w:iCs/>
        </w:rPr>
        <w:t xml:space="preserve">N </w:t>
      </w:r>
      <w:proofErr w:type="spellStart"/>
      <w:r w:rsidRPr="00FE2B16">
        <w:rPr>
          <w:i/>
          <w:iCs/>
        </w:rPr>
        <w:t>Engl</w:t>
      </w:r>
      <w:proofErr w:type="spellEnd"/>
      <w:r w:rsidRPr="00FE2B16">
        <w:rPr>
          <w:i/>
          <w:iCs/>
        </w:rPr>
        <w:t xml:space="preserve"> J Med</w:t>
      </w:r>
      <w:r w:rsidRPr="00D222BC">
        <w:t>. 2019;380(18):1726-1737. doi:10.1056/NEJMoa1817226</w:t>
      </w:r>
    </w:p>
    <w:p w14:paraId="6BB145FC" w14:textId="75383842" w:rsidR="00B91B3C" w:rsidRDefault="00B91B3C" w:rsidP="00FF0C1E">
      <w:pPr>
        <w:pStyle w:val="ReferenceList"/>
        <w:ind w:left="360"/>
        <w:jc w:val="both"/>
      </w:pPr>
      <w:r w:rsidRPr="00D222BC">
        <w:t>Xu J, Chen LJ, Yang SS</w:t>
      </w:r>
      <w:r>
        <w:rPr>
          <w:rFonts w:hint="eastAsia"/>
        </w:rPr>
        <w:t>,</w:t>
      </w:r>
      <w:r>
        <w:t xml:space="preserve"> et al. </w:t>
      </w:r>
      <w:r w:rsidRPr="00D222BC">
        <w:t xml:space="preserve">Exploratory trial of a </w:t>
      </w:r>
      <w:proofErr w:type="spellStart"/>
      <w:r w:rsidRPr="00D222BC">
        <w:t>biepitopic</w:t>
      </w:r>
      <w:proofErr w:type="spellEnd"/>
      <w:r w:rsidRPr="00D222BC">
        <w:t xml:space="preserve"> CAR T-targeting B cell maturation antigen in relapsed/refractory multiple myeloma. </w:t>
      </w:r>
      <w:r w:rsidRPr="00FE2B16">
        <w:rPr>
          <w:i/>
          <w:iCs/>
        </w:rPr>
        <w:t xml:space="preserve">Proc Natl </w:t>
      </w:r>
      <w:proofErr w:type="spellStart"/>
      <w:r w:rsidRPr="00FE2B16">
        <w:rPr>
          <w:i/>
          <w:iCs/>
        </w:rPr>
        <w:t>Acad</w:t>
      </w:r>
      <w:proofErr w:type="spellEnd"/>
      <w:r w:rsidRPr="00FE2B16">
        <w:rPr>
          <w:i/>
          <w:iCs/>
        </w:rPr>
        <w:t xml:space="preserve"> Sci U S A</w:t>
      </w:r>
      <w:r w:rsidRPr="00D222BC">
        <w:t>. 2019;116(19):9543-9551. doi:10.1073/pnas.1819745116</w:t>
      </w:r>
    </w:p>
    <w:p w14:paraId="0AD6D221" w14:textId="1A7D14A2" w:rsidR="00B91B3C" w:rsidRDefault="00B91B3C" w:rsidP="00FF0C1E">
      <w:pPr>
        <w:pStyle w:val="ReferenceList"/>
        <w:ind w:left="360"/>
        <w:jc w:val="both"/>
      </w:pPr>
      <w:r w:rsidRPr="00ED7E48">
        <w:t xml:space="preserve">Cohen AD, </w:t>
      </w:r>
      <w:proofErr w:type="spellStart"/>
      <w:r w:rsidRPr="00ED7E48">
        <w:t>Garfall</w:t>
      </w:r>
      <w:proofErr w:type="spellEnd"/>
      <w:r w:rsidRPr="00ED7E48">
        <w:t xml:space="preserve"> AL, </w:t>
      </w:r>
      <w:proofErr w:type="spellStart"/>
      <w:r w:rsidRPr="00ED7E48">
        <w:t>Stadtmauer</w:t>
      </w:r>
      <w:proofErr w:type="spellEnd"/>
      <w:r w:rsidRPr="00ED7E48">
        <w:t xml:space="preserve"> EA,</w:t>
      </w:r>
      <w:r>
        <w:t xml:space="preserve"> et al. </w:t>
      </w:r>
      <w:r w:rsidRPr="00ED7E48">
        <w:t xml:space="preserve">B cell maturation antigen-specific CAR T cells are clinically active in multiple myeloma. </w:t>
      </w:r>
      <w:r w:rsidRPr="00FE2B16">
        <w:rPr>
          <w:i/>
          <w:iCs/>
        </w:rPr>
        <w:t>J Clin Invest</w:t>
      </w:r>
      <w:r w:rsidRPr="00ED7E48">
        <w:t>. 2019;129(6):2210-2221. doi:10.1172/JCI126397</w:t>
      </w:r>
    </w:p>
    <w:p w14:paraId="6E47FFF2" w14:textId="1E6569AA" w:rsidR="00B91B3C" w:rsidRDefault="00B91B3C" w:rsidP="00FF0C1E">
      <w:pPr>
        <w:pStyle w:val="ReferenceList"/>
        <w:ind w:left="360"/>
        <w:jc w:val="both"/>
      </w:pPr>
      <w:r>
        <w:t xml:space="preserve">Wang D, Wang J, Hu G, et al. </w:t>
      </w:r>
      <w:r w:rsidRPr="00790A9F">
        <w:t>A phase 1 study of a novel fully human BCMA</w:t>
      </w:r>
      <w:r w:rsidR="00B539DA">
        <w:noBreakHyphen/>
      </w:r>
      <w:r w:rsidRPr="00790A9F">
        <w:t xml:space="preserve">targeting CAR (CT103A) in patients with relapsed/refractory multiple myeloma. </w:t>
      </w:r>
      <w:r w:rsidRPr="00FE2B16">
        <w:rPr>
          <w:i/>
          <w:iCs/>
        </w:rPr>
        <w:t>Blood</w:t>
      </w:r>
      <w:r w:rsidRPr="00790A9F">
        <w:t>. 2021;137(21):2890-2901. doi:10.1182/blood.2020008936</w:t>
      </w:r>
    </w:p>
    <w:p w14:paraId="5B32DD73" w14:textId="38426320" w:rsidR="00B91B3C" w:rsidRDefault="00B91B3C" w:rsidP="00FF0C1E">
      <w:pPr>
        <w:pStyle w:val="ReferenceList"/>
        <w:ind w:left="360"/>
        <w:jc w:val="both"/>
      </w:pPr>
      <w:r>
        <w:t xml:space="preserve">Li C, Cao W, Que Y, et al. </w:t>
      </w:r>
      <w:r w:rsidRPr="00790A9F">
        <w:t xml:space="preserve">A phase I study of anti-BCMA CAR T cell therapy in relapsed/refractory multiple myeloma and plasma cell leukemia. </w:t>
      </w:r>
      <w:r w:rsidRPr="00FE2B16">
        <w:rPr>
          <w:i/>
          <w:iCs/>
        </w:rPr>
        <w:t xml:space="preserve">Clin </w:t>
      </w:r>
      <w:proofErr w:type="spellStart"/>
      <w:r w:rsidRPr="00FE2B16">
        <w:rPr>
          <w:i/>
          <w:iCs/>
        </w:rPr>
        <w:t>Transl</w:t>
      </w:r>
      <w:proofErr w:type="spellEnd"/>
      <w:r w:rsidRPr="00FE2B16">
        <w:rPr>
          <w:i/>
          <w:iCs/>
        </w:rPr>
        <w:t xml:space="preserve"> Med</w:t>
      </w:r>
      <w:r w:rsidRPr="00790A9F">
        <w:t>. 2021;11(3</w:t>
      </w:r>
      <w:proofErr w:type="gramStart"/>
      <w:r w:rsidRPr="00790A9F">
        <w:t>):e</w:t>
      </w:r>
      <w:proofErr w:type="gramEnd"/>
      <w:r w:rsidRPr="00790A9F">
        <w:t>346. doi:10.1002/ctm2.346</w:t>
      </w:r>
    </w:p>
    <w:p w14:paraId="79598D45" w14:textId="4445D7AD" w:rsidR="00B91B3C" w:rsidRDefault="00B91B3C" w:rsidP="00FF0C1E">
      <w:pPr>
        <w:pStyle w:val="ReferenceList"/>
        <w:ind w:left="360"/>
        <w:jc w:val="both"/>
      </w:pPr>
      <w:proofErr w:type="spellStart"/>
      <w:r>
        <w:t>Bahlis</w:t>
      </w:r>
      <w:proofErr w:type="spellEnd"/>
      <w:r>
        <w:t xml:space="preserve"> NJ, Sutherland H, White D, et al. </w:t>
      </w:r>
      <w:r w:rsidRPr="00083B87">
        <w:t xml:space="preserve">Selinexor plus low-dose bortezomib and dexamethasone for patients with relapsed or refractory multiple myeloma. </w:t>
      </w:r>
      <w:r w:rsidRPr="00FE2B16">
        <w:rPr>
          <w:i/>
          <w:iCs/>
        </w:rPr>
        <w:t>Blood.</w:t>
      </w:r>
      <w:r w:rsidRPr="00083B87">
        <w:t xml:space="preserve"> 2018;132(24):2546-2554. doi:10.1182/blood-2018-06-858852</w:t>
      </w:r>
    </w:p>
    <w:p w14:paraId="7B8D98CF" w14:textId="466FDA7E" w:rsidR="00B91B3C" w:rsidRDefault="00B91B3C" w:rsidP="00FF0C1E">
      <w:pPr>
        <w:pStyle w:val="ReferenceList"/>
        <w:ind w:left="360"/>
        <w:jc w:val="both"/>
      </w:pPr>
      <w:r w:rsidRPr="00083B87">
        <w:t xml:space="preserve">Richter J, </w:t>
      </w:r>
      <w:proofErr w:type="spellStart"/>
      <w:r w:rsidRPr="00083B87">
        <w:t>Madduri</w:t>
      </w:r>
      <w:proofErr w:type="spellEnd"/>
      <w:r w:rsidRPr="00083B87">
        <w:t xml:space="preserve"> D, Richard S, Chari A. Selinexor in relapsed/refractory multiple myeloma. </w:t>
      </w:r>
      <w:proofErr w:type="spellStart"/>
      <w:r w:rsidRPr="00FE2B16">
        <w:rPr>
          <w:i/>
          <w:iCs/>
        </w:rPr>
        <w:t>Ther</w:t>
      </w:r>
      <w:proofErr w:type="spellEnd"/>
      <w:r w:rsidRPr="00FE2B16">
        <w:rPr>
          <w:i/>
          <w:iCs/>
        </w:rPr>
        <w:t xml:space="preserve"> Adv </w:t>
      </w:r>
      <w:proofErr w:type="spellStart"/>
      <w:r w:rsidRPr="00FE2B16">
        <w:rPr>
          <w:i/>
          <w:iCs/>
        </w:rPr>
        <w:t>Hematol</w:t>
      </w:r>
      <w:proofErr w:type="spellEnd"/>
      <w:r w:rsidRPr="00083B87">
        <w:t xml:space="preserve">. </w:t>
      </w:r>
      <w:proofErr w:type="gramStart"/>
      <w:r w:rsidRPr="00083B87">
        <w:t>2020;11:2040620720930629</w:t>
      </w:r>
      <w:proofErr w:type="gramEnd"/>
      <w:r w:rsidRPr="00083B87">
        <w:t>. doi:10.1177/2040620720930629</w:t>
      </w:r>
    </w:p>
    <w:p w14:paraId="022C2A13" w14:textId="4C1DFB06" w:rsidR="00B91B3C" w:rsidRDefault="00B91B3C" w:rsidP="00FF0C1E">
      <w:pPr>
        <w:pStyle w:val="ReferenceList"/>
        <w:ind w:left="360"/>
        <w:jc w:val="both"/>
      </w:pPr>
      <w:proofErr w:type="spellStart"/>
      <w:r>
        <w:t>Grosicki</w:t>
      </w:r>
      <w:proofErr w:type="spellEnd"/>
      <w:r>
        <w:t xml:space="preserve"> S, </w:t>
      </w:r>
      <w:proofErr w:type="spellStart"/>
      <w:r>
        <w:t>Simonova</w:t>
      </w:r>
      <w:proofErr w:type="spellEnd"/>
      <w:r>
        <w:t xml:space="preserve"> M, </w:t>
      </w:r>
      <w:proofErr w:type="spellStart"/>
      <w:r>
        <w:t>Spicka</w:t>
      </w:r>
      <w:proofErr w:type="spellEnd"/>
      <w:r>
        <w:t xml:space="preserve"> I, et al. </w:t>
      </w:r>
      <w:r w:rsidRPr="00083B87">
        <w:t xml:space="preserve">Once-per-week </w:t>
      </w:r>
      <w:proofErr w:type="spellStart"/>
      <w:r w:rsidRPr="00083B87">
        <w:t>selinexor</w:t>
      </w:r>
      <w:proofErr w:type="spellEnd"/>
      <w:r w:rsidRPr="00083B87">
        <w:t xml:space="preserve">, bortezomib, and dexamethasone versus twice-per-week bortezomib and dexamethasone in patients with multiple myeloma (BOSTON): a </w:t>
      </w:r>
      <w:proofErr w:type="spellStart"/>
      <w:r w:rsidRPr="00083B87">
        <w:t>randomised</w:t>
      </w:r>
      <w:proofErr w:type="spellEnd"/>
      <w:r w:rsidRPr="00083B87">
        <w:t xml:space="preserve">, open-label, phase 3 trial. </w:t>
      </w:r>
      <w:r w:rsidRPr="00FE2B16">
        <w:rPr>
          <w:i/>
          <w:iCs/>
        </w:rPr>
        <w:t>Lancet</w:t>
      </w:r>
      <w:r w:rsidRPr="00083B87">
        <w:t>. 2020;396(10262):1563-1573. doi:10.1016/S0140-6736(20)32292-3</w:t>
      </w:r>
    </w:p>
    <w:p w14:paraId="7356CB87" w14:textId="3533FA8F" w:rsidR="00B91B3C" w:rsidRDefault="00B91B3C" w:rsidP="00FF0C1E">
      <w:pPr>
        <w:pStyle w:val="ReferenceList"/>
        <w:ind w:left="360"/>
        <w:jc w:val="both"/>
      </w:pPr>
      <w:r w:rsidRPr="00272645">
        <w:lastRenderedPageBreak/>
        <w:t xml:space="preserve">Tyler PM, Servos MM, de Vries RC, et al. Clinical </w:t>
      </w:r>
      <w:r w:rsidR="00B539DA">
        <w:t>d</w:t>
      </w:r>
      <w:r w:rsidRPr="00272645">
        <w:t xml:space="preserve">osing </w:t>
      </w:r>
      <w:r w:rsidR="00B539DA">
        <w:t>r</w:t>
      </w:r>
      <w:r w:rsidRPr="00272645">
        <w:t xml:space="preserve">egimen of </w:t>
      </w:r>
      <w:proofErr w:type="spellStart"/>
      <w:r w:rsidR="00B539DA">
        <w:t>s</w:t>
      </w:r>
      <w:r w:rsidRPr="00272645">
        <w:t>elinexor</w:t>
      </w:r>
      <w:proofErr w:type="spellEnd"/>
      <w:r w:rsidRPr="00272645">
        <w:t xml:space="preserve"> </w:t>
      </w:r>
      <w:r w:rsidR="00B539DA">
        <w:t>m</w:t>
      </w:r>
      <w:r w:rsidRPr="00272645">
        <w:t xml:space="preserve">aintains </w:t>
      </w:r>
      <w:r w:rsidR="00B539DA">
        <w:t>n</w:t>
      </w:r>
      <w:r w:rsidRPr="00272645">
        <w:t xml:space="preserve">ormal </w:t>
      </w:r>
      <w:r w:rsidR="00B539DA">
        <w:t>i</w:t>
      </w:r>
      <w:r w:rsidRPr="00272645">
        <w:t xml:space="preserve">mmune </w:t>
      </w:r>
      <w:r w:rsidR="00B539DA">
        <w:t>h</w:t>
      </w:r>
      <w:r w:rsidRPr="00272645">
        <w:t xml:space="preserve">omeostasis and T-cell </w:t>
      </w:r>
      <w:r w:rsidR="00B539DA">
        <w:t>e</w:t>
      </w:r>
      <w:r w:rsidRPr="00272645">
        <w:t xml:space="preserve">ffector </w:t>
      </w:r>
      <w:r w:rsidR="00B539DA">
        <w:t>f</w:t>
      </w:r>
      <w:r w:rsidRPr="00272645">
        <w:t xml:space="preserve">unction in </w:t>
      </w:r>
      <w:r w:rsidR="00B539DA">
        <w:t>m</w:t>
      </w:r>
      <w:r w:rsidRPr="00272645">
        <w:t xml:space="preserve">ice: </w:t>
      </w:r>
      <w:r w:rsidR="00B539DA">
        <w:t>i</w:t>
      </w:r>
      <w:r w:rsidRPr="00272645">
        <w:t xml:space="preserve">mplications for </w:t>
      </w:r>
      <w:r w:rsidR="00B539DA">
        <w:t>c</w:t>
      </w:r>
      <w:r w:rsidRPr="00272645">
        <w:t xml:space="preserve">ombination with </w:t>
      </w:r>
      <w:r w:rsidR="00B539DA">
        <w:t>i</w:t>
      </w:r>
      <w:r w:rsidRPr="00272645">
        <w:t xml:space="preserve">mmunotherapy. </w:t>
      </w:r>
      <w:r w:rsidRPr="00FE2B16">
        <w:rPr>
          <w:i/>
          <w:iCs/>
        </w:rPr>
        <w:t xml:space="preserve">Mol Cancer </w:t>
      </w:r>
      <w:proofErr w:type="spellStart"/>
      <w:r w:rsidRPr="00FE2B16">
        <w:rPr>
          <w:i/>
          <w:iCs/>
        </w:rPr>
        <w:t>Ther</w:t>
      </w:r>
      <w:proofErr w:type="spellEnd"/>
      <w:r w:rsidRPr="00272645">
        <w:t xml:space="preserve">. 2017;16(3):428-439. </w:t>
      </w:r>
      <w:proofErr w:type="gramStart"/>
      <w:r w:rsidRPr="00272645">
        <w:t>doi:10.1158/1535-7163.MCT</w:t>
      </w:r>
      <w:proofErr w:type="gramEnd"/>
      <w:r w:rsidRPr="00272645">
        <w:t>-16-0496</w:t>
      </w:r>
    </w:p>
    <w:p w14:paraId="00BC7373" w14:textId="54A5035D" w:rsidR="00953CF9" w:rsidRPr="00272645" w:rsidRDefault="00953CF9" w:rsidP="00FF0C1E">
      <w:pPr>
        <w:pStyle w:val="ReferenceList"/>
        <w:ind w:left="360"/>
        <w:jc w:val="both"/>
      </w:pPr>
      <w:r w:rsidRPr="00953CF9">
        <w:t xml:space="preserve">Lee JT, Chiu AG. Topical anti-infective </w:t>
      </w:r>
      <w:proofErr w:type="spellStart"/>
      <w:r w:rsidRPr="00953CF9">
        <w:t>sinonasal</w:t>
      </w:r>
      <w:proofErr w:type="spellEnd"/>
      <w:r w:rsidRPr="00953CF9">
        <w:t xml:space="preserve"> irrigations: update and literature review. </w:t>
      </w:r>
      <w:r w:rsidRPr="00953CF9">
        <w:rPr>
          <w:i/>
          <w:iCs/>
        </w:rPr>
        <w:t xml:space="preserve">Am J </w:t>
      </w:r>
      <w:proofErr w:type="spellStart"/>
      <w:r w:rsidRPr="00953CF9">
        <w:rPr>
          <w:i/>
          <w:iCs/>
        </w:rPr>
        <w:t>Rhinol</w:t>
      </w:r>
      <w:proofErr w:type="spellEnd"/>
      <w:r w:rsidRPr="00953CF9">
        <w:rPr>
          <w:i/>
          <w:iCs/>
        </w:rPr>
        <w:t xml:space="preserve"> Allergy</w:t>
      </w:r>
      <w:r w:rsidRPr="00953CF9">
        <w:t>. 2014;28(1):29-38. doi:10.2500/ajra.2014.28.3988</w:t>
      </w:r>
    </w:p>
    <w:p w14:paraId="28FAC4C7" w14:textId="77777777" w:rsidR="00B91B3C" w:rsidRPr="004479E5" w:rsidRDefault="00B91B3C" w:rsidP="00FF0C1E">
      <w:pPr>
        <w:pStyle w:val="ReferenceList"/>
        <w:numPr>
          <w:ilvl w:val="0"/>
          <w:numId w:val="0"/>
        </w:numPr>
        <w:ind w:left="360"/>
        <w:jc w:val="both"/>
        <w:rPr>
          <w:highlight w:val="yellow"/>
        </w:rPr>
      </w:pPr>
    </w:p>
    <w:p w14:paraId="1D11F3A4" w14:textId="77777777" w:rsidR="0065494A" w:rsidRPr="00C820E8" w:rsidRDefault="0065494A" w:rsidP="00FF0C1E">
      <w:pPr>
        <w:pStyle w:val="Blankline"/>
        <w:jc w:val="both"/>
      </w:pPr>
    </w:p>
    <w:p w14:paraId="57236CE6" w14:textId="32A9DDD7" w:rsidR="00374E3F" w:rsidRDefault="23520827" w:rsidP="00FF0C1E">
      <w:pPr>
        <w:pStyle w:val="1"/>
        <w:jc w:val="both"/>
      </w:pPr>
      <w:bookmarkStart w:id="230" w:name="_Toc512249677"/>
      <w:bookmarkStart w:id="231" w:name="_Toc508198810"/>
      <w:bookmarkStart w:id="232" w:name="_Toc508201329"/>
      <w:bookmarkStart w:id="233" w:name="_Toc508713875"/>
      <w:bookmarkStart w:id="234" w:name="_Toc508714077"/>
      <w:bookmarkStart w:id="235" w:name="_Toc508723451"/>
      <w:bookmarkStart w:id="236" w:name="_Toc508723908"/>
      <w:bookmarkStart w:id="237" w:name="_Toc510615298"/>
      <w:bookmarkStart w:id="238" w:name="_Toc511728781"/>
      <w:bookmarkStart w:id="239" w:name="_Toc512249679"/>
      <w:bookmarkStart w:id="240" w:name="_Toc508198812"/>
      <w:bookmarkStart w:id="241" w:name="_Toc508201331"/>
      <w:bookmarkStart w:id="242" w:name="_Toc508713877"/>
      <w:bookmarkStart w:id="243" w:name="_Toc508714079"/>
      <w:bookmarkStart w:id="244" w:name="_Toc508723453"/>
      <w:bookmarkStart w:id="245" w:name="_Toc508723910"/>
      <w:bookmarkStart w:id="246" w:name="_Toc510615300"/>
      <w:bookmarkStart w:id="247" w:name="_Toc511728783"/>
      <w:bookmarkStart w:id="248" w:name="_Toc512249681"/>
      <w:bookmarkStart w:id="249" w:name="_Toc508198813"/>
      <w:bookmarkStart w:id="250" w:name="_Toc508201332"/>
      <w:bookmarkStart w:id="251" w:name="_Toc508713878"/>
      <w:bookmarkStart w:id="252" w:name="_Toc508714080"/>
      <w:bookmarkStart w:id="253" w:name="_Toc508723454"/>
      <w:bookmarkStart w:id="254" w:name="_Toc508723911"/>
      <w:bookmarkStart w:id="255" w:name="_Toc510615301"/>
      <w:bookmarkStart w:id="256" w:name="_Toc511728784"/>
      <w:bookmarkStart w:id="257" w:name="_Toc512249682"/>
      <w:bookmarkStart w:id="258" w:name="_Toc508198814"/>
      <w:bookmarkStart w:id="259" w:name="_Toc508201333"/>
      <w:bookmarkStart w:id="260" w:name="_Toc508713879"/>
      <w:bookmarkStart w:id="261" w:name="_Toc508714081"/>
      <w:bookmarkStart w:id="262" w:name="_Toc508723455"/>
      <w:bookmarkStart w:id="263" w:name="_Toc508723912"/>
      <w:bookmarkStart w:id="264" w:name="_Toc510615302"/>
      <w:bookmarkStart w:id="265" w:name="_Toc511728785"/>
      <w:bookmarkStart w:id="266" w:name="_Toc512249683"/>
      <w:bookmarkStart w:id="267" w:name="_Toc508198815"/>
      <w:bookmarkStart w:id="268" w:name="_Toc508201334"/>
      <w:bookmarkStart w:id="269" w:name="_Toc508713880"/>
      <w:bookmarkStart w:id="270" w:name="_Toc508714082"/>
      <w:bookmarkStart w:id="271" w:name="_Toc508723456"/>
      <w:bookmarkStart w:id="272" w:name="_Toc508723913"/>
      <w:bookmarkStart w:id="273" w:name="_Toc510615303"/>
      <w:bookmarkStart w:id="274" w:name="_Toc511728786"/>
      <w:bookmarkStart w:id="275" w:name="_Toc512249684"/>
      <w:bookmarkStart w:id="276" w:name="_Toc11206493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r>
        <w:lastRenderedPageBreak/>
        <w:t>APPENDICES</w:t>
      </w:r>
      <w:bookmarkEnd w:id="276"/>
    </w:p>
    <w:p w14:paraId="39B05A32" w14:textId="77777777" w:rsidR="00B37454" w:rsidRPr="00B37454" w:rsidRDefault="00B37454" w:rsidP="00FF0C1E">
      <w:pPr>
        <w:pStyle w:val="BodyText-12pt"/>
        <w:jc w:val="both"/>
        <w:rPr>
          <w:lang w:bidi="en-US"/>
        </w:rPr>
      </w:pPr>
    </w:p>
    <w:p w14:paraId="211CC552" w14:textId="7F296D5A" w:rsidR="004479E5" w:rsidRPr="004479E5" w:rsidRDefault="004479E5" w:rsidP="00FF0C1E">
      <w:pPr>
        <w:pStyle w:val="aff2"/>
        <w:spacing w:before="0" w:beforeAutospacing="0" w:after="0" w:afterAutospacing="0" w:line="360" w:lineRule="auto"/>
        <w:jc w:val="both"/>
        <w:outlineLvl w:val="1"/>
        <w:rPr>
          <w:rFonts w:ascii="Times New Roman" w:hAnsi="Times New Roman" w:cs="Times New Roman"/>
          <w:b/>
          <w:bCs/>
        </w:rPr>
      </w:pPr>
      <w:bookmarkStart w:id="277" w:name="app1"/>
      <w:r w:rsidRPr="004479E5">
        <w:rPr>
          <w:rFonts w:ascii="Times New Roman" w:hAnsi="Times New Roman" w:cs="Times New Roman"/>
          <w:b/>
          <w:bCs/>
        </w:rPr>
        <w:t>Appendix </w:t>
      </w:r>
      <w:r w:rsidRPr="004479E5">
        <w:rPr>
          <w:rFonts w:ascii="Times New Roman" w:hAnsi="Times New Roman" w:cs="Times New Roman"/>
          <w:b/>
          <w:bCs/>
          <w:color w:val="2B579A"/>
          <w:shd w:val="clear" w:color="auto" w:fill="E6E6E6"/>
        </w:rPr>
        <w:fldChar w:fldCharType="begin"/>
      </w:r>
      <w:r w:rsidRPr="004479E5">
        <w:rPr>
          <w:rFonts w:ascii="Times New Roman" w:hAnsi="Times New Roman" w:cs="Times New Roman"/>
          <w:b/>
          <w:bCs/>
        </w:rPr>
        <w:instrText>SEQ Appendix \* ARABIC</w:instrText>
      </w:r>
      <w:r w:rsidRPr="004479E5">
        <w:rPr>
          <w:rFonts w:ascii="Times New Roman" w:hAnsi="Times New Roman" w:cs="Times New Roman"/>
          <w:b/>
          <w:bCs/>
          <w:color w:val="2B579A"/>
          <w:shd w:val="clear" w:color="auto" w:fill="E6E6E6"/>
        </w:rPr>
        <w:fldChar w:fldCharType="separate"/>
      </w:r>
      <w:r w:rsidRPr="004479E5">
        <w:rPr>
          <w:rFonts w:ascii="Times New Roman" w:hAnsi="Times New Roman" w:cs="Times New Roman"/>
          <w:b/>
          <w:bCs/>
          <w:noProof/>
        </w:rPr>
        <w:t>1</w:t>
      </w:r>
      <w:r w:rsidRPr="004479E5">
        <w:rPr>
          <w:rFonts w:ascii="Times New Roman" w:hAnsi="Times New Roman" w:cs="Times New Roman"/>
          <w:b/>
          <w:bCs/>
          <w:color w:val="2B579A"/>
          <w:shd w:val="clear" w:color="auto" w:fill="E6E6E6"/>
        </w:rPr>
        <w:fldChar w:fldCharType="end"/>
      </w:r>
      <w:bookmarkEnd w:id="277"/>
      <w:r w:rsidRPr="004479E5">
        <w:rPr>
          <w:rFonts w:ascii="Times New Roman" w:hAnsi="Times New Roman" w:cs="Times New Roman"/>
          <w:b/>
          <w:bCs/>
        </w:rPr>
        <w:t>.</w:t>
      </w:r>
      <w:r w:rsidRPr="004479E5">
        <w:rPr>
          <w:rFonts w:ascii="Times New Roman" w:hAnsi="Times New Roman" w:cs="Times New Roman"/>
          <w:b/>
          <w:bCs/>
        </w:rPr>
        <w:tab/>
      </w:r>
      <w:r w:rsidR="00AF092A" w:rsidRPr="00AF092A">
        <w:rPr>
          <w:rFonts w:ascii="Times New Roman" w:hAnsi="Times New Roman" w:cs="Times New Roman"/>
          <w:b/>
          <w:bCs/>
        </w:rPr>
        <w:t>Eastern Cooperative Oncology Group</w:t>
      </w:r>
      <w:r w:rsidRPr="004479E5">
        <w:rPr>
          <w:rFonts w:ascii="Times New Roman" w:hAnsi="Times New Roman" w:cs="Times New Roman"/>
          <w:b/>
          <w:bCs/>
        </w:rPr>
        <w:t xml:space="preserve"> Performance Status Scale</w:t>
      </w:r>
    </w:p>
    <w:p w14:paraId="67CA9B73" w14:textId="77777777" w:rsidR="004479E5" w:rsidRDefault="004479E5" w:rsidP="00FF0C1E">
      <w:pPr>
        <w:pStyle w:val="aff2"/>
        <w:spacing w:before="0" w:beforeAutospacing="0" w:after="0" w:afterAutospacing="0" w:line="360" w:lineRule="auto"/>
        <w:jc w:val="both"/>
        <w:rPr>
          <w:rFonts w:ascii="Times New Roman" w:hAnsi="Times New Roman" w:cs="Times New Roman"/>
        </w:rPr>
      </w:pPr>
    </w:p>
    <w:tbl>
      <w:tblPr>
        <w:tblStyle w:val="210"/>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9"/>
        <w:gridCol w:w="7160"/>
      </w:tblGrid>
      <w:tr w:rsidR="004479E5" w14:paraId="3503E128" w14:textId="77777777" w:rsidTr="00F31A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dxa"/>
            <w:tcBorders>
              <w:top w:val="single" w:sz="4" w:space="0" w:color="auto"/>
              <w:bottom w:val="single" w:sz="4" w:space="0" w:color="auto"/>
            </w:tcBorders>
            <w:vAlign w:val="center"/>
          </w:tcPr>
          <w:p w14:paraId="280B4106" w14:textId="2349DDE3" w:rsidR="004479E5" w:rsidRDefault="00AF092A" w:rsidP="00FF0C1E">
            <w:pPr>
              <w:pStyle w:val="aff2"/>
              <w:spacing w:before="0" w:beforeAutospacing="0" w:after="0" w:afterAutospacing="0"/>
              <w:jc w:val="both"/>
              <w:rPr>
                <w:rFonts w:ascii="Times New Roman" w:hAnsi="Times New Roman" w:cs="Times New Roman"/>
                <w:b w:val="0"/>
                <w:bCs w:val="0"/>
              </w:rPr>
            </w:pPr>
            <w:r>
              <w:rPr>
                <w:rFonts w:ascii="Times New Roman" w:hAnsi="Times New Roman" w:cs="Times New Roman"/>
              </w:rPr>
              <w:t>Grade</w:t>
            </w:r>
          </w:p>
        </w:tc>
        <w:tc>
          <w:tcPr>
            <w:tcW w:w="7160" w:type="dxa"/>
            <w:tcBorders>
              <w:top w:val="single" w:sz="4" w:space="0" w:color="auto"/>
              <w:left w:val="single" w:sz="4" w:space="0" w:color="auto"/>
              <w:bottom w:val="single" w:sz="4" w:space="0" w:color="auto"/>
              <w:right w:val="single" w:sz="4" w:space="0" w:color="auto"/>
            </w:tcBorders>
            <w:vAlign w:val="center"/>
          </w:tcPr>
          <w:p w14:paraId="52CA469D" w14:textId="63D221E8" w:rsidR="004479E5" w:rsidRDefault="00AF092A" w:rsidP="00FF0C1E">
            <w:pPr>
              <w:pStyle w:val="aff2"/>
              <w:spacing w:before="0" w:beforeAutospacing="0" w:after="0" w:afterAutospacing="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Pr>
                <w:rFonts w:ascii="Times New Roman" w:hAnsi="Times New Roman" w:cs="Times New Roman"/>
              </w:rPr>
              <w:t>ECOG Performance Status</w:t>
            </w:r>
          </w:p>
        </w:tc>
      </w:tr>
      <w:tr w:rsidR="004479E5" w14:paraId="003BB787" w14:textId="77777777" w:rsidTr="00F31A05">
        <w:tc>
          <w:tcPr>
            <w:cnfStyle w:val="001000000000" w:firstRow="0" w:lastRow="0" w:firstColumn="1" w:lastColumn="0" w:oddVBand="0" w:evenVBand="0" w:oddHBand="0" w:evenHBand="0" w:firstRowFirstColumn="0" w:firstRowLastColumn="0" w:lastRowFirstColumn="0" w:lastRowLastColumn="0"/>
            <w:tcW w:w="1199" w:type="dxa"/>
            <w:tcBorders>
              <w:top w:val="single" w:sz="4" w:space="0" w:color="auto"/>
            </w:tcBorders>
            <w:vAlign w:val="center"/>
          </w:tcPr>
          <w:p w14:paraId="70E1997D" w14:textId="77777777" w:rsidR="004479E5" w:rsidRDefault="004479E5" w:rsidP="00FF0C1E">
            <w:pPr>
              <w:snapToGrid w:val="0"/>
              <w:spacing w:after="0"/>
              <w:jc w:val="both"/>
              <w:rPr>
                <w:b w:val="0"/>
                <w:bCs w:val="0"/>
              </w:rPr>
            </w:pPr>
            <w:r>
              <w:rPr>
                <w:b w:val="0"/>
                <w:bCs w:val="0"/>
              </w:rPr>
              <w:t>0</w:t>
            </w:r>
          </w:p>
        </w:tc>
        <w:tc>
          <w:tcPr>
            <w:tcW w:w="7160" w:type="dxa"/>
            <w:tcBorders>
              <w:top w:val="single" w:sz="4" w:space="0" w:color="auto"/>
            </w:tcBorders>
            <w:vAlign w:val="center"/>
          </w:tcPr>
          <w:p w14:paraId="19CA4813" w14:textId="77777777" w:rsidR="004479E5" w:rsidRDefault="004479E5" w:rsidP="00FF0C1E">
            <w:pPr>
              <w:pStyle w:val="aff2"/>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Fully active, able to carry on all pre-disease performance without restriction</w:t>
            </w:r>
          </w:p>
        </w:tc>
      </w:tr>
      <w:tr w:rsidR="004479E5" w14:paraId="3EBBC061" w14:textId="77777777" w:rsidTr="00F31A05">
        <w:tc>
          <w:tcPr>
            <w:cnfStyle w:val="001000000000" w:firstRow="0" w:lastRow="0" w:firstColumn="1" w:lastColumn="0" w:oddVBand="0" w:evenVBand="0" w:oddHBand="0" w:evenHBand="0" w:firstRowFirstColumn="0" w:firstRowLastColumn="0" w:lastRowFirstColumn="0" w:lastRowLastColumn="0"/>
            <w:tcW w:w="1199" w:type="dxa"/>
            <w:vAlign w:val="center"/>
          </w:tcPr>
          <w:p w14:paraId="0DFC797B" w14:textId="77777777" w:rsidR="004479E5" w:rsidRDefault="004479E5" w:rsidP="00FF0C1E">
            <w:pPr>
              <w:snapToGrid w:val="0"/>
              <w:spacing w:after="0"/>
              <w:jc w:val="both"/>
              <w:rPr>
                <w:b w:val="0"/>
                <w:bCs w:val="0"/>
              </w:rPr>
            </w:pPr>
            <w:r>
              <w:rPr>
                <w:b w:val="0"/>
                <w:bCs w:val="0"/>
              </w:rPr>
              <w:t>1</w:t>
            </w:r>
          </w:p>
        </w:tc>
        <w:tc>
          <w:tcPr>
            <w:tcW w:w="7160" w:type="dxa"/>
            <w:vAlign w:val="center"/>
          </w:tcPr>
          <w:p w14:paraId="29CD2972" w14:textId="41A91B42" w:rsidR="004479E5" w:rsidRDefault="004479E5" w:rsidP="00FF0C1E">
            <w:pPr>
              <w:pStyle w:val="aff2"/>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Restricted in physically strenuous activity but a</w:t>
            </w:r>
            <w:r w:rsidR="00AF092A">
              <w:rPr>
                <w:rFonts w:ascii="Times New Roman" w:hAnsi="Times New Roman" w:cs="Times New Roman"/>
              </w:rPr>
              <w:t>m</w:t>
            </w:r>
            <w:r>
              <w:rPr>
                <w:rFonts w:ascii="Times New Roman" w:hAnsi="Times New Roman" w:cs="Times New Roman"/>
              </w:rPr>
              <w:t>bulatory and able to carry out work of a light or sedentary nature, e</w:t>
            </w:r>
            <w:r w:rsidR="00713120">
              <w:rPr>
                <w:rFonts w:ascii="Times New Roman" w:hAnsi="Times New Roman" w:cs="Times New Roman"/>
              </w:rPr>
              <w:t>.g.</w:t>
            </w:r>
            <w:r>
              <w:rPr>
                <w:rFonts w:ascii="Times New Roman" w:hAnsi="Times New Roman" w:cs="Times New Roman"/>
              </w:rPr>
              <w:t>, light housework, office work</w:t>
            </w:r>
          </w:p>
        </w:tc>
      </w:tr>
      <w:tr w:rsidR="004479E5" w14:paraId="5BFDA98F" w14:textId="77777777" w:rsidTr="00F31A05">
        <w:tc>
          <w:tcPr>
            <w:cnfStyle w:val="001000000000" w:firstRow="0" w:lastRow="0" w:firstColumn="1" w:lastColumn="0" w:oddVBand="0" w:evenVBand="0" w:oddHBand="0" w:evenHBand="0" w:firstRowFirstColumn="0" w:firstRowLastColumn="0" w:lastRowFirstColumn="0" w:lastRowLastColumn="0"/>
            <w:tcW w:w="1199" w:type="dxa"/>
            <w:vAlign w:val="center"/>
          </w:tcPr>
          <w:p w14:paraId="43D01D9C" w14:textId="77777777" w:rsidR="004479E5" w:rsidRDefault="004479E5" w:rsidP="00FF0C1E">
            <w:pPr>
              <w:snapToGrid w:val="0"/>
              <w:spacing w:after="0"/>
              <w:jc w:val="both"/>
              <w:rPr>
                <w:b w:val="0"/>
                <w:bCs w:val="0"/>
              </w:rPr>
            </w:pPr>
            <w:r>
              <w:rPr>
                <w:b w:val="0"/>
                <w:bCs w:val="0"/>
              </w:rPr>
              <w:t>2</w:t>
            </w:r>
          </w:p>
        </w:tc>
        <w:tc>
          <w:tcPr>
            <w:tcW w:w="7160" w:type="dxa"/>
            <w:vAlign w:val="center"/>
          </w:tcPr>
          <w:p w14:paraId="220CB161" w14:textId="25D2439C" w:rsidR="004479E5" w:rsidRDefault="004479E5" w:rsidP="00FF0C1E">
            <w:pPr>
              <w:pStyle w:val="aff2"/>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Ambulatory and capable of all self</w:t>
            </w:r>
            <w:r w:rsidR="00713120">
              <w:rPr>
                <w:rFonts w:ascii="Times New Roman" w:hAnsi="Times New Roman" w:cs="Times New Roman"/>
              </w:rPr>
              <w:t>-</w:t>
            </w:r>
            <w:r>
              <w:rPr>
                <w:rFonts w:ascii="Times New Roman" w:hAnsi="Times New Roman" w:cs="Times New Roman"/>
              </w:rPr>
              <w:t>care but unable to carry out any work activities; up and about more than 50% of waking hours</w:t>
            </w:r>
          </w:p>
        </w:tc>
      </w:tr>
      <w:tr w:rsidR="004479E5" w14:paraId="453E0A5A" w14:textId="77777777" w:rsidTr="00F31A05">
        <w:tc>
          <w:tcPr>
            <w:cnfStyle w:val="001000000000" w:firstRow="0" w:lastRow="0" w:firstColumn="1" w:lastColumn="0" w:oddVBand="0" w:evenVBand="0" w:oddHBand="0" w:evenHBand="0" w:firstRowFirstColumn="0" w:firstRowLastColumn="0" w:lastRowFirstColumn="0" w:lastRowLastColumn="0"/>
            <w:tcW w:w="1199" w:type="dxa"/>
            <w:vAlign w:val="center"/>
          </w:tcPr>
          <w:p w14:paraId="2D5EAC31" w14:textId="77777777" w:rsidR="004479E5" w:rsidRDefault="004479E5" w:rsidP="00FF0C1E">
            <w:pPr>
              <w:snapToGrid w:val="0"/>
              <w:spacing w:after="0"/>
              <w:jc w:val="both"/>
              <w:rPr>
                <w:b w:val="0"/>
                <w:bCs w:val="0"/>
              </w:rPr>
            </w:pPr>
            <w:r>
              <w:rPr>
                <w:b w:val="0"/>
                <w:bCs w:val="0"/>
              </w:rPr>
              <w:t>3</w:t>
            </w:r>
          </w:p>
        </w:tc>
        <w:tc>
          <w:tcPr>
            <w:tcW w:w="7160" w:type="dxa"/>
            <w:vAlign w:val="center"/>
          </w:tcPr>
          <w:p w14:paraId="24009417" w14:textId="0E7876B1" w:rsidR="004479E5" w:rsidRDefault="004479E5" w:rsidP="00FF0C1E">
            <w:pPr>
              <w:pStyle w:val="aff2"/>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Capable of only limited self</w:t>
            </w:r>
            <w:r w:rsidR="00713120">
              <w:rPr>
                <w:rFonts w:ascii="Times New Roman" w:hAnsi="Times New Roman" w:cs="Times New Roman"/>
              </w:rPr>
              <w:t>-</w:t>
            </w:r>
            <w:r>
              <w:rPr>
                <w:rFonts w:ascii="Times New Roman" w:hAnsi="Times New Roman" w:cs="Times New Roman"/>
              </w:rPr>
              <w:t>care; confined to bed or chair more than 50% of waking hours</w:t>
            </w:r>
          </w:p>
        </w:tc>
      </w:tr>
      <w:tr w:rsidR="004479E5" w14:paraId="5D002CD6" w14:textId="77777777" w:rsidTr="00F31A05">
        <w:tc>
          <w:tcPr>
            <w:cnfStyle w:val="001000000000" w:firstRow="0" w:lastRow="0" w:firstColumn="1" w:lastColumn="0" w:oddVBand="0" w:evenVBand="0" w:oddHBand="0" w:evenHBand="0" w:firstRowFirstColumn="0" w:firstRowLastColumn="0" w:lastRowFirstColumn="0" w:lastRowLastColumn="0"/>
            <w:tcW w:w="1199" w:type="dxa"/>
            <w:vAlign w:val="center"/>
          </w:tcPr>
          <w:p w14:paraId="781FE9EC" w14:textId="77777777" w:rsidR="004479E5" w:rsidRDefault="004479E5" w:rsidP="00FF0C1E">
            <w:pPr>
              <w:snapToGrid w:val="0"/>
              <w:spacing w:after="0"/>
              <w:jc w:val="both"/>
              <w:rPr>
                <w:b w:val="0"/>
                <w:bCs w:val="0"/>
              </w:rPr>
            </w:pPr>
            <w:r>
              <w:rPr>
                <w:b w:val="0"/>
                <w:bCs w:val="0"/>
              </w:rPr>
              <w:t>4</w:t>
            </w:r>
          </w:p>
        </w:tc>
        <w:tc>
          <w:tcPr>
            <w:tcW w:w="7160" w:type="dxa"/>
            <w:vAlign w:val="center"/>
          </w:tcPr>
          <w:p w14:paraId="7B5DEAA8" w14:textId="3E6E0E90" w:rsidR="004479E5" w:rsidRDefault="004479E5" w:rsidP="00FF0C1E">
            <w:pPr>
              <w:pStyle w:val="aff2"/>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Completely disabled; cannot carry on any self</w:t>
            </w:r>
            <w:r w:rsidR="00713120">
              <w:rPr>
                <w:rFonts w:ascii="Times New Roman" w:hAnsi="Times New Roman" w:cs="Times New Roman"/>
              </w:rPr>
              <w:t>-</w:t>
            </w:r>
            <w:r>
              <w:rPr>
                <w:rFonts w:ascii="Times New Roman" w:hAnsi="Times New Roman" w:cs="Times New Roman"/>
              </w:rPr>
              <w:t>care; totally confined to bed or chair</w:t>
            </w:r>
          </w:p>
        </w:tc>
      </w:tr>
      <w:tr w:rsidR="004479E5" w14:paraId="0F456B54" w14:textId="77777777" w:rsidTr="00F31A05">
        <w:tc>
          <w:tcPr>
            <w:cnfStyle w:val="001000000000" w:firstRow="0" w:lastRow="0" w:firstColumn="1" w:lastColumn="0" w:oddVBand="0" w:evenVBand="0" w:oddHBand="0" w:evenHBand="0" w:firstRowFirstColumn="0" w:firstRowLastColumn="0" w:lastRowFirstColumn="0" w:lastRowLastColumn="0"/>
            <w:tcW w:w="1199" w:type="dxa"/>
            <w:vAlign w:val="center"/>
          </w:tcPr>
          <w:p w14:paraId="6AC4E6AE" w14:textId="77777777" w:rsidR="004479E5" w:rsidRDefault="004479E5" w:rsidP="00FF0C1E">
            <w:pPr>
              <w:snapToGrid w:val="0"/>
              <w:spacing w:after="0"/>
              <w:jc w:val="both"/>
              <w:rPr>
                <w:b w:val="0"/>
                <w:bCs w:val="0"/>
              </w:rPr>
            </w:pPr>
            <w:r>
              <w:rPr>
                <w:b w:val="0"/>
                <w:bCs w:val="0"/>
              </w:rPr>
              <w:t>5</w:t>
            </w:r>
          </w:p>
        </w:tc>
        <w:tc>
          <w:tcPr>
            <w:tcW w:w="7160" w:type="dxa"/>
            <w:vAlign w:val="center"/>
          </w:tcPr>
          <w:p w14:paraId="1ED2925B" w14:textId="77777777" w:rsidR="004479E5" w:rsidRDefault="004479E5" w:rsidP="00FF0C1E">
            <w:pPr>
              <w:pStyle w:val="aff2"/>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Dead</w:t>
            </w:r>
          </w:p>
        </w:tc>
      </w:tr>
    </w:tbl>
    <w:p w14:paraId="753326D1" w14:textId="77777777" w:rsidR="004479E5" w:rsidRDefault="004479E5" w:rsidP="00FF0C1E">
      <w:pPr>
        <w:spacing w:line="360" w:lineRule="auto"/>
        <w:jc w:val="both"/>
      </w:pPr>
    </w:p>
    <w:p w14:paraId="46650DB2" w14:textId="63DF3C83" w:rsidR="004479E5" w:rsidRDefault="00AF092A" w:rsidP="00FF0C1E">
      <w:pPr>
        <w:spacing w:after="0" w:line="240" w:lineRule="auto"/>
        <w:jc w:val="both"/>
        <w:sectPr w:rsidR="004479E5">
          <w:footerReference w:type="default" r:id="rId17"/>
          <w:pgSz w:w="11907" w:h="16840"/>
          <w:pgMar w:top="1440" w:right="1701" w:bottom="1440" w:left="1797" w:header="851" w:footer="992" w:gutter="0"/>
          <w:cols w:space="720"/>
          <w:docGrid w:linePitch="326"/>
        </w:sectPr>
      </w:pPr>
      <w:proofErr w:type="spellStart"/>
      <w:r>
        <w:t>O</w:t>
      </w:r>
      <w:r w:rsidR="004479E5">
        <w:t>ken</w:t>
      </w:r>
      <w:proofErr w:type="spellEnd"/>
      <w:r w:rsidR="004479E5">
        <w:t xml:space="preserve"> M</w:t>
      </w:r>
      <w:r>
        <w:t>M</w:t>
      </w:r>
      <w:r w:rsidR="004479E5">
        <w:t>, Creech R</w:t>
      </w:r>
      <w:r>
        <w:t>H</w:t>
      </w:r>
      <w:r w:rsidR="004479E5">
        <w:t xml:space="preserve">, </w:t>
      </w:r>
      <w:proofErr w:type="spellStart"/>
      <w:r w:rsidR="004479E5">
        <w:t>Tormey</w:t>
      </w:r>
      <w:proofErr w:type="spellEnd"/>
      <w:r w:rsidR="004479E5">
        <w:t xml:space="preserve"> D</w:t>
      </w:r>
      <w:r>
        <w:t>C</w:t>
      </w:r>
      <w:r w:rsidR="004479E5">
        <w:t xml:space="preserve">, et al. Toxicity and response criteria of the </w:t>
      </w:r>
      <w:bookmarkStart w:id="278" w:name="_Hlk111915639"/>
      <w:r w:rsidR="004479E5">
        <w:t>Eastern Cooperative Oncology Group</w:t>
      </w:r>
      <w:bookmarkEnd w:id="278"/>
      <w:r w:rsidR="004479E5">
        <w:t xml:space="preserve">. Am J Clin Oncol. </w:t>
      </w:r>
      <w:proofErr w:type="gramStart"/>
      <w:r w:rsidR="004479E5">
        <w:t>1982;5:649</w:t>
      </w:r>
      <w:proofErr w:type="gramEnd"/>
      <w:r w:rsidR="004479E5">
        <w:t>-655</w:t>
      </w:r>
    </w:p>
    <w:p w14:paraId="6FDE15CC" w14:textId="208E8BE8" w:rsidR="004E14F7" w:rsidRPr="00B77038" w:rsidRDefault="004E14F7" w:rsidP="00FF0C1E">
      <w:pPr>
        <w:pStyle w:val="aff2"/>
        <w:spacing w:before="0" w:beforeAutospacing="0" w:after="0" w:afterAutospacing="0" w:line="360" w:lineRule="auto"/>
        <w:jc w:val="both"/>
        <w:outlineLvl w:val="1"/>
        <w:rPr>
          <w:rFonts w:ascii="Times New Roman" w:hAnsi="Times New Roman" w:cs="Times New Roman"/>
          <w:b/>
          <w:bCs/>
        </w:rPr>
      </w:pPr>
      <w:bookmarkStart w:id="279" w:name="app2"/>
      <w:r w:rsidRPr="004479E5">
        <w:rPr>
          <w:rFonts w:ascii="Times New Roman" w:hAnsi="Times New Roman" w:cs="Times New Roman"/>
          <w:b/>
          <w:bCs/>
        </w:rPr>
        <w:lastRenderedPageBreak/>
        <w:t>Appendix </w:t>
      </w:r>
      <w:r w:rsidRPr="00B77038">
        <w:rPr>
          <w:rFonts w:ascii="Times New Roman" w:hAnsi="Times New Roman" w:cs="Times New Roman"/>
          <w:b/>
          <w:bCs/>
        </w:rPr>
        <w:fldChar w:fldCharType="begin"/>
      </w:r>
      <w:r w:rsidRPr="004479E5">
        <w:rPr>
          <w:rFonts w:ascii="Times New Roman" w:hAnsi="Times New Roman" w:cs="Times New Roman"/>
          <w:b/>
          <w:bCs/>
        </w:rPr>
        <w:instrText>SEQ Appendix \* ARABIC</w:instrText>
      </w:r>
      <w:r w:rsidRPr="00B77038">
        <w:rPr>
          <w:rFonts w:ascii="Times New Roman" w:hAnsi="Times New Roman" w:cs="Times New Roman"/>
          <w:b/>
          <w:bCs/>
        </w:rPr>
        <w:fldChar w:fldCharType="separate"/>
      </w:r>
      <w:r>
        <w:rPr>
          <w:rFonts w:ascii="Times New Roman" w:hAnsi="Times New Roman" w:cs="Times New Roman"/>
          <w:b/>
          <w:bCs/>
          <w:noProof/>
        </w:rPr>
        <w:t>2</w:t>
      </w:r>
      <w:r w:rsidRPr="00B77038">
        <w:rPr>
          <w:rFonts w:ascii="Times New Roman" w:hAnsi="Times New Roman" w:cs="Times New Roman"/>
          <w:b/>
          <w:bCs/>
        </w:rPr>
        <w:fldChar w:fldCharType="end"/>
      </w:r>
      <w:bookmarkEnd w:id="279"/>
      <w:r w:rsidRPr="00B77038">
        <w:rPr>
          <w:rFonts w:ascii="Times New Roman" w:hAnsi="Times New Roman" w:cs="Times New Roman"/>
          <w:b/>
          <w:bCs/>
        </w:rPr>
        <w:t xml:space="preserve">. </w:t>
      </w:r>
      <w:r w:rsidRPr="00437348">
        <w:rPr>
          <w:rFonts w:ascii="Times New Roman" w:hAnsi="Times New Roman" w:cs="Times New Roman"/>
          <w:b/>
          <w:bCs/>
        </w:rPr>
        <w:t>Recommendations of CRS Management</w:t>
      </w:r>
    </w:p>
    <w:p w14:paraId="35F7370F" w14:textId="77777777" w:rsidR="004E14F7" w:rsidRPr="00437348" w:rsidRDefault="004E14F7" w:rsidP="00FF0C1E">
      <w:pPr>
        <w:jc w:val="both"/>
      </w:pPr>
    </w:p>
    <w:tbl>
      <w:tblPr>
        <w:tblStyle w:val="ab"/>
        <w:tblW w:w="0" w:type="auto"/>
        <w:jc w:val="center"/>
        <w:tblLook w:val="04A0" w:firstRow="1" w:lastRow="0" w:firstColumn="1" w:lastColumn="0" w:noHBand="0" w:noVBand="1"/>
      </w:tblPr>
      <w:tblGrid>
        <w:gridCol w:w="1430"/>
        <w:gridCol w:w="2166"/>
        <w:gridCol w:w="2007"/>
        <w:gridCol w:w="2796"/>
      </w:tblGrid>
      <w:tr w:rsidR="004E14F7" w:rsidRPr="002201AB" w14:paraId="78E10943" w14:textId="77777777" w:rsidTr="00F31A05">
        <w:trPr>
          <w:jc w:val="center"/>
        </w:trPr>
        <w:tc>
          <w:tcPr>
            <w:tcW w:w="1430" w:type="dxa"/>
          </w:tcPr>
          <w:p w14:paraId="68080F57" w14:textId="77777777" w:rsidR="004E14F7" w:rsidRPr="002201AB" w:rsidRDefault="004E14F7" w:rsidP="00FF0C1E">
            <w:pPr>
              <w:spacing w:after="0"/>
              <w:jc w:val="both"/>
              <w:rPr>
                <w:b/>
                <w:bCs/>
                <w:sz w:val="21"/>
                <w:szCs w:val="21"/>
                <w:lang w:eastAsia="zh-CN"/>
              </w:rPr>
            </w:pPr>
            <w:r w:rsidRPr="002201AB">
              <w:rPr>
                <w:rFonts w:hAnsiTheme="minorHAnsi" w:hint="eastAsia"/>
                <w:b/>
                <w:bCs/>
                <w:sz w:val="21"/>
                <w:szCs w:val="21"/>
                <w:lang w:eastAsia="zh-CN" w:bidi="ar-SA"/>
              </w:rPr>
              <w:t xml:space="preserve">CRS </w:t>
            </w:r>
            <w:r w:rsidRPr="002201AB">
              <w:rPr>
                <w:rFonts w:hAnsiTheme="minorHAnsi"/>
                <w:b/>
                <w:bCs/>
                <w:sz w:val="21"/>
                <w:szCs w:val="21"/>
                <w:lang w:eastAsia="zh-CN" w:bidi="ar-SA"/>
              </w:rPr>
              <w:t>C</w:t>
            </w:r>
            <w:r w:rsidRPr="002201AB">
              <w:rPr>
                <w:rFonts w:hAnsiTheme="minorHAnsi" w:hint="eastAsia"/>
                <w:b/>
                <w:bCs/>
                <w:sz w:val="21"/>
                <w:szCs w:val="21"/>
                <w:lang w:eastAsia="zh-CN" w:bidi="ar-SA"/>
              </w:rPr>
              <w:t>lassification</w:t>
            </w:r>
          </w:p>
        </w:tc>
        <w:tc>
          <w:tcPr>
            <w:tcW w:w="2201" w:type="dxa"/>
          </w:tcPr>
          <w:p w14:paraId="18417518" w14:textId="77777777" w:rsidR="004E14F7" w:rsidRPr="002201AB" w:rsidRDefault="004E14F7" w:rsidP="00FF0C1E">
            <w:pPr>
              <w:spacing w:after="0"/>
              <w:jc w:val="both"/>
              <w:rPr>
                <w:b/>
                <w:bCs/>
                <w:sz w:val="21"/>
                <w:szCs w:val="21"/>
                <w:lang w:eastAsia="zh-CN"/>
              </w:rPr>
            </w:pPr>
            <w:r w:rsidRPr="002201AB">
              <w:rPr>
                <w:rFonts w:hAnsiTheme="minorHAnsi" w:hint="eastAsia"/>
                <w:b/>
                <w:bCs/>
                <w:sz w:val="21"/>
                <w:szCs w:val="21"/>
                <w:lang w:eastAsia="zh-CN" w:bidi="ar-SA"/>
              </w:rPr>
              <w:t xml:space="preserve">Anti-IL-6 </w:t>
            </w:r>
            <w:r w:rsidRPr="002201AB">
              <w:rPr>
                <w:rFonts w:hAnsiTheme="minorHAnsi"/>
                <w:b/>
                <w:bCs/>
                <w:sz w:val="21"/>
                <w:szCs w:val="21"/>
                <w:lang w:eastAsia="zh-CN" w:bidi="ar-SA"/>
              </w:rPr>
              <w:t>T</w:t>
            </w:r>
            <w:r w:rsidRPr="002201AB">
              <w:rPr>
                <w:rFonts w:hAnsiTheme="minorHAnsi" w:hint="eastAsia"/>
                <w:b/>
                <w:bCs/>
                <w:sz w:val="21"/>
                <w:szCs w:val="21"/>
                <w:lang w:eastAsia="zh-CN" w:bidi="ar-SA"/>
              </w:rPr>
              <w:t>herapy</w:t>
            </w:r>
          </w:p>
        </w:tc>
        <w:tc>
          <w:tcPr>
            <w:tcW w:w="1931" w:type="dxa"/>
          </w:tcPr>
          <w:p w14:paraId="2235D032" w14:textId="77777777" w:rsidR="004E14F7" w:rsidRPr="002201AB" w:rsidRDefault="004E14F7" w:rsidP="00FF0C1E">
            <w:pPr>
              <w:spacing w:after="0"/>
              <w:jc w:val="both"/>
              <w:rPr>
                <w:b/>
                <w:bCs/>
                <w:sz w:val="21"/>
                <w:szCs w:val="21"/>
                <w:lang w:eastAsia="zh-CN"/>
              </w:rPr>
            </w:pPr>
            <w:r w:rsidRPr="002201AB">
              <w:rPr>
                <w:rFonts w:hAnsiTheme="minorHAnsi" w:hint="eastAsia"/>
                <w:b/>
                <w:bCs/>
                <w:sz w:val="21"/>
                <w:szCs w:val="21"/>
                <w:lang w:eastAsia="zh-CN" w:bidi="ar-SA"/>
              </w:rPr>
              <w:t xml:space="preserve">Steroid </w:t>
            </w:r>
            <w:r w:rsidRPr="002201AB">
              <w:rPr>
                <w:rFonts w:hAnsiTheme="minorHAnsi"/>
                <w:b/>
                <w:bCs/>
                <w:sz w:val="21"/>
                <w:szCs w:val="21"/>
                <w:lang w:eastAsia="zh-CN" w:bidi="ar-SA"/>
              </w:rPr>
              <w:t>H</w:t>
            </w:r>
            <w:r w:rsidRPr="002201AB">
              <w:rPr>
                <w:rFonts w:hAnsiTheme="minorHAnsi" w:hint="eastAsia"/>
                <w:b/>
                <w:bCs/>
                <w:sz w:val="21"/>
                <w:szCs w:val="21"/>
                <w:lang w:eastAsia="zh-CN" w:bidi="ar-SA"/>
              </w:rPr>
              <w:t>ormone</w:t>
            </w:r>
            <w:r w:rsidRPr="00F66BC4">
              <w:rPr>
                <w:rFonts w:hAnsiTheme="minorHAnsi"/>
                <w:b/>
                <w:bCs/>
                <w:sz w:val="21"/>
                <w:szCs w:val="21"/>
                <w:vertAlign w:val="superscript"/>
                <w:lang w:eastAsia="zh-CN" w:bidi="ar-SA"/>
              </w:rPr>
              <w:t>1,2</w:t>
            </w:r>
          </w:p>
        </w:tc>
        <w:tc>
          <w:tcPr>
            <w:tcW w:w="2837" w:type="dxa"/>
          </w:tcPr>
          <w:p w14:paraId="0580C3AB" w14:textId="77777777" w:rsidR="004E14F7" w:rsidRPr="002201AB" w:rsidRDefault="004E14F7" w:rsidP="00FF0C1E">
            <w:pPr>
              <w:spacing w:after="0"/>
              <w:jc w:val="both"/>
              <w:rPr>
                <w:b/>
                <w:bCs/>
                <w:sz w:val="21"/>
                <w:szCs w:val="21"/>
                <w:lang w:eastAsia="zh-CN"/>
              </w:rPr>
            </w:pPr>
            <w:r w:rsidRPr="002201AB">
              <w:rPr>
                <w:rFonts w:hAnsiTheme="minorHAnsi" w:hint="eastAsia"/>
                <w:b/>
                <w:bCs/>
                <w:sz w:val="21"/>
                <w:szCs w:val="21"/>
                <w:lang w:eastAsia="zh-CN" w:bidi="ar-SA"/>
              </w:rPr>
              <w:t xml:space="preserve">Other </w:t>
            </w:r>
            <w:r w:rsidRPr="002201AB">
              <w:rPr>
                <w:rFonts w:hAnsiTheme="minorHAnsi"/>
                <w:b/>
                <w:bCs/>
                <w:sz w:val="21"/>
                <w:szCs w:val="21"/>
                <w:lang w:eastAsia="zh-CN" w:bidi="ar-SA"/>
              </w:rPr>
              <w:t>S</w:t>
            </w:r>
            <w:r w:rsidRPr="002201AB">
              <w:rPr>
                <w:rFonts w:hAnsiTheme="minorHAnsi" w:hint="eastAsia"/>
                <w:b/>
                <w:bCs/>
                <w:sz w:val="21"/>
                <w:szCs w:val="21"/>
                <w:lang w:eastAsia="zh-CN" w:bidi="ar-SA"/>
              </w:rPr>
              <w:t xml:space="preserve">upportive </w:t>
            </w:r>
            <w:r w:rsidRPr="002201AB">
              <w:rPr>
                <w:rFonts w:hAnsiTheme="minorHAnsi"/>
                <w:b/>
                <w:bCs/>
                <w:sz w:val="21"/>
                <w:szCs w:val="21"/>
                <w:lang w:eastAsia="zh-CN" w:bidi="ar-SA"/>
              </w:rPr>
              <w:t>T</w:t>
            </w:r>
            <w:r w:rsidRPr="002201AB">
              <w:rPr>
                <w:rFonts w:hAnsiTheme="minorHAnsi" w:hint="eastAsia"/>
                <w:b/>
                <w:bCs/>
                <w:sz w:val="21"/>
                <w:szCs w:val="21"/>
                <w:lang w:eastAsia="zh-CN" w:bidi="ar-SA"/>
              </w:rPr>
              <w:t>reatments</w:t>
            </w:r>
          </w:p>
        </w:tc>
      </w:tr>
      <w:tr w:rsidR="004E14F7" w:rsidRPr="002201AB" w14:paraId="1B36388B" w14:textId="77777777" w:rsidTr="00F31A05">
        <w:trPr>
          <w:jc w:val="center"/>
        </w:trPr>
        <w:tc>
          <w:tcPr>
            <w:tcW w:w="1430" w:type="dxa"/>
            <w:vAlign w:val="center"/>
          </w:tcPr>
          <w:p w14:paraId="05ABD5B1" w14:textId="77777777" w:rsidR="004E14F7" w:rsidRPr="002201AB" w:rsidRDefault="004E14F7" w:rsidP="00FF0C1E">
            <w:pPr>
              <w:spacing w:after="0"/>
              <w:jc w:val="both"/>
              <w:rPr>
                <w:sz w:val="21"/>
                <w:szCs w:val="21"/>
                <w:lang w:eastAsia="zh-CN"/>
              </w:rPr>
            </w:pPr>
            <w:r w:rsidRPr="002201AB">
              <w:rPr>
                <w:sz w:val="21"/>
                <w:szCs w:val="21"/>
                <w:lang w:bidi="ar-SA"/>
              </w:rPr>
              <w:t>Level 1</w:t>
            </w:r>
          </w:p>
        </w:tc>
        <w:tc>
          <w:tcPr>
            <w:tcW w:w="2201" w:type="dxa"/>
            <w:vAlign w:val="center"/>
          </w:tcPr>
          <w:p w14:paraId="2C319948" w14:textId="77777777" w:rsidR="004E14F7" w:rsidRPr="002201AB" w:rsidRDefault="004E14F7" w:rsidP="00FF0C1E">
            <w:pPr>
              <w:spacing w:after="0"/>
              <w:jc w:val="both"/>
              <w:rPr>
                <w:sz w:val="21"/>
                <w:szCs w:val="21"/>
                <w:lang w:eastAsia="zh-CN"/>
              </w:rPr>
            </w:pPr>
            <w:r w:rsidRPr="002201AB">
              <w:rPr>
                <w:rFonts w:hint="eastAsia"/>
                <w:sz w:val="21"/>
                <w:szCs w:val="21"/>
                <w:lang w:eastAsia="zh-CN"/>
              </w:rPr>
              <w:t xml:space="preserve">In patients with significant symptoms and/or comorbidities, if CRS duration is prolonged (&gt;3 days), the use of tocilizumab for </w:t>
            </w:r>
            <w:r w:rsidRPr="002201AB">
              <w:rPr>
                <w:sz w:val="21"/>
                <w:szCs w:val="21"/>
                <w:lang w:eastAsia="zh-CN"/>
              </w:rPr>
              <w:t>G</w:t>
            </w:r>
            <w:r w:rsidRPr="002201AB">
              <w:rPr>
                <w:rFonts w:hint="eastAsia"/>
                <w:sz w:val="21"/>
                <w:szCs w:val="21"/>
                <w:lang w:eastAsia="zh-CN"/>
              </w:rPr>
              <w:t>rade 2 toxicity is considered.</w:t>
            </w:r>
          </w:p>
        </w:tc>
        <w:tc>
          <w:tcPr>
            <w:tcW w:w="1931" w:type="dxa"/>
            <w:vAlign w:val="center"/>
          </w:tcPr>
          <w:p w14:paraId="05D2188E" w14:textId="77777777" w:rsidR="004E14F7" w:rsidRPr="002201AB" w:rsidRDefault="004E14F7" w:rsidP="00FF0C1E">
            <w:pPr>
              <w:spacing w:after="0"/>
              <w:jc w:val="both"/>
              <w:rPr>
                <w:sz w:val="21"/>
                <w:szCs w:val="21"/>
                <w:lang w:eastAsia="zh-CN"/>
              </w:rPr>
            </w:pPr>
            <w:r w:rsidRPr="002201AB">
              <w:rPr>
                <w:rFonts w:hint="eastAsia"/>
                <w:sz w:val="21"/>
                <w:szCs w:val="21"/>
                <w:lang w:eastAsia="zh-CN"/>
              </w:rPr>
              <w:t>Not applicable</w:t>
            </w:r>
          </w:p>
        </w:tc>
        <w:tc>
          <w:tcPr>
            <w:tcW w:w="2837" w:type="dxa"/>
            <w:vAlign w:val="center"/>
          </w:tcPr>
          <w:p w14:paraId="6804B84E" w14:textId="77777777" w:rsidR="004E14F7" w:rsidRPr="002201AB" w:rsidRDefault="004E14F7" w:rsidP="00FF0C1E">
            <w:pPr>
              <w:pStyle w:val="aff"/>
              <w:widowControl w:val="0"/>
              <w:numPr>
                <w:ilvl w:val="0"/>
                <w:numId w:val="146"/>
              </w:numPr>
              <w:autoSpaceDE w:val="0"/>
              <w:autoSpaceDN w:val="0"/>
              <w:adjustRightInd w:val="0"/>
              <w:spacing w:after="0" w:line="240" w:lineRule="auto"/>
              <w:ind w:left="170" w:hanging="170"/>
              <w:jc w:val="both"/>
              <w:rPr>
                <w:rFonts w:ascii="Times New Roman" w:hAnsi="Times New Roman" w:cs="Times New Roman"/>
                <w:sz w:val="21"/>
                <w:szCs w:val="21"/>
                <w:lang w:eastAsia="zh-CN"/>
              </w:rPr>
            </w:pPr>
            <w:r w:rsidRPr="002201AB">
              <w:rPr>
                <w:rFonts w:ascii="Times New Roman" w:hAnsi="Times New Roman" w:cs="Times New Roman"/>
                <w:sz w:val="21"/>
                <w:szCs w:val="21"/>
                <w:lang w:eastAsia="zh-CN"/>
              </w:rPr>
              <w:t xml:space="preserve">Empirical use of broad-spectrum antibiotics; </w:t>
            </w:r>
            <w:r>
              <w:rPr>
                <w:rFonts w:ascii="Times New Roman" w:hAnsi="Times New Roman" w:cs="Times New Roman"/>
                <w:sz w:val="21"/>
                <w:szCs w:val="21"/>
                <w:lang w:eastAsia="zh-CN"/>
              </w:rPr>
              <w:t xml:space="preserve">in case of </w:t>
            </w:r>
            <w:r w:rsidRPr="002201AB">
              <w:rPr>
                <w:rFonts w:ascii="Times New Roman" w:hAnsi="Times New Roman" w:cs="Times New Roman"/>
                <w:sz w:val="21"/>
                <w:szCs w:val="21"/>
                <w:lang w:eastAsia="zh-CN"/>
              </w:rPr>
              <w:t>neutropenia</w:t>
            </w:r>
            <w:r w:rsidRPr="00F66BC4">
              <w:rPr>
                <w:rFonts w:ascii="Times New Roman" w:hAnsi="Times New Roman" w:cs="Times New Roman"/>
                <w:sz w:val="21"/>
                <w:szCs w:val="21"/>
                <w:vertAlign w:val="superscript"/>
                <w:lang w:eastAsia="zh-CN"/>
              </w:rPr>
              <w:t>3</w:t>
            </w:r>
            <w:r w:rsidRPr="00F66BC4">
              <w:rPr>
                <w:rFonts w:ascii="Times New Roman" w:hAnsi="Times New Roman" w:cs="Times New Roman"/>
                <w:sz w:val="21"/>
                <w:szCs w:val="21"/>
                <w:lang w:eastAsia="zh-CN"/>
              </w:rPr>
              <w:t>, g</w:t>
            </w:r>
            <w:r w:rsidRPr="002201AB">
              <w:rPr>
                <w:rFonts w:ascii="Times New Roman" w:hAnsi="Times New Roman" w:cs="Times New Roman"/>
                <w:sz w:val="21"/>
                <w:szCs w:val="21"/>
                <w:lang w:eastAsia="zh-CN"/>
              </w:rPr>
              <w:t>ranulocyte colony-stimulating factor may be considered;</w:t>
            </w:r>
          </w:p>
          <w:p w14:paraId="181F756F" w14:textId="77777777" w:rsidR="004E14F7" w:rsidRPr="002201AB" w:rsidRDefault="004E14F7" w:rsidP="00FF0C1E">
            <w:pPr>
              <w:pStyle w:val="aff"/>
              <w:widowControl w:val="0"/>
              <w:numPr>
                <w:ilvl w:val="0"/>
                <w:numId w:val="146"/>
              </w:numPr>
              <w:autoSpaceDE w:val="0"/>
              <w:autoSpaceDN w:val="0"/>
              <w:adjustRightInd w:val="0"/>
              <w:spacing w:after="0" w:line="240" w:lineRule="auto"/>
              <w:ind w:left="170" w:hanging="170"/>
              <w:jc w:val="both"/>
              <w:rPr>
                <w:rFonts w:ascii="Times New Roman" w:hAnsi="Times New Roman" w:cs="Times New Roman"/>
                <w:sz w:val="21"/>
                <w:szCs w:val="21"/>
                <w:lang w:eastAsia="zh-CN"/>
              </w:rPr>
            </w:pPr>
            <w:r w:rsidRPr="002201AB">
              <w:rPr>
                <w:rFonts w:ascii="Times New Roman" w:hAnsi="Times New Roman" w:cs="Times New Roman"/>
                <w:sz w:val="21"/>
                <w:szCs w:val="21"/>
                <w:lang w:eastAsia="zh-CN"/>
              </w:rPr>
              <w:t xml:space="preserve">Maintain intravenous fluids for </w:t>
            </w:r>
            <w:r>
              <w:rPr>
                <w:rFonts w:ascii="Times New Roman" w:hAnsi="Times New Roman" w:cs="Times New Roman"/>
                <w:sz w:val="21"/>
                <w:szCs w:val="21"/>
                <w:lang w:eastAsia="zh-CN"/>
              </w:rPr>
              <w:t>hydration</w:t>
            </w:r>
            <w:r w:rsidRPr="002201AB">
              <w:rPr>
                <w:rFonts w:ascii="Times New Roman" w:hAnsi="Times New Roman" w:cs="Times New Roman" w:hint="eastAsia"/>
                <w:sz w:val="21"/>
                <w:szCs w:val="21"/>
                <w:lang w:eastAsia="zh-CN"/>
              </w:rPr>
              <w:t>;</w:t>
            </w:r>
          </w:p>
          <w:p w14:paraId="09E8E8C9" w14:textId="77777777" w:rsidR="004E14F7" w:rsidRPr="002201AB" w:rsidRDefault="004E14F7" w:rsidP="00FF0C1E">
            <w:pPr>
              <w:pStyle w:val="aff"/>
              <w:widowControl w:val="0"/>
              <w:numPr>
                <w:ilvl w:val="0"/>
                <w:numId w:val="146"/>
              </w:numPr>
              <w:autoSpaceDE w:val="0"/>
              <w:autoSpaceDN w:val="0"/>
              <w:adjustRightInd w:val="0"/>
              <w:spacing w:after="0" w:line="240" w:lineRule="auto"/>
              <w:ind w:left="170" w:hanging="170"/>
              <w:jc w:val="both"/>
              <w:rPr>
                <w:sz w:val="21"/>
                <w:szCs w:val="21"/>
                <w:lang w:eastAsia="zh-CN"/>
              </w:rPr>
            </w:pPr>
            <w:r w:rsidRPr="002201AB">
              <w:rPr>
                <w:rFonts w:ascii="Times New Roman" w:hAnsi="Times New Roman" w:cs="Times New Roman"/>
                <w:sz w:val="21"/>
                <w:szCs w:val="21"/>
                <w:lang w:eastAsia="zh-CN"/>
              </w:rPr>
              <w:t xml:space="preserve">Symptomatic treatment </w:t>
            </w:r>
            <w:r>
              <w:rPr>
                <w:rFonts w:ascii="Times New Roman" w:hAnsi="Times New Roman" w:cs="Times New Roman"/>
                <w:sz w:val="21"/>
                <w:szCs w:val="21"/>
                <w:lang w:eastAsia="zh-CN"/>
              </w:rPr>
              <w:t>for</w:t>
            </w:r>
            <w:r w:rsidRPr="002201AB">
              <w:rPr>
                <w:rFonts w:ascii="Times New Roman" w:hAnsi="Times New Roman" w:cs="Times New Roman"/>
                <w:sz w:val="21"/>
                <w:szCs w:val="21"/>
                <w:lang w:eastAsia="zh-CN"/>
              </w:rPr>
              <w:t xml:space="preserve"> organ toxicity.</w:t>
            </w:r>
          </w:p>
        </w:tc>
      </w:tr>
      <w:tr w:rsidR="004E14F7" w:rsidRPr="002201AB" w14:paraId="0A9F3BD7" w14:textId="77777777" w:rsidTr="00F31A05">
        <w:trPr>
          <w:jc w:val="center"/>
        </w:trPr>
        <w:tc>
          <w:tcPr>
            <w:tcW w:w="1430" w:type="dxa"/>
            <w:vAlign w:val="center"/>
          </w:tcPr>
          <w:p w14:paraId="2A30D297" w14:textId="77777777" w:rsidR="004E14F7" w:rsidRPr="002201AB" w:rsidRDefault="004E14F7" w:rsidP="00FF0C1E">
            <w:pPr>
              <w:spacing w:after="0"/>
              <w:jc w:val="both"/>
              <w:rPr>
                <w:sz w:val="21"/>
                <w:szCs w:val="21"/>
                <w:lang w:eastAsia="zh-CN"/>
              </w:rPr>
            </w:pPr>
            <w:r w:rsidRPr="002201AB">
              <w:rPr>
                <w:sz w:val="21"/>
                <w:szCs w:val="21"/>
                <w:lang w:bidi="ar-SA"/>
              </w:rPr>
              <w:t>Level 2</w:t>
            </w:r>
          </w:p>
        </w:tc>
        <w:tc>
          <w:tcPr>
            <w:tcW w:w="2201" w:type="dxa"/>
            <w:vAlign w:val="center"/>
          </w:tcPr>
          <w:p w14:paraId="2E0BC645" w14:textId="1F316EE0" w:rsidR="004E14F7" w:rsidRPr="002201AB" w:rsidRDefault="004E14F7" w:rsidP="00FF0C1E">
            <w:pPr>
              <w:spacing w:after="0"/>
              <w:jc w:val="both"/>
              <w:rPr>
                <w:sz w:val="21"/>
                <w:szCs w:val="21"/>
                <w:lang w:eastAsia="zh-CN"/>
              </w:rPr>
            </w:pPr>
            <w:r w:rsidRPr="002201AB">
              <w:rPr>
                <w:rFonts w:hint="eastAsia"/>
                <w:sz w:val="21"/>
                <w:szCs w:val="21"/>
                <w:lang w:eastAsia="zh-CN"/>
              </w:rPr>
              <w:t>Tocilizumab 8mg/kg</w:t>
            </w:r>
            <w:r>
              <w:rPr>
                <w:sz w:val="21"/>
                <w:szCs w:val="21"/>
                <w:lang w:eastAsia="zh-CN"/>
              </w:rPr>
              <w:t xml:space="preserve"> </w:t>
            </w:r>
            <w:r w:rsidRPr="002201AB">
              <w:rPr>
                <w:rFonts w:hint="eastAsia"/>
                <w:sz w:val="21"/>
                <w:szCs w:val="21"/>
                <w:lang w:eastAsia="zh-CN"/>
              </w:rPr>
              <w:t>intravenously for 1 hour (dose not exceeding 800</w:t>
            </w:r>
            <w:r>
              <w:rPr>
                <w:sz w:val="21"/>
                <w:szCs w:val="21"/>
                <w:lang w:eastAsia="zh-CN"/>
              </w:rPr>
              <w:t xml:space="preserve"> </w:t>
            </w:r>
            <w:r w:rsidRPr="002201AB">
              <w:rPr>
                <w:rFonts w:hint="eastAsia"/>
                <w:sz w:val="21"/>
                <w:szCs w:val="21"/>
                <w:lang w:eastAsia="zh-CN"/>
              </w:rPr>
              <w:t>mg)</w:t>
            </w:r>
            <w:r w:rsidRPr="00F66BC4">
              <w:rPr>
                <w:sz w:val="21"/>
                <w:szCs w:val="21"/>
                <w:vertAlign w:val="superscript"/>
                <w:lang w:eastAsia="zh-CN"/>
              </w:rPr>
              <w:t>1</w:t>
            </w:r>
            <w:r w:rsidRPr="002201AB">
              <w:rPr>
                <w:rFonts w:hint="eastAsia"/>
                <w:sz w:val="21"/>
                <w:szCs w:val="21"/>
                <w:lang w:eastAsia="zh-CN"/>
              </w:rPr>
              <w:t xml:space="preserve">. If the symptoms do not improve, tocilizumab can be administered again after 8 hours; </w:t>
            </w:r>
            <w:r>
              <w:rPr>
                <w:sz w:val="21"/>
                <w:szCs w:val="21"/>
                <w:lang w:eastAsia="zh-CN"/>
              </w:rPr>
              <w:t>n</w:t>
            </w:r>
            <w:r w:rsidRPr="002201AB">
              <w:rPr>
                <w:rFonts w:hint="eastAsia"/>
                <w:sz w:val="21"/>
                <w:szCs w:val="21"/>
                <w:lang w:eastAsia="zh-CN"/>
              </w:rPr>
              <w:t>o more than 3 doses within 24 hours</w:t>
            </w:r>
            <w:r>
              <w:rPr>
                <w:sz w:val="21"/>
                <w:szCs w:val="21"/>
                <w:lang w:eastAsia="zh-CN"/>
              </w:rPr>
              <w:t>, with a maximum</w:t>
            </w:r>
            <w:r w:rsidRPr="002201AB">
              <w:rPr>
                <w:rFonts w:hint="eastAsia"/>
                <w:sz w:val="21"/>
                <w:szCs w:val="21"/>
                <w:lang w:eastAsia="zh-CN"/>
              </w:rPr>
              <w:t xml:space="preserve"> of 4 doses.</w:t>
            </w:r>
          </w:p>
        </w:tc>
        <w:tc>
          <w:tcPr>
            <w:tcW w:w="1931" w:type="dxa"/>
            <w:vAlign w:val="center"/>
          </w:tcPr>
          <w:p w14:paraId="14C20F9F" w14:textId="77777777" w:rsidR="004E14F7" w:rsidRPr="002201AB" w:rsidRDefault="004E14F7" w:rsidP="00FF0C1E">
            <w:pPr>
              <w:widowControl w:val="0"/>
              <w:autoSpaceDE w:val="0"/>
              <w:autoSpaceDN w:val="0"/>
              <w:adjustRightInd w:val="0"/>
              <w:spacing w:after="0"/>
              <w:jc w:val="both"/>
              <w:rPr>
                <w:sz w:val="21"/>
                <w:szCs w:val="21"/>
                <w:lang w:eastAsia="zh-CN"/>
              </w:rPr>
            </w:pPr>
            <w:r w:rsidRPr="002201AB">
              <w:rPr>
                <w:rFonts w:hAnsiTheme="minorHAnsi" w:hint="eastAsia"/>
                <w:sz w:val="21"/>
                <w:szCs w:val="21"/>
                <w:lang w:eastAsia="zh-CN" w:bidi="ar-SA"/>
              </w:rPr>
              <w:t>Anti-IL-6 treatment for persistent refractory hypotension after 1-2 doses: dexamethasone 10</w:t>
            </w:r>
            <w:r>
              <w:rPr>
                <w:rFonts w:hAnsiTheme="minorHAnsi"/>
                <w:sz w:val="21"/>
                <w:szCs w:val="21"/>
                <w:lang w:eastAsia="zh-CN" w:bidi="ar-SA"/>
              </w:rPr>
              <w:t xml:space="preserve"> </w:t>
            </w:r>
            <w:r w:rsidRPr="002201AB">
              <w:rPr>
                <w:rFonts w:hAnsiTheme="minorHAnsi" w:hint="eastAsia"/>
                <w:sz w:val="21"/>
                <w:szCs w:val="21"/>
                <w:lang w:eastAsia="zh-CN" w:bidi="ar-SA"/>
              </w:rPr>
              <w:t>mg</w:t>
            </w:r>
            <w:r>
              <w:rPr>
                <w:rFonts w:hAnsiTheme="minorHAnsi"/>
                <w:sz w:val="21"/>
                <w:szCs w:val="21"/>
                <w:lang w:eastAsia="zh-CN" w:bidi="ar-SA"/>
              </w:rPr>
              <w:t>, intravenously,</w:t>
            </w:r>
            <w:r w:rsidRPr="002201AB">
              <w:rPr>
                <w:rFonts w:hAnsiTheme="minorHAnsi" w:hint="eastAsia"/>
                <w:sz w:val="21"/>
                <w:szCs w:val="21"/>
                <w:lang w:eastAsia="zh-CN" w:bidi="ar-SA"/>
              </w:rPr>
              <w:t xml:space="preserve"> </w:t>
            </w:r>
            <w:r w:rsidRPr="00F66BC4">
              <w:rPr>
                <w:rFonts w:hAnsiTheme="minorHAnsi"/>
                <w:sz w:val="21"/>
                <w:szCs w:val="21"/>
                <w:lang w:eastAsia="zh-CN" w:bidi="ar-SA"/>
              </w:rPr>
              <w:t>q</w:t>
            </w:r>
            <w:r w:rsidRPr="00F66BC4">
              <w:rPr>
                <w:rFonts w:hAnsiTheme="minorHAnsi" w:hint="eastAsia"/>
                <w:sz w:val="21"/>
                <w:szCs w:val="21"/>
                <w:lang w:eastAsia="zh-CN" w:bidi="ar-SA"/>
              </w:rPr>
              <w:t>6h</w:t>
            </w:r>
            <w:r w:rsidRPr="002201AB">
              <w:rPr>
                <w:rFonts w:hAnsiTheme="minorHAnsi" w:hint="eastAsia"/>
                <w:sz w:val="21"/>
                <w:szCs w:val="21"/>
                <w:lang w:eastAsia="zh-CN" w:bidi="ar-SA"/>
              </w:rPr>
              <w:t xml:space="preserve"> (or equivalent)</w:t>
            </w:r>
            <w:r w:rsidRPr="00F66BC4">
              <w:rPr>
                <w:rFonts w:hAnsiTheme="minorHAnsi" w:hint="eastAsia"/>
                <w:sz w:val="21"/>
                <w:szCs w:val="21"/>
                <w:vertAlign w:val="superscript"/>
                <w:lang w:eastAsia="zh-CN" w:bidi="ar-SA"/>
              </w:rPr>
              <w:t>4</w:t>
            </w:r>
            <w:r w:rsidRPr="002201AB">
              <w:rPr>
                <w:rFonts w:hAnsiTheme="minorHAnsi" w:hint="eastAsia"/>
                <w:sz w:val="21"/>
                <w:szCs w:val="21"/>
                <w:lang w:eastAsia="zh-CN" w:bidi="ar-SA"/>
              </w:rPr>
              <w:t>.</w:t>
            </w:r>
          </w:p>
        </w:tc>
        <w:tc>
          <w:tcPr>
            <w:tcW w:w="2837" w:type="dxa"/>
            <w:vAlign w:val="center"/>
          </w:tcPr>
          <w:p w14:paraId="73DE1655" w14:textId="77777777" w:rsidR="004E14F7" w:rsidRPr="004E074A" w:rsidRDefault="004E14F7" w:rsidP="00FF0C1E">
            <w:pPr>
              <w:pStyle w:val="aff"/>
              <w:widowControl w:val="0"/>
              <w:numPr>
                <w:ilvl w:val="0"/>
                <w:numId w:val="146"/>
              </w:numPr>
              <w:autoSpaceDE w:val="0"/>
              <w:autoSpaceDN w:val="0"/>
              <w:adjustRightInd w:val="0"/>
              <w:spacing w:after="0" w:line="240" w:lineRule="auto"/>
              <w:ind w:left="170" w:hanging="170"/>
              <w:jc w:val="both"/>
              <w:rPr>
                <w:rFonts w:ascii="Times New Roman" w:hAnsi="Times New Roman" w:cs="Times New Roman"/>
                <w:sz w:val="21"/>
                <w:szCs w:val="21"/>
                <w:lang w:eastAsia="zh-CN"/>
              </w:rPr>
            </w:pPr>
            <w:r>
              <w:rPr>
                <w:rFonts w:ascii="Times New Roman" w:hAnsi="Times New Roman" w:cs="Times New Roman"/>
                <w:sz w:val="21"/>
                <w:szCs w:val="21"/>
                <w:lang w:eastAsia="zh-CN"/>
              </w:rPr>
              <w:t>Rapid i</w:t>
            </w:r>
            <w:r w:rsidRPr="002201AB">
              <w:rPr>
                <w:rFonts w:ascii="Times New Roman" w:hAnsi="Times New Roman" w:cs="Times New Roman"/>
                <w:sz w:val="21"/>
                <w:szCs w:val="21"/>
                <w:lang w:eastAsia="zh-CN"/>
              </w:rPr>
              <w:t>ntravenous pump</w:t>
            </w:r>
            <w:r>
              <w:rPr>
                <w:rFonts w:ascii="Times New Roman" w:hAnsi="Times New Roman" w:cs="Times New Roman"/>
                <w:sz w:val="21"/>
                <w:szCs w:val="21"/>
                <w:lang w:eastAsia="zh-CN"/>
              </w:rPr>
              <w:t>ing liquid</w:t>
            </w:r>
            <w:r w:rsidRPr="002201AB">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t>as needed</w:t>
            </w:r>
            <w:r w:rsidRPr="002201AB">
              <w:rPr>
                <w:rFonts w:ascii="Times New Roman" w:hAnsi="Times New Roman" w:cs="Times New Roman"/>
                <w:sz w:val="21"/>
                <w:szCs w:val="21"/>
                <w:lang w:eastAsia="zh-CN"/>
              </w:rPr>
              <w:t>;</w:t>
            </w:r>
          </w:p>
          <w:p w14:paraId="2A0BB756" w14:textId="77777777" w:rsidR="004E14F7" w:rsidRPr="004E074A" w:rsidRDefault="004E14F7" w:rsidP="00FF0C1E">
            <w:pPr>
              <w:pStyle w:val="aff"/>
              <w:widowControl w:val="0"/>
              <w:numPr>
                <w:ilvl w:val="0"/>
                <w:numId w:val="146"/>
              </w:numPr>
              <w:autoSpaceDE w:val="0"/>
              <w:autoSpaceDN w:val="0"/>
              <w:adjustRightInd w:val="0"/>
              <w:spacing w:after="0" w:line="240" w:lineRule="auto"/>
              <w:ind w:left="170" w:hanging="170"/>
              <w:jc w:val="both"/>
              <w:rPr>
                <w:rFonts w:ascii="Times New Roman" w:hAnsi="Times New Roman" w:cs="Times New Roman"/>
                <w:sz w:val="21"/>
                <w:szCs w:val="21"/>
                <w:lang w:eastAsia="zh-CN"/>
              </w:rPr>
            </w:pPr>
            <w:r w:rsidRPr="002201AB">
              <w:rPr>
                <w:rFonts w:ascii="Times New Roman" w:hAnsi="Times New Roman" w:cs="Times New Roman"/>
                <w:sz w:val="21"/>
                <w:szCs w:val="21"/>
                <w:lang w:eastAsia="zh-CN"/>
              </w:rPr>
              <w:t xml:space="preserve">Refractory hypotension that persists after </w:t>
            </w:r>
            <w:r>
              <w:rPr>
                <w:rFonts w:ascii="Times New Roman" w:hAnsi="Times New Roman" w:cs="Times New Roman"/>
                <w:sz w:val="21"/>
                <w:szCs w:val="21"/>
                <w:lang w:eastAsia="zh-CN"/>
              </w:rPr>
              <w:t>2</w:t>
            </w:r>
            <w:r w:rsidRPr="002201AB">
              <w:rPr>
                <w:rFonts w:ascii="Times New Roman" w:hAnsi="Times New Roman" w:cs="Times New Roman"/>
                <w:sz w:val="21"/>
                <w:szCs w:val="21"/>
                <w:lang w:eastAsia="zh-CN"/>
              </w:rPr>
              <w:t xml:space="preserve"> infusion pump pushups and anti-IL-6 treatments: initiation of vasopressors, consideration for transfer to </w:t>
            </w:r>
            <w:r w:rsidRPr="0029562A">
              <w:rPr>
                <w:rFonts w:ascii="Times New Roman" w:hAnsi="Times New Roman" w:cs="Times New Roman"/>
                <w:sz w:val="21"/>
                <w:szCs w:val="21"/>
                <w:lang w:eastAsia="zh-CN"/>
              </w:rPr>
              <w:t>ICU</w:t>
            </w:r>
            <w:r w:rsidRPr="002201AB">
              <w:rPr>
                <w:rFonts w:ascii="Times New Roman" w:hAnsi="Times New Roman" w:cs="Times New Roman"/>
                <w:sz w:val="21"/>
                <w:szCs w:val="21"/>
                <w:lang w:eastAsia="zh-CN"/>
              </w:rPr>
              <w:t>, consideration for echocardiography, and initiation of other hemodynamic monitoring methods;</w:t>
            </w:r>
          </w:p>
          <w:p w14:paraId="1E852CD8" w14:textId="77777777" w:rsidR="004E14F7" w:rsidRPr="004E074A" w:rsidRDefault="004E14F7" w:rsidP="00FF0C1E">
            <w:pPr>
              <w:pStyle w:val="aff"/>
              <w:widowControl w:val="0"/>
              <w:numPr>
                <w:ilvl w:val="0"/>
                <w:numId w:val="146"/>
              </w:numPr>
              <w:autoSpaceDE w:val="0"/>
              <w:autoSpaceDN w:val="0"/>
              <w:adjustRightInd w:val="0"/>
              <w:spacing w:after="0" w:line="240" w:lineRule="auto"/>
              <w:ind w:left="170" w:hanging="170"/>
              <w:jc w:val="both"/>
              <w:rPr>
                <w:rFonts w:ascii="Times New Roman" w:hAnsi="Times New Roman" w:cs="Times New Roman"/>
                <w:sz w:val="21"/>
                <w:szCs w:val="21"/>
                <w:lang w:eastAsia="zh-CN"/>
              </w:rPr>
            </w:pPr>
            <w:r>
              <w:rPr>
                <w:rFonts w:ascii="Times New Roman" w:hAnsi="Times New Roman" w:cs="Times New Roman"/>
                <w:sz w:val="21"/>
                <w:szCs w:val="21"/>
                <w:lang w:eastAsia="zh-CN"/>
              </w:rPr>
              <w:t xml:space="preserve">Management of </w:t>
            </w:r>
            <w:r w:rsidRPr="002201AB">
              <w:rPr>
                <w:rFonts w:ascii="Times New Roman" w:hAnsi="Times New Roman" w:cs="Times New Roman"/>
                <w:sz w:val="21"/>
                <w:szCs w:val="21"/>
                <w:lang w:eastAsia="zh-CN"/>
              </w:rPr>
              <w:t>Grade 3 toxicity if there is no improvement within 24 hours of initiation of anti-IL-6 treatment;</w:t>
            </w:r>
          </w:p>
          <w:p w14:paraId="761622B2" w14:textId="77777777" w:rsidR="004E14F7" w:rsidRPr="002201AB" w:rsidRDefault="004E14F7" w:rsidP="00FF0C1E">
            <w:pPr>
              <w:pStyle w:val="aff"/>
              <w:widowControl w:val="0"/>
              <w:numPr>
                <w:ilvl w:val="0"/>
                <w:numId w:val="146"/>
              </w:numPr>
              <w:autoSpaceDE w:val="0"/>
              <w:autoSpaceDN w:val="0"/>
              <w:adjustRightInd w:val="0"/>
              <w:spacing w:after="0" w:line="240" w:lineRule="auto"/>
              <w:ind w:left="170" w:hanging="170"/>
              <w:jc w:val="both"/>
              <w:rPr>
                <w:sz w:val="21"/>
                <w:szCs w:val="21"/>
                <w:lang w:eastAsia="zh-CN"/>
              </w:rPr>
            </w:pPr>
            <w:r w:rsidRPr="002201AB">
              <w:rPr>
                <w:rFonts w:ascii="Times New Roman" w:hAnsi="Times New Roman" w:cs="Times New Roman"/>
                <w:sz w:val="21"/>
                <w:szCs w:val="21"/>
                <w:lang w:eastAsia="zh-CN"/>
              </w:rPr>
              <w:t xml:space="preserve">Symptomatic treatment </w:t>
            </w:r>
            <w:r>
              <w:rPr>
                <w:rFonts w:ascii="Times New Roman" w:hAnsi="Times New Roman" w:cs="Times New Roman"/>
                <w:sz w:val="21"/>
                <w:szCs w:val="21"/>
                <w:lang w:eastAsia="zh-CN"/>
              </w:rPr>
              <w:t>for</w:t>
            </w:r>
            <w:r w:rsidRPr="002201AB">
              <w:rPr>
                <w:rFonts w:ascii="Times New Roman" w:hAnsi="Times New Roman" w:cs="Times New Roman"/>
                <w:sz w:val="21"/>
                <w:szCs w:val="21"/>
                <w:lang w:eastAsia="zh-CN"/>
              </w:rPr>
              <w:t xml:space="preserve"> organ toxicity.</w:t>
            </w:r>
          </w:p>
        </w:tc>
      </w:tr>
      <w:tr w:rsidR="004E14F7" w:rsidRPr="002201AB" w14:paraId="26DE4758" w14:textId="77777777" w:rsidTr="00F31A05">
        <w:trPr>
          <w:jc w:val="center"/>
        </w:trPr>
        <w:tc>
          <w:tcPr>
            <w:tcW w:w="1430" w:type="dxa"/>
            <w:vAlign w:val="center"/>
          </w:tcPr>
          <w:p w14:paraId="492FBDAC" w14:textId="77777777" w:rsidR="004E14F7" w:rsidRPr="002201AB" w:rsidRDefault="004E14F7" w:rsidP="00FF0C1E">
            <w:pPr>
              <w:spacing w:after="0"/>
              <w:jc w:val="both"/>
              <w:rPr>
                <w:sz w:val="21"/>
                <w:szCs w:val="21"/>
                <w:lang w:eastAsia="zh-CN"/>
              </w:rPr>
            </w:pPr>
            <w:r w:rsidRPr="002201AB">
              <w:rPr>
                <w:sz w:val="21"/>
                <w:szCs w:val="21"/>
                <w:lang w:bidi="ar-SA"/>
              </w:rPr>
              <w:t>Level 3</w:t>
            </w:r>
          </w:p>
        </w:tc>
        <w:tc>
          <w:tcPr>
            <w:tcW w:w="2201" w:type="dxa"/>
            <w:vAlign w:val="center"/>
          </w:tcPr>
          <w:p w14:paraId="478C395D" w14:textId="48B8568A" w:rsidR="004E14F7" w:rsidRPr="002201AB" w:rsidRDefault="004E14F7" w:rsidP="00FF0C1E">
            <w:pPr>
              <w:spacing w:after="0"/>
              <w:jc w:val="both"/>
              <w:rPr>
                <w:sz w:val="21"/>
                <w:szCs w:val="21"/>
                <w:lang w:eastAsia="zh-CN"/>
              </w:rPr>
            </w:pPr>
            <w:r w:rsidRPr="002201AB">
              <w:rPr>
                <w:rFonts w:hint="eastAsia"/>
                <w:sz w:val="21"/>
                <w:szCs w:val="21"/>
                <w:lang w:eastAsia="zh-CN"/>
              </w:rPr>
              <w:t xml:space="preserve">If the maximum dose of anti-IL-6 drug treatment is not reached within 24 hours, </w:t>
            </w:r>
            <w:r>
              <w:rPr>
                <w:sz w:val="21"/>
                <w:szCs w:val="21"/>
                <w:lang w:eastAsia="zh-CN"/>
              </w:rPr>
              <w:t xml:space="preserve">the </w:t>
            </w:r>
            <w:r w:rsidRPr="002201AB">
              <w:rPr>
                <w:rFonts w:hint="eastAsia"/>
                <w:sz w:val="21"/>
                <w:szCs w:val="21"/>
                <w:lang w:eastAsia="zh-CN"/>
              </w:rPr>
              <w:t xml:space="preserve">anti-IL-6 treatment </w:t>
            </w:r>
            <w:r>
              <w:rPr>
                <w:sz w:val="21"/>
                <w:szCs w:val="21"/>
                <w:lang w:eastAsia="zh-CN"/>
              </w:rPr>
              <w:t>can</w:t>
            </w:r>
            <w:r w:rsidRPr="002201AB">
              <w:rPr>
                <w:rFonts w:hint="eastAsia"/>
                <w:sz w:val="21"/>
                <w:szCs w:val="21"/>
                <w:lang w:eastAsia="zh-CN"/>
              </w:rPr>
              <w:t xml:space="preserve"> be </w:t>
            </w:r>
            <w:r>
              <w:rPr>
                <w:sz w:val="21"/>
                <w:szCs w:val="21"/>
                <w:lang w:eastAsia="zh-CN"/>
              </w:rPr>
              <w:t>performed</w:t>
            </w:r>
            <w:r w:rsidRPr="002201AB">
              <w:rPr>
                <w:rFonts w:hint="eastAsia"/>
                <w:sz w:val="21"/>
                <w:szCs w:val="21"/>
                <w:lang w:eastAsia="zh-CN"/>
              </w:rPr>
              <w:t xml:space="preserve"> according to Grade 2</w:t>
            </w:r>
            <w:r>
              <w:rPr>
                <w:sz w:val="21"/>
                <w:szCs w:val="21"/>
                <w:lang w:eastAsia="zh-CN"/>
              </w:rPr>
              <w:t xml:space="preserve"> </w:t>
            </w:r>
            <w:r w:rsidRPr="002201AB">
              <w:rPr>
                <w:rFonts w:hint="eastAsia"/>
                <w:sz w:val="21"/>
                <w:szCs w:val="21"/>
                <w:lang w:eastAsia="zh-CN"/>
              </w:rPr>
              <w:t>toxicity</w:t>
            </w:r>
            <w:r w:rsidRPr="00F66BC4">
              <w:rPr>
                <w:sz w:val="21"/>
                <w:szCs w:val="21"/>
                <w:vertAlign w:val="superscript"/>
                <w:lang w:eastAsia="zh-CN"/>
              </w:rPr>
              <w:t>1</w:t>
            </w:r>
            <w:r w:rsidRPr="002201AB">
              <w:rPr>
                <w:rFonts w:hint="eastAsia"/>
                <w:sz w:val="21"/>
                <w:szCs w:val="21"/>
                <w:lang w:eastAsia="zh-CN"/>
              </w:rPr>
              <w:t>.</w:t>
            </w:r>
          </w:p>
        </w:tc>
        <w:tc>
          <w:tcPr>
            <w:tcW w:w="1931" w:type="dxa"/>
            <w:vAlign w:val="center"/>
          </w:tcPr>
          <w:p w14:paraId="6981825E" w14:textId="77777777" w:rsidR="004E14F7" w:rsidRPr="002201AB" w:rsidRDefault="004E14F7" w:rsidP="00FF0C1E">
            <w:pPr>
              <w:widowControl w:val="0"/>
              <w:autoSpaceDE w:val="0"/>
              <w:autoSpaceDN w:val="0"/>
              <w:adjustRightInd w:val="0"/>
              <w:spacing w:after="0"/>
              <w:jc w:val="both"/>
              <w:rPr>
                <w:sz w:val="21"/>
                <w:szCs w:val="21"/>
                <w:lang w:eastAsia="zh-CN"/>
              </w:rPr>
            </w:pPr>
            <w:r w:rsidRPr="002201AB">
              <w:rPr>
                <w:rFonts w:hAnsiTheme="minorHAnsi" w:hint="eastAsia"/>
                <w:sz w:val="21"/>
                <w:szCs w:val="21"/>
                <w:lang w:eastAsia="zh-CN" w:bidi="ar-SA"/>
              </w:rPr>
              <w:t>Dexamethasone 10</w:t>
            </w:r>
            <w:r>
              <w:rPr>
                <w:rFonts w:hAnsiTheme="minorHAnsi"/>
                <w:sz w:val="21"/>
                <w:szCs w:val="21"/>
                <w:lang w:eastAsia="zh-CN" w:bidi="ar-SA"/>
              </w:rPr>
              <w:t xml:space="preserve"> </w:t>
            </w:r>
            <w:r w:rsidRPr="002201AB">
              <w:rPr>
                <w:rFonts w:hAnsiTheme="minorHAnsi" w:hint="eastAsia"/>
                <w:sz w:val="21"/>
                <w:szCs w:val="21"/>
                <w:lang w:eastAsia="zh-CN" w:bidi="ar-SA"/>
              </w:rPr>
              <w:t>mg</w:t>
            </w:r>
            <w:r>
              <w:rPr>
                <w:rFonts w:hAnsiTheme="minorHAnsi"/>
                <w:sz w:val="21"/>
                <w:szCs w:val="21"/>
                <w:lang w:eastAsia="zh-CN" w:bidi="ar-SA"/>
              </w:rPr>
              <w:t>, intravenously,</w:t>
            </w:r>
            <w:r w:rsidRPr="002201AB">
              <w:rPr>
                <w:rFonts w:hAnsiTheme="minorHAnsi" w:hint="eastAsia"/>
                <w:sz w:val="21"/>
                <w:szCs w:val="21"/>
                <w:lang w:eastAsia="zh-CN" w:bidi="ar-SA"/>
              </w:rPr>
              <w:t xml:space="preserve"> q6h (or equivalent)</w:t>
            </w:r>
            <w:r w:rsidRPr="00F66BC4">
              <w:rPr>
                <w:rFonts w:hAnsiTheme="minorHAnsi" w:hint="eastAsia"/>
                <w:sz w:val="21"/>
                <w:szCs w:val="21"/>
                <w:vertAlign w:val="superscript"/>
                <w:lang w:eastAsia="zh-CN" w:bidi="ar-SA"/>
              </w:rPr>
              <w:t>4</w:t>
            </w:r>
            <w:r w:rsidRPr="002201AB">
              <w:rPr>
                <w:rFonts w:hAnsiTheme="minorHAnsi" w:hint="eastAsia"/>
                <w:sz w:val="21"/>
                <w:szCs w:val="21"/>
                <w:lang w:eastAsia="zh-CN" w:bidi="ar-SA"/>
              </w:rPr>
              <w:t xml:space="preserve">. If refractory, </w:t>
            </w:r>
            <w:r>
              <w:rPr>
                <w:rFonts w:hAnsiTheme="minorHAnsi"/>
                <w:sz w:val="21"/>
                <w:szCs w:val="21"/>
                <w:lang w:eastAsia="zh-CN" w:bidi="ar-SA"/>
              </w:rPr>
              <w:t xml:space="preserve">it will be treated </w:t>
            </w:r>
            <w:r w:rsidRPr="002201AB">
              <w:rPr>
                <w:rFonts w:hAnsiTheme="minorHAnsi" w:hint="eastAsia"/>
                <w:sz w:val="21"/>
                <w:szCs w:val="21"/>
                <w:lang w:eastAsia="zh-CN" w:bidi="ar-SA"/>
              </w:rPr>
              <w:t>as Grade 4 toxicity.</w:t>
            </w:r>
          </w:p>
        </w:tc>
        <w:tc>
          <w:tcPr>
            <w:tcW w:w="2837" w:type="dxa"/>
            <w:vAlign w:val="center"/>
          </w:tcPr>
          <w:p w14:paraId="28734B55" w14:textId="77777777" w:rsidR="004E14F7" w:rsidRPr="005D4FCA" w:rsidRDefault="004E14F7" w:rsidP="00FF0C1E">
            <w:pPr>
              <w:pStyle w:val="aff"/>
              <w:widowControl w:val="0"/>
              <w:numPr>
                <w:ilvl w:val="0"/>
                <w:numId w:val="146"/>
              </w:numPr>
              <w:autoSpaceDE w:val="0"/>
              <w:autoSpaceDN w:val="0"/>
              <w:adjustRightInd w:val="0"/>
              <w:spacing w:after="0" w:line="240" w:lineRule="auto"/>
              <w:ind w:left="170" w:hanging="170"/>
              <w:jc w:val="both"/>
              <w:rPr>
                <w:rFonts w:ascii="Times New Roman" w:hAnsi="Times New Roman" w:cs="Times New Roman"/>
                <w:sz w:val="21"/>
                <w:szCs w:val="21"/>
                <w:lang w:eastAsia="zh-CN"/>
              </w:rPr>
            </w:pPr>
            <w:r w:rsidRPr="002201AB">
              <w:rPr>
                <w:rFonts w:ascii="Times New Roman" w:hAnsi="Times New Roman" w:cs="Times New Roman"/>
                <w:sz w:val="21"/>
                <w:szCs w:val="21"/>
                <w:lang w:eastAsia="zh-CN"/>
              </w:rPr>
              <w:t>Transfer to ICU, under</w:t>
            </w:r>
            <w:r>
              <w:rPr>
                <w:rFonts w:ascii="Times New Roman" w:hAnsi="Times New Roman" w:cs="Times New Roman"/>
                <w:sz w:val="21"/>
                <w:szCs w:val="21"/>
                <w:lang w:eastAsia="zh-CN"/>
              </w:rPr>
              <w:t xml:space="preserve">go </w:t>
            </w:r>
            <w:r w:rsidRPr="002201AB">
              <w:rPr>
                <w:rFonts w:ascii="Times New Roman" w:hAnsi="Times New Roman" w:cs="Times New Roman"/>
                <w:sz w:val="21"/>
                <w:szCs w:val="21"/>
                <w:lang w:eastAsia="zh-CN"/>
              </w:rPr>
              <w:t>echocardiography, and under</w:t>
            </w:r>
            <w:r>
              <w:rPr>
                <w:rFonts w:ascii="Times New Roman" w:hAnsi="Times New Roman" w:cs="Times New Roman"/>
                <w:sz w:val="21"/>
                <w:szCs w:val="21"/>
                <w:lang w:eastAsia="zh-CN"/>
              </w:rPr>
              <w:t>go</w:t>
            </w:r>
            <w:r w:rsidRPr="002201AB">
              <w:rPr>
                <w:rFonts w:ascii="Times New Roman" w:hAnsi="Times New Roman" w:cs="Times New Roman"/>
                <w:sz w:val="21"/>
                <w:szCs w:val="21"/>
                <w:lang w:eastAsia="zh-CN"/>
              </w:rPr>
              <w:t xml:space="preserve"> hemodynamic monitoring;</w:t>
            </w:r>
          </w:p>
          <w:p w14:paraId="6A1DC708" w14:textId="77777777" w:rsidR="004E14F7" w:rsidRPr="005D4FCA" w:rsidRDefault="004E14F7" w:rsidP="00FF0C1E">
            <w:pPr>
              <w:pStyle w:val="aff"/>
              <w:widowControl w:val="0"/>
              <w:numPr>
                <w:ilvl w:val="0"/>
                <w:numId w:val="146"/>
              </w:numPr>
              <w:autoSpaceDE w:val="0"/>
              <w:autoSpaceDN w:val="0"/>
              <w:adjustRightInd w:val="0"/>
              <w:spacing w:after="0" w:line="240" w:lineRule="auto"/>
              <w:ind w:left="170" w:hanging="170"/>
              <w:jc w:val="both"/>
              <w:rPr>
                <w:rFonts w:ascii="Times New Roman" w:hAnsi="Times New Roman" w:cs="Times New Roman"/>
                <w:sz w:val="21"/>
                <w:szCs w:val="21"/>
                <w:lang w:eastAsia="zh-CN"/>
              </w:rPr>
            </w:pPr>
            <w:r>
              <w:rPr>
                <w:rFonts w:ascii="Times New Roman" w:hAnsi="Times New Roman" w:cs="Times New Roman"/>
                <w:sz w:val="21"/>
                <w:szCs w:val="21"/>
                <w:lang w:eastAsia="zh-CN"/>
              </w:rPr>
              <w:t>O</w:t>
            </w:r>
            <w:r w:rsidRPr="002201AB">
              <w:rPr>
                <w:rFonts w:ascii="Times New Roman" w:hAnsi="Times New Roman" w:cs="Times New Roman"/>
                <w:sz w:val="21"/>
                <w:szCs w:val="21"/>
                <w:lang w:eastAsia="zh-CN"/>
              </w:rPr>
              <w:t>xygen supply;</w:t>
            </w:r>
          </w:p>
          <w:p w14:paraId="13695EDE" w14:textId="77777777" w:rsidR="004E14F7" w:rsidRPr="005D4FCA" w:rsidRDefault="004E14F7" w:rsidP="00FF0C1E">
            <w:pPr>
              <w:pStyle w:val="aff"/>
              <w:widowControl w:val="0"/>
              <w:numPr>
                <w:ilvl w:val="0"/>
                <w:numId w:val="146"/>
              </w:numPr>
              <w:autoSpaceDE w:val="0"/>
              <w:autoSpaceDN w:val="0"/>
              <w:adjustRightInd w:val="0"/>
              <w:spacing w:after="0" w:line="240" w:lineRule="auto"/>
              <w:ind w:left="170" w:hanging="170"/>
              <w:jc w:val="both"/>
              <w:rPr>
                <w:rFonts w:ascii="Times New Roman" w:hAnsi="Times New Roman" w:cs="Times New Roman"/>
                <w:sz w:val="21"/>
                <w:szCs w:val="21"/>
                <w:lang w:eastAsia="zh-CN"/>
              </w:rPr>
            </w:pPr>
            <w:r>
              <w:rPr>
                <w:rFonts w:ascii="Times New Roman" w:hAnsi="Times New Roman" w:cs="Times New Roman"/>
                <w:sz w:val="21"/>
                <w:szCs w:val="21"/>
                <w:lang w:eastAsia="zh-CN"/>
              </w:rPr>
              <w:t>Rapid i</w:t>
            </w:r>
            <w:r w:rsidRPr="002201AB">
              <w:rPr>
                <w:rFonts w:ascii="Times New Roman" w:hAnsi="Times New Roman" w:cs="Times New Roman"/>
                <w:sz w:val="21"/>
                <w:szCs w:val="21"/>
                <w:lang w:eastAsia="zh-CN"/>
              </w:rPr>
              <w:t>ntravenous pump</w:t>
            </w:r>
            <w:r>
              <w:rPr>
                <w:rFonts w:ascii="Times New Roman" w:hAnsi="Times New Roman" w:cs="Times New Roman"/>
                <w:sz w:val="21"/>
                <w:szCs w:val="21"/>
                <w:lang w:eastAsia="zh-CN"/>
              </w:rPr>
              <w:t>ing and vasopressors as needed</w:t>
            </w:r>
            <w:r w:rsidRPr="002201AB">
              <w:rPr>
                <w:rFonts w:ascii="Times New Roman" w:hAnsi="Times New Roman" w:cs="Times New Roman"/>
                <w:sz w:val="21"/>
                <w:szCs w:val="21"/>
                <w:lang w:eastAsia="zh-CN"/>
              </w:rPr>
              <w:t>;</w:t>
            </w:r>
          </w:p>
          <w:p w14:paraId="4C691FC6" w14:textId="77777777" w:rsidR="004E14F7" w:rsidRPr="002201AB" w:rsidRDefault="004E14F7" w:rsidP="00FF0C1E">
            <w:pPr>
              <w:pStyle w:val="aff"/>
              <w:widowControl w:val="0"/>
              <w:numPr>
                <w:ilvl w:val="0"/>
                <w:numId w:val="146"/>
              </w:numPr>
              <w:autoSpaceDE w:val="0"/>
              <w:autoSpaceDN w:val="0"/>
              <w:adjustRightInd w:val="0"/>
              <w:spacing w:after="0" w:line="240" w:lineRule="auto"/>
              <w:ind w:left="170" w:hanging="170"/>
              <w:jc w:val="both"/>
              <w:rPr>
                <w:sz w:val="21"/>
                <w:szCs w:val="21"/>
                <w:lang w:eastAsia="zh-CN"/>
              </w:rPr>
            </w:pPr>
            <w:r w:rsidRPr="002201AB">
              <w:rPr>
                <w:rFonts w:ascii="Times New Roman" w:hAnsi="Times New Roman" w:cs="Times New Roman"/>
                <w:sz w:val="21"/>
                <w:szCs w:val="21"/>
                <w:lang w:eastAsia="zh-CN"/>
              </w:rPr>
              <w:t xml:space="preserve">Symptomatic treatment </w:t>
            </w:r>
            <w:r>
              <w:rPr>
                <w:rFonts w:ascii="Times New Roman" w:hAnsi="Times New Roman" w:cs="Times New Roman"/>
                <w:sz w:val="21"/>
                <w:szCs w:val="21"/>
                <w:lang w:eastAsia="zh-CN"/>
              </w:rPr>
              <w:t xml:space="preserve">for </w:t>
            </w:r>
            <w:r w:rsidRPr="002201AB">
              <w:rPr>
                <w:rFonts w:ascii="Times New Roman" w:hAnsi="Times New Roman" w:cs="Times New Roman"/>
                <w:sz w:val="21"/>
                <w:szCs w:val="21"/>
                <w:lang w:eastAsia="zh-CN"/>
              </w:rPr>
              <w:t>organ toxicity.</w:t>
            </w:r>
          </w:p>
        </w:tc>
      </w:tr>
      <w:tr w:rsidR="004E14F7" w:rsidRPr="002201AB" w14:paraId="7AAD5CE9" w14:textId="77777777" w:rsidTr="00F31A05">
        <w:trPr>
          <w:jc w:val="center"/>
        </w:trPr>
        <w:tc>
          <w:tcPr>
            <w:tcW w:w="1430" w:type="dxa"/>
            <w:vAlign w:val="center"/>
          </w:tcPr>
          <w:p w14:paraId="0387ED99" w14:textId="77777777" w:rsidR="004E14F7" w:rsidRPr="002201AB" w:rsidRDefault="004E14F7" w:rsidP="00FF0C1E">
            <w:pPr>
              <w:spacing w:after="0"/>
              <w:jc w:val="both"/>
              <w:rPr>
                <w:sz w:val="21"/>
                <w:szCs w:val="21"/>
                <w:lang w:eastAsia="zh-CN"/>
              </w:rPr>
            </w:pPr>
            <w:r w:rsidRPr="002201AB">
              <w:rPr>
                <w:sz w:val="21"/>
                <w:szCs w:val="21"/>
                <w:lang w:bidi="ar-SA"/>
              </w:rPr>
              <w:t>Level 4</w:t>
            </w:r>
          </w:p>
        </w:tc>
        <w:tc>
          <w:tcPr>
            <w:tcW w:w="2201" w:type="dxa"/>
            <w:vAlign w:val="center"/>
          </w:tcPr>
          <w:p w14:paraId="10B2B6C4" w14:textId="6119AD1C" w:rsidR="004E14F7" w:rsidRPr="002201AB" w:rsidRDefault="004E14F7" w:rsidP="00FF0C1E">
            <w:pPr>
              <w:spacing w:after="0"/>
              <w:jc w:val="both"/>
              <w:rPr>
                <w:sz w:val="21"/>
                <w:szCs w:val="21"/>
                <w:lang w:eastAsia="zh-CN"/>
              </w:rPr>
            </w:pPr>
            <w:r w:rsidRPr="002201AB">
              <w:rPr>
                <w:rFonts w:hint="eastAsia"/>
                <w:sz w:val="21"/>
                <w:szCs w:val="21"/>
                <w:lang w:eastAsia="zh-CN"/>
              </w:rPr>
              <w:t xml:space="preserve">If the maximum dose of anti-IL-6 drug treatment is not reached within 24 hours, </w:t>
            </w:r>
            <w:r>
              <w:rPr>
                <w:sz w:val="21"/>
                <w:szCs w:val="21"/>
                <w:lang w:eastAsia="zh-CN"/>
              </w:rPr>
              <w:t xml:space="preserve">the </w:t>
            </w:r>
            <w:r w:rsidRPr="002201AB">
              <w:rPr>
                <w:rFonts w:hint="eastAsia"/>
                <w:sz w:val="21"/>
                <w:szCs w:val="21"/>
                <w:lang w:eastAsia="zh-CN"/>
              </w:rPr>
              <w:t xml:space="preserve">anti-IL-6 treatment </w:t>
            </w:r>
            <w:r>
              <w:rPr>
                <w:sz w:val="21"/>
                <w:szCs w:val="21"/>
                <w:lang w:eastAsia="zh-CN"/>
              </w:rPr>
              <w:t>can</w:t>
            </w:r>
            <w:r w:rsidRPr="002201AB">
              <w:rPr>
                <w:rFonts w:hint="eastAsia"/>
                <w:sz w:val="21"/>
                <w:szCs w:val="21"/>
                <w:lang w:eastAsia="zh-CN"/>
              </w:rPr>
              <w:t xml:space="preserve"> be </w:t>
            </w:r>
            <w:r>
              <w:rPr>
                <w:sz w:val="21"/>
                <w:szCs w:val="21"/>
                <w:lang w:eastAsia="zh-CN"/>
              </w:rPr>
              <w:lastRenderedPageBreak/>
              <w:t>performed</w:t>
            </w:r>
            <w:r w:rsidRPr="002201AB">
              <w:rPr>
                <w:rFonts w:hint="eastAsia"/>
                <w:sz w:val="21"/>
                <w:szCs w:val="21"/>
                <w:lang w:eastAsia="zh-CN"/>
              </w:rPr>
              <w:t xml:space="preserve"> according </w:t>
            </w:r>
            <w:r w:rsidR="00A40DA4" w:rsidRPr="002201AB">
              <w:rPr>
                <w:sz w:val="21"/>
                <w:szCs w:val="21"/>
                <w:lang w:eastAsia="zh-CN"/>
              </w:rPr>
              <w:t>to Grade</w:t>
            </w:r>
            <w:r w:rsidRPr="002201AB">
              <w:rPr>
                <w:rFonts w:hint="eastAsia"/>
                <w:sz w:val="21"/>
                <w:szCs w:val="21"/>
                <w:lang w:eastAsia="zh-CN"/>
              </w:rPr>
              <w:t xml:space="preserve"> 2</w:t>
            </w:r>
            <w:r>
              <w:rPr>
                <w:sz w:val="21"/>
                <w:szCs w:val="21"/>
                <w:lang w:eastAsia="zh-CN"/>
              </w:rPr>
              <w:t xml:space="preserve"> </w:t>
            </w:r>
            <w:r w:rsidRPr="002201AB">
              <w:rPr>
                <w:rFonts w:hint="eastAsia"/>
                <w:sz w:val="21"/>
                <w:szCs w:val="21"/>
                <w:lang w:eastAsia="zh-CN"/>
              </w:rPr>
              <w:t>toxicity</w:t>
            </w:r>
            <w:r w:rsidRPr="00F66BC4">
              <w:rPr>
                <w:sz w:val="21"/>
                <w:szCs w:val="21"/>
                <w:vertAlign w:val="superscript"/>
                <w:lang w:eastAsia="zh-CN"/>
              </w:rPr>
              <w:t>1</w:t>
            </w:r>
            <w:r w:rsidRPr="002201AB">
              <w:rPr>
                <w:rFonts w:hint="eastAsia"/>
                <w:sz w:val="21"/>
                <w:szCs w:val="21"/>
                <w:lang w:eastAsia="zh-CN"/>
              </w:rPr>
              <w:t>.</w:t>
            </w:r>
          </w:p>
        </w:tc>
        <w:tc>
          <w:tcPr>
            <w:tcW w:w="1931" w:type="dxa"/>
            <w:vAlign w:val="center"/>
          </w:tcPr>
          <w:p w14:paraId="331A28D0" w14:textId="77777777" w:rsidR="004E14F7" w:rsidRPr="002201AB" w:rsidRDefault="004E14F7" w:rsidP="00FF0C1E">
            <w:pPr>
              <w:widowControl w:val="0"/>
              <w:autoSpaceDE w:val="0"/>
              <w:autoSpaceDN w:val="0"/>
              <w:adjustRightInd w:val="0"/>
              <w:spacing w:after="0"/>
              <w:jc w:val="both"/>
              <w:rPr>
                <w:sz w:val="21"/>
                <w:szCs w:val="21"/>
                <w:lang w:eastAsia="zh-CN"/>
              </w:rPr>
            </w:pPr>
            <w:r w:rsidRPr="002201AB">
              <w:rPr>
                <w:rFonts w:hAnsiTheme="minorHAnsi" w:hint="eastAsia"/>
                <w:sz w:val="21"/>
                <w:szCs w:val="21"/>
                <w:lang w:eastAsia="zh-CN" w:bidi="ar-SA"/>
              </w:rPr>
              <w:lastRenderedPageBreak/>
              <w:t>Dexamethasone 10</w:t>
            </w:r>
            <w:r>
              <w:rPr>
                <w:rFonts w:hAnsiTheme="minorHAnsi"/>
                <w:sz w:val="21"/>
                <w:szCs w:val="21"/>
                <w:lang w:eastAsia="zh-CN" w:bidi="ar-SA"/>
              </w:rPr>
              <w:t xml:space="preserve"> </w:t>
            </w:r>
            <w:r w:rsidRPr="002201AB">
              <w:rPr>
                <w:rFonts w:hAnsiTheme="minorHAnsi" w:hint="eastAsia"/>
                <w:sz w:val="21"/>
                <w:szCs w:val="21"/>
                <w:lang w:eastAsia="zh-CN" w:bidi="ar-SA"/>
              </w:rPr>
              <w:t>mg</w:t>
            </w:r>
            <w:r>
              <w:rPr>
                <w:rFonts w:hAnsiTheme="minorHAnsi"/>
                <w:sz w:val="21"/>
                <w:szCs w:val="21"/>
                <w:lang w:eastAsia="zh-CN" w:bidi="ar-SA"/>
              </w:rPr>
              <w:t>, intravenously,</w:t>
            </w:r>
            <w:r w:rsidRPr="002201AB">
              <w:rPr>
                <w:rFonts w:hAnsiTheme="minorHAnsi" w:hint="eastAsia"/>
                <w:sz w:val="21"/>
                <w:szCs w:val="21"/>
                <w:lang w:eastAsia="zh-CN" w:bidi="ar-SA"/>
              </w:rPr>
              <w:t xml:space="preserve"> q6h (or equivalent)</w:t>
            </w:r>
            <w:r w:rsidRPr="00F66BC4">
              <w:rPr>
                <w:rFonts w:hAnsiTheme="minorHAnsi" w:hint="eastAsia"/>
                <w:sz w:val="21"/>
                <w:szCs w:val="21"/>
                <w:vertAlign w:val="superscript"/>
                <w:lang w:eastAsia="zh-CN" w:bidi="ar-SA"/>
              </w:rPr>
              <w:t>4</w:t>
            </w:r>
            <w:r w:rsidRPr="002201AB">
              <w:rPr>
                <w:rFonts w:hAnsiTheme="minorHAnsi" w:hint="eastAsia"/>
                <w:sz w:val="21"/>
                <w:szCs w:val="21"/>
                <w:lang w:eastAsia="zh-CN" w:bidi="ar-SA"/>
              </w:rPr>
              <w:t>. If refractory, methylprednisolone</w:t>
            </w:r>
            <w:r w:rsidRPr="00B645C6">
              <w:rPr>
                <w:rFonts w:hAnsiTheme="minorHAnsi"/>
                <w:sz w:val="21"/>
                <w:szCs w:val="21"/>
                <w:vertAlign w:val="superscript"/>
                <w:lang w:eastAsia="zh-CN" w:bidi="ar-SA"/>
              </w:rPr>
              <w:t>5</w:t>
            </w:r>
            <w:r>
              <w:rPr>
                <w:rFonts w:hAnsiTheme="minorHAnsi"/>
                <w:sz w:val="21"/>
                <w:szCs w:val="21"/>
                <w:lang w:eastAsia="zh-CN" w:bidi="ar-SA"/>
              </w:rPr>
              <w:t xml:space="preserve">, intravenous, </w:t>
            </w:r>
            <w:r w:rsidRPr="002201AB">
              <w:rPr>
                <w:rFonts w:hAnsiTheme="minorHAnsi" w:hint="eastAsia"/>
                <w:sz w:val="21"/>
                <w:szCs w:val="21"/>
                <w:lang w:eastAsia="zh-CN" w:bidi="ar-SA"/>
              </w:rPr>
              <w:t>1000</w:t>
            </w:r>
            <w:r>
              <w:rPr>
                <w:rFonts w:hAnsiTheme="minorHAnsi"/>
                <w:sz w:val="21"/>
                <w:szCs w:val="21"/>
                <w:lang w:eastAsia="zh-CN" w:bidi="ar-SA"/>
              </w:rPr>
              <w:t xml:space="preserve"> </w:t>
            </w:r>
            <w:r w:rsidRPr="002201AB">
              <w:rPr>
                <w:rFonts w:hAnsiTheme="minorHAnsi" w:hint="eastAsia"/>
                <w:sz w:val="21"/>
                <w:szCs w:val="21"/>
                <w:lang w:eastAsia="zh-CN" w:bidi="ar-SA"/>
              </w:rPr>
              <w:lastRenderedPageBreak/>
              <w:t>mg/d</w:t>
            </w:r>
            <w:r>
              <w:rPr>
                <w:rFonts w:hAnsiTheme="minorHAnsi"/>
                <w:sz w:val="21"/>
                <w:szCs w:val="21"/>
                <w:lang w:eastAsia="zh-CN" w:bidi="ar-SA"/>
              </w:rPr>
              <w:t xml:space="preserve"> </w:t>
            </w:r>
            <w:r w:rsidRPr="002201AB">
              <w:rPr>
                <w:rFonts w:hAnsiTheme="minorHAnsi" w:hint="eastAsia"/>
                <w:sz w:val="21"/>
                <w:szCs w:val="21"/>
                <w:lang w:eastAsia="zh-CN" w:bidi="ar-SA"/>
              </w:rPr>
              <w:t>is considered.</w:t>
            </w:r>
          </w:p>
        </w:tc>
        <w:tc>
          <w:tcPr>
            <w:tcW w:w="2837" w:type="dxa"/>
            <w:vAlign w:val="center"/>
          </w:tcPr>
          <w:p w14:paraId="0D9C8277" w14:textId="77777777" w:rsidR="004E14F7" w:rsidRPr="005D4FCA" w:rsidRDefault="004E14F7" w:rsidP="00FF0C1E">
            <w:pPr>
              <w:pStyle w:val="aff"/>
              <w:widowControl w:val="0"/>
              <w:numPr>
                <w:ilvl w:val="0"/>
                <w:numId w:val="146"/>
              </w:numPr>
              <w:autoSpaceDE w:val="0"/>
              <w:autoSpaceDN w:val="0"/>
              <w:adjustRightInd w:val="0"/>
              <w:spacing w:after="0" w:line="240" w:lineRule="auto"/>
              <w:ind w:left="170" w:hanging="170"/>
              <w:jc w:val="both"/>
              <w:rPr>
                <w:rFonts w:ascii="Times New Roman" w:hAnsi="Times New Roman" w:cs="Times New Roman"/>
                <w:sz w:val="21"/>
                <w:szCs w:val="21"/>
                <w:lang w:eastAsia="zh-CN"/>
              </w:rPr>
            </w:pPr>
            <w:r w:rsidRPr="002201AB">
              <w:rPr>
                <w:rFonts w:ascii="Times New Roman" w:hAnsi="Times New Roman" w:cs="Times New Roman"/>
                <w:sz w:val="21"/>
                <w:szCs w:val="21"/>
                <w:lang w:eastAsia="zh-CN"/>
              </w:rPr>
              <w:lastRenderedPageBreak/>
              <w:t>ICU monitoring and hemodynamic monitoring;</w:t>
            </w:r>
          </w:p>
          <w:p w14:paraId="4845CCF9" w14:textId="77777777" w:rsidR="004E14F7" w:rsidRPr="005D4FCA" w:rsidRDefault="004E14F7" w:rsidP="00FF0C1E">
            <w:pPr>
              <w:pStyle w:val="aff"/>
              <w:widowControl w:val="0"/>
              <w:numPr>
                <w:ilvl w:val="0"/>
                <w:numId w:val="146"/>
              </w:numPr>
              <w:autoSpaceDE w:val="0"/>
              <w:autoSpaceDN w:val="0"/>
              <w:adjustRightInd w:val="0"/>
              <w:spacing w:after="0" w:line="240" w:lineRule="auto"/>
              <w:ind w:left="170" w:hanging="170"/>
              <w:jc w:val="both"/>
              <w:rPr>
                <w:rFonts w:ascii="Times New Roman" w:hAnsi="Times New Roman" w:cs="Times New Roman"/>
                <w:sz w:val="21"/>
                <w:szCs w:val="21"/>
                <w:lang w:eastAsia="zh-CN"/>
              </w:rPr>
            </w:pPr>
            <w:r w:rsidRPr="002201AB">
              <w:rPr>
                <w:rFonts w:ascii="Times New Roman" w:hAnsi="Times New Roman" w:cs="Times New Roman"/>
                <w:sz w:val="21"/>
                <w:szCs w:val="21"/>
                <w:lang w:eastAsia="zh-CN"/>
              </w:rPr>
              <w:t>Mechanical ventilation as needed;</w:t>
            </w:r>
          </w:p>
          <w:p w14:paraId="38D539B5" w14:textId="77777777" w:rsidR="004E14F7" w:rsidRPr="005D4FCA" w:rsidRDefault="004E14F7" w:rsidP="00FF0C1E">
            <w:pPr>
              <w:pStyle w:val="aff"/>
              <w:widowControl w:val="0"/>
              <w:numPr>
                <w:ilvl w:val="0"/>
                <w:numId w:val="146"/>
              </w:numPr>
              <w:autoSpaceDE w:val="0"/>
              <w:autoSpaceDN w:val="0"/>
              <w:adjustRightInd w:val="0"/>
              <w:spacing w:after="0" w:line="240" w:lineRule="auto"/>
              <w:ind w:left="170" w:hanging="170"/>
              <w:jc w:val="both"/>
              <w:rPr>
                <w:rFonts w:ascii="Times New Roman" w:hAnsi="Times New Roman" w:cs="Times New Roman"/>
                <w:sz w:val="21"/>
                <w:szCs w:val="21"/>
                <w:lang w:eastAsia="zh-CN"/>
              </w:rPr>
            </w:pPr>
            <w:r>
              <w:rPr>
                <w:rFonts w:ascii="Times New Roman" w:hAnsi="Times New Roman" w:cs="Times New Roman"/>
                <w:sz w:val="21"/>
                <w:szCs w:val="21"/>
                <w:lang w:eastAsia="zh-CN"/>
              </w:rPr>
              <w:t>Rapid i</w:t>
            </w:r>
            <w:r w:rsidRPr="002201AB">
              <w:rPr>
                <w:rFonts w:ascii="Times New Roman" w:hAnsi="Times New Roman" w:cs="Times New Roman"/>
                <w:sz w:val="21"/>
                <w:szCs w:val="21"/>
                <w:lang w:eastAsia="zh-CN"/>
              </w:rPr>
              <w:t>ntravenous pump</w:t>
            </w:r>
            <w:r>
              <w:rPr>
                <w:rFonts w:ascii="Times New Roman" w:hAnsi="Times New Roman" w:cs="Times New Roman"/>
                <w:sz w:val="21"/>
                <w:szCs w:val="21"/>
                <w:lang w:eastAsia="zh-CN"/>
              </w:rPr>
              <w:t>ing and vasopressors as needed</w:t>
            </w:r>
            <w:r w:rsidRPr="002201AB">
              <w:rPr>
                <w:rFonts w:ascii="Times New Roman" w:hAnsi="Times New Roman" w:cs="Times New Roman"/>
                <w:sz w:val="21"/>
                <w:szCs w:val="21"/>
                <w:lang w:eastAsia="zh-CN"/>
              </w:rPr>
              <w:t>;</w:t>
            </w:r>
          </w:p>
          <w:p w14:paraId="6713B902" w14:textId="77777777" w:rsidR="004E14F7" w:rsidRPr="002201AB" w:rsidRDefault="004E14F7" w:rsidP="00FF0C1E">
            <w:pPr>
              <w:pStyle w:val="aff"/>
              <w:widowControl w:val="0"/>
              <w:numPr>
                <w:ilvl w:val="0"/>
                <w:numId w:val="146"/>
              </w:numPr>
              <w:autoSpaceDE w:val="0"/>
              <w:autoSpaceDN w:val="0"/>
              <w:adjustRightInd w:val="0"/>
              <w:spacing w:after="0" w:line="240" w:lineRule="auto"/>
              <w:ind w:left="170" w:hanging="170"/>
              <w:jc w:val="both"/>
              <w:rPr>
                <w:sz w:val="21"/>
                <w:szCs w:val="21"/>
                <w:lang w:eastAsia="zh-CN"/>
              </w:rPr>
            </w:pPr>
            <w:r w:rsidRPr="002201AB">
              <w:rPr>
                <w:rFonts w:ascii="Times New Roman" w:hAnsi="Times New Roman" w:cs="Times New Roman"/>
                <w:sz w:val="21"/>
                <w:szCs w:val="21"/>
                <w:lang w:eastAsia="zh-CN"/>
              </w:rPr>
              <w:lastRenderedPageBreak/>
              <w:t xml:space="preserve">Symptomatic treatment </w:t>
            </w:r>
            <w:r>
              <w:rPr>
                <w:rFonts w:ascii="Times New Roman" w:hAnsi="Times New Roman" w:cs="Times New Roman"/>
                <w:sz w:val="21"/>
                <w:szCs w:val="21"/>
                <w:lang w:eastAsia="zh-CN"/>
              </w:rPr>
              <w:t>for</w:t>
            </w:r>
            <w:r w:rsidRPr="002201AB">
              <w:rPr>
                <w:rFonts w:ascii="Times New Roman" w:hAnsi="Times New Roman" w:cs="Times New Roman"/>
                <w:sz w:val="21"/>
                <w:szCs w:val="21"/>
                <w:lang w:eastAsia="zh-CN"/>
              </w:rPr>
              <w:t xml:space="preserve"> organ toxicity.</w:t>
            </w:r>
          </w:p>
        </w:tc>
      </w:tr>
    </w:tbl>
    <w:p w14:paraId="67D25905" w14:textId="77777777" w:rsidR="004E14F7" w:rsidRDefault="004E14F7" w:rsidP="00FF0C1E">
      <w:pPr>
        <w:widowControl w:val="0"/>
        <w:autoSpaceDE w:val="0"/>
        <w:autoSpaceDN w:val="0"/>
        <w:adjustRightInd w:val="0"/>
        <w:spacing w:after="0" w:line="240" w:lineRule="auto"/>
        <w:jc w:val="both"/>
        <w:rPr>
          <w:sz w:val="21"/>
          <w:szCs w:val="21"/>
          <w:lang w:eastAsia="zh-CN" w:bidi="ar-SA"/>
        </w:rPr>
      </w:pPr>
      <w:r>
        <w:rPr>
          <w:rFonts w:hint="eastAsia"/>
          <w:sz w:val="21"/>
          <w:szCs w:val="21"/>
          <w:lang w:eastAsia="zh-CN" w:bidi="ar-SA"/>
        </w:rPr>
        <w:lastRenderedPageBreak/>
        <w:t>A</w:t>
      </w:r>
      <w:r>
        <w:rPr>
          <w:sz w:val="21"/>
          <w:szCs w:val="21"/>
          <w:lang w:eastAsia="zh-CN" w:bidi="ar-SA"/>
        </w:rPr>
        <w:t xml:space="preserve">bbreviations: CRS, </w:t>
      </w:r>
      <w:r w:rsidRPr="0029562A">
        <w:rPr>
          <w:sz w:val="21"/>
          <w:szCs w:val="21"/>
          <w:lang w:eastAsia="zh-CN" w:bidi="ar-SA"/>
        </w:rPr>
        <w:t>cytokine release syndrome</w:t>
      </w:r>
      <w:r>
        <w:rPr>
          <w:sz w:val="21"/>
          <w:szCs w:val="21"/>
          <w:lang w:eastAsia="zh-CN" w:bidi="ar-SA"/>
        </w:rPr>
        <w:t>;</w:t>
      </w:r>
      <w:r w:rsidRPr="0029562A">
        <w:rPr>
          <w:sz w:val="21"/>
          <w:szCs w:val="21"/>
          <w:lang w:eastAsia="zh-CN" w:bidi="ar-SA"/>
        </w:rPr>
        <w:t xml:space="preserve"> </w:t>
      </w:r>
      <w:r>
        <w:rPr>
          <w:sz w:val="21"/>
          <w:szCs w:val="21"/>
          <w:lang w:eastAsia="zh-CN" w:bidi="ar-SA"/>
        </w:rPr>
        <w:t xml:space="preserve">GM-CSF, </w:t>
      </w:r>
      <w:r w:rsidRPr="00F66BC4">
        <w:rPr>
          <w:sz w:val="21"/>
          <w:szCs w:val="21"/>
          <w:lang w:eastAsia="zh-CN" w:bidi="ar-SA"/>
        </w:rPr>
        <w:t>granulocyte-macrophage colony</w:t>
      </w:r>
      <w:r>
        <w:rPr>
          <w:sz w:val="21"/>
          <w:szCs w:val="21"/>
          <w:lang w:eastAsia="zh-CN" w:bidi="ar-SA"/>
        </w:rPr>
        <w:noBreakHyphen/>
      </w:r>
      <w:r w:rsidRPr="00F66BC4">
        <w:rPr>
          <w:sz w:val="21"/>
          <w:szCs w:val="21"/>
          <w:lang w:eastAsia="zh-CN" w:bidi="ar-SA"/>
        </w:rPr>
        <w:t>stimulating factor</w:t>
      </w:r>
      <w:r>
        <w:rPr>
          <w:sz w:val="21"/>
          <w:szCs w:val="21"/>
          <w:lang w:eastAsia="zh-CN" w:bidi="ar-SA"/>
        </w:rPr>
        <w:t>;</w:t>
      </w:r>
      <w:r w:rsidRPr="0029562A">
        <w:rPr>
          <w:sz w:val="21"/>
          <w:szCs w:val="21"/>
          <w:lang w:eastAsia="zh-CN" w:bidi="ar-SA"/>
        </w:rPr>
        <w:t xml:space="preserve"> HLH</w:t>
      </w:r>
      <w:r>
        <w:rPr>
          <w:sz w:val="21"/>
          <w:szCs w:val="21"/>
          <w:lang w:eastAsia="zh-CN" w:bidi="ar-SA"/>
        </w:rPr>
        <w:t>, h</w:t>
      </w:r>
      <w:r w:rsidRPr="0029562A">
        <w:rPr>
          <w:sz w:val="21"/>
          <w:szCs w:val="21"/>
          <w:lang w:eastAsia="zh-CN" w:bidi="ar-SA"/>
        </w:rPr>
        <w:t xml:space="preserve">emophagocytic </w:t>
      </w:r>
      <w:proofErr w:type="spellStart"/>
      <w:r>
        <w:rPr>
          <w:sz w:val="21"/>
          <w:szCs w:val="21"/>
          <w:lang w:eastAsia="zh-CN" w:bidi="ar-SA"/>
        </w:rPr>
        <w:t>l</w:t>
      </w:r>
      <w:r w:rsidRPr="0029562A">
        <w:rPr>
          <w:sz w:val="21"/>
          <w:szCs w:val="21"/>
          <w:lang w:eastAsia="zh-CN" w:bidi="ar-SA"/>
        </w:rPr>
        <w:t>ymphohistiocytosis</w:t>
      </w:r>
      <w:proofErr w:type="spellEnd"/>
      <w:r>
        <w:rPr>
          <w:sz w:val="21"/>
          <w:szCs w:val="21"/>
          <w:lang w:eastAsia="zh-CN" w:bidi="ar-SA"/>
        </w:rPr>
        <w:t>;</w:t>
      </w:r>
      <w:r w:rsidRPr="0029562A">
        <w:rPr>
          <w:sz w:val="21"/>
          <w:szCs w:val="21"/>
          <w:lang w:eastAsia="zh-CN" w:bidi="ar-SA"/>
        </w:rPr>
        <w:t xml:space="preserve"> </w:t>
      </w:r>
      <w:r>
        <w:rPr>
          <w:sz w:val="21"/>
          <w:szCs w:val="21"/>
          <w:lang w:eastAsia="zh-CN" w:bidi="ar-SA"/>
        </w:rPr>
        <w:t>ICU, i</w:t>
      </w:r>
      <w:r w:rsidRPr="0029562A">
        <w:rPr>
          <w:sz w:val="21"/>
          <w:szCs w:val="21"/>
          <w:lang w:eastAsia="zh-CN" w:bidi="ar-SA"/>
        </w:rPr>
        <w:t xml:space="preserve">ntensive </w:t>
      </w:r>
      <w:r>
        <w:rPr>
          <w:sz w:val="21"/>
          <w:szCs w:val="21"/>
          <w:lang w:eastAsia="zh-CN" w:bidi="ar-SA"/>
        </w:rPr>
        <w:t>c</w:t>
      </w:r>
      <w:r w:rsidRPr="0029562A">
        <w:rPr>
          <w:sz w:val="21"/>
          <w:szCs w:val="21"/>
          <w:lang w:eastAsia="zh-CN" w:bidi="ar-SA"/>
        </w:rPr>
        <w:t xml:space="preserve">are </w:t>
      </w:r>
      <w:r>
        <w:rPr>
          <w:sz w:val="21"/>
          <w:szCs w:val="21"/>
          <w:lang w:eastAsia="zh-CN" w:bidi="ar-SA"/>
        </w:rPr>
        <w:t>u</w:t>
      </w:r>
      <w:r w:rsidRPr="0029562A">
        <w:rPr>
          <w:sz w:val="21"/>
          <w:szCs w:val="21"/>
          <w:lang w:eastAsia="zh-CN" w:bidi="ar-SA"/>
        </w:rPr>
        <w:t>nit</w:t>
      </w:r>
      <w:r>
        <w:rPr>
          <w:sz w:val="21"/>
          <w:szCs w:val="21"/>
          <w:lang w:eastAsia="zh-CN" w:bidi="ar-SA"/>
        </w:rPr>
        <w:t>; IL</w:t>
      </w:r>
      <w:r>
        <w:rPr>
          <w:sz w:val="21"/>
          <w:szCs w:val="21"/>
          <w:lang w:eastAsia="zh-CN" w:bidi="ar-SA"/>
        </w:rPr>
        <w:noBreakHyphen/>
        <w:t>6, i</w:t>
      </w:r>
      <w:r w:rsidRPr="00F66BC4">
        <w:rPr>
          <w:sz w:val="21"/>
          <w:szCs w:val="21"/>
          <w:lang w:eastAsia="zh-CN" w:bidi="ar-SA"/>
        </w:rPr>
        <w:t>nterleukin</w:t>
      </w:r>
      <w:r>
        <w:rPr>
          <w:sz w:val="21"/>
          <w:szCs w:val="21"/>
          <w:lang w:eastAsia="zh-CN" w:bidi="ar-SA"/>
        </w:rPr>
        <w:t>-</w:t>
      </w:r>
      <w:r w:rsidRPr="00F66BC4">
        <w:rPr>
          <w:sz w:val="21"/>
          <w:szCs w:val="21"/>
          <w:lang w:eastAsia="zh-CN" w:bidi="ar-SA"/>
        </w:rPr>
        <w:t>6</w:t>
      </w:r>
      <w:r>
        <w:rPr>
          <w:rFonts w:hint="eastAsia"/>
          <w:sz w:val="21"/>
          <w:szCs w:val="21"/>
          <w:lang w:eastAsia="zh-CN" w:bidi="ar-SA"/>
        </w:rPr>
        <w:t>;</w:t>
      </w:r>
      <w:r>
        <w:rPr>
          <w:sz w:val="21"/>
          <w:szCs w:val="21"/>
          <w:lang w:eastAsia="zh-CN" w:bidi="ar-SA"/>
        </w:rPr>
        <w:t xml:space="preserve"> </w:t>
      </w:r>
      <w:r w:rsidRPr="0029562A">
        <w:rPr>
          <w:sz w:val="21"/>
          <w:szCs w:val="21"/>
          <w:lang w:eastAsia="zh-CN" w:bidi="ar-SA"/>
        </w:rPr>
        <w:t>MAS</w:t>
      </w:r>
      <w:r>
        <w:rPr>
          <w:sz w:val="21"/>
          <w:szCs w:val="21"/>
          <w:lang w:eastAsia="zh-CN" w:bidi="ar-SA"/>
        </w:rPr>
        <w:t xml:space="preserve">, </w:t>
      </w:r>
      <w:r w:rsidRPr="0029562A">
        <w:rPr>
          <w:sz w:val="21"/>
          <w:szCs w:val="21"/>
          <w:lang w:eastAsia="zh-CN" w:bidi="ar-SA"/>
        </w:rPr>
        <w:t>macrophage activation syndrome</w:t>
      </w:r>
      <w:r>
        <w:rPr>
          <w:sz w:val="21"/>
          <w:szCs w:val="21"/>
          <w:lang w:eastAsia="zh-CN" w:bidi="ar-SA"/>
        </w:rPr>
        <w:t>; q6h, once every 6 hours; q12h, once every 12 hours.</w:t>
      </w:r>
    </w:p>
    <w:p w14:paraId="0BADF0C2" w14:textId="77777777" w:rsidR="004E14F7" w:rsidRPr="00F66BC4" w:rsidRDefault="004E14F7" w:rsidP="00FF0C1E">
      <w:pPr>
        <w:widowControl w:val="0"/>
        <w:autoSpaceDE w:val="0"/>
        <w:autoSpaceDN w:val="0"/>
        <w:adjustRightInd w:val="0"/>
        <w:spacing w:after="0" w:line="240" w:lineRule="auto"/>
        <w:jc w:val="both"/>
        <w:rPr>
          <w:sz w:val="21"/>
          <w:szCs w:val="21"/>
          <w:lang w:eastAsia="zh-CN" w:bidi="ar-SA"/>
        </w:rPr>
      </w:pPr>
      <w:r>
        <w:rPr>
          <w:sz w:val="21"/>
          <w:szCs w:val="21"/>
          <w:lang w:eastAsia="zh-CN" w:bidi="ar-SA"/>
        </w:rPr>
        <w:t>Note:</w:t>
      </w:r>
      <w:r w:rsidRPr="00F66BC4">
        <w:rPr>
          <w:sz w:val="21"/>
          <w:szCs w:val="21"/>
          <w:lang w:eastAsia="zh-CN" w:bidi="ar-SA"/>
        </w:rPr>
        <w:t xml:space="preserve"> </w:t>
      </w:r>
      <w:r>
        <w:rPr>
          <w:sz w:val="21"/>
          <w:szCs w:val="21"/>
          <w:lang w:eastAsia="zh-CN" w:bidi="ar-SA"/>
        </w:rPr>
        <w:t>HLH/MAS occurring during CRS should be treated as CRS with the addition of steroids. If symptoms do not improve within 48 hours, etoposide with intrathecal cytarabine may be considered for the treatment of neurotoxicity.</w:t>
      </w:r>
    </w:p>
    <w:p w14:paraId="2AF9F115" w14:textId="77777777" w:rsidR="004E14F7" w:rsidRPr="00F66BC4" w:rsidRDefault="004E14F7" w:rsidP="00FF0C1E">
      <w:pPr>
        <w:pStyle w:val="aff"/>
        <w:widowControl w:val="0"/>
        <w:numPr>
          <w:ilvl w:val="0"/>
          <w:numId w:val="147"/>
        </w:numPr>
        <w:spacing w:after="0" w:line="240" w:lineRule="auto"/>
        <w:contextualSpacing w:val="0"/>
        <w:jc w:val="both"/>
        <w:rPr>
          <w:rFonts w:ascii="Times New Roman" w:hAnsi="Times New Roman" w:cs="Times New Roman"/>
          <w:bCs/>
          <w:sz w:val="21"/>
          <w:szCs w:val="21"/>
        </w:rPr>
      </w:pPr>
      <w:r w:rsidRPr="00F66BC4">
        <w:rPr>
          <w:rFonts w:ascii="Times New Roman" w:hAnsi="Times New Roman" w:cs="Times New Roman"/>
          <w:bCs/>
          <w:sz w:val="21"/>
          <w:szCs w:val="21"/>
        </w:rPr>
        <w:t>Assess the need for subsequent dosing after each dose.</w:t>
      </w:r>
    </w:p>
    <w:p w14:paraId="51A28BB8" w14:textId="77777777" w:rsidR="004E14F7" w:rsidRPr="00F66BC4" w:rsidRDefault="004E14F7" w:rsidP="00FF0C1E">
      <w:pPr>
        <w:pStyle w:val="aff"/>
        <w:widowControl w:val="0"/>
        <w:numPr>
          <w:ilvl w:val="0"/>
          <w:numId w:val="147"/>
        </w:numPr>
        <w:spacing w:after="0" w:line="240" w:lineRule="auto"/>
        <w:contextualSpacing w:val="0"/>
        <w:jc w:val="both"/>
        <w:rPr>
          <w:rFonts w:ascii="Times New Roman" w:hAnsi="Times New Roman" w:cs="Times New Roman"/>
          <w:bCs/>
          <w:sz w:val="21"/>
          <w:szCs w:val="21"/>
        </w:rPr>
      </w:pPr>
      <w:r w:rsidRPr="00F66BC4">
        <w:rPr>
          <w:rFonts w:ascii="Times New Roman" w:hAnsi="Times New Roman" w:cs="Times New Roman"/>
          <w:bCs/>
          <w:sz w:val="21"/>
          <w:szCs w:val="21"/>
        </w:rPr>
        <w:t>Antifungal prophylaxis should be strongly considered in patients receiving steroid therapy for CRS and/or central neurotoxicity.</w:t>
      </w:r>
    </w:p>
    <w:p w14:paraId="63D6EA8F" w14:textId="77777777" w:rsidR="004E14F7" w:rsidRPr="00F66BC4" w:rsidRDefault="004E14F7" w:rsidP="00FF0C1E">
      <w:pPr>
        <w:pStyle w:val="aff"/>
        <w:widowControl w:val="0"/>
        <w:numPr>
          <w:ilvl w:val="0"/>
          <w:numId w:val="147"/>
        </w:numPr>
        <w:spacing w:after="0" w:line="240" w:lineRule="auto"/>
        <w:contextualSpacing w:val="0"/>
        <w:jc w:val="both"/>
        <w:rPr>
          <w:rFonts w:ascii="Times New Roman" w:hAnsi="Times New Roman" w:cs="Times New Roman"/>
          <w:bCs/>
          <w:sz w:val="21"/>
          <w:szCs w:val="21"/>
        </w:rPr>
      </w:pPr>
      <w:r w:rsidRPr="00F66BC4">
        <w:rPr>
          <w:rFonts w:ascii="Times New Roman" w:hAnsi="Times New Roman" w:cs="Times New Roman"/>
          <w:bCs/>
          <w:sz w:val="21"/>
          <w:szCs w:val="21"/>
        </w:rPr>
        <w:t>GM-CSF is not recommended for use with CAR-T therapy.</w:t>
      </w:r>
    </w:p>
    <w:p w14:paraId="46F14C30" w14:textId="77777777" w:rsidR="004E14F7" w:rsidRPr="00F66BC4" w:rsidRDefault="004E14F7" w:rsidP="00FF0C1E">
      <w:pPr>
        <w:pStyle w:val="aff"/>
        <w:widowControl w:val="0"/>
        <w:numPr>
          <w:ilvl w:val="0"/>
          <w:numId w:val="147"/>
        </w:numPr>
        <w:spacing w:after="0" w:line="240" w:lineRule="auto"/>
        <w:contextualSpacing w:val="0"/>
        <w:jc w:val="both"/>
        <w:rPr>
          <w:rFonts w:ascii="Times New Roman" w:hAnsi="Times New Roman" w:cs="Times New Roman"/>
          <w:bCs/>
          <w:sz w:val="21"/>
          <w:szCs w:val="21"/>
        </w:rPr>
      </w:pPr>
      <w:r w:rsidRPr="00F66BC4">
        <w:rPr>
          <w:rFonts w:ascii="Times New Roman" w:hAnsi="Times New Roman" w:cs="Times New Roman"/>
          <w:bCs/>
          <w:sz w:val="21"/>
          <w:szCs w:val="21"/>
        </w:rPr>
        <w:t>Other steroids with equivalent doses may be considered alternatively.</w:t>
      </w:r>
    </w:p>
    <w:p w14:paraId="320497EB" w14:textId="77777777" w:rsidR="004E14F7" w:rsidRPr="00F66BC4" w:rsidRDefault="004E14F7" w:rsidP="00FF0C1E">
      <w:pPr>
        <w:pStyle w:val="aff"/>
        <w:widowControl w:val="0"/>
        <w:numPr>
          <w:ilvl w:val="0"/>
          <w:numId w:val="147"/>
        </w:numPr>
        <w:spacing w:after="0" w:line="240" w:lineRule="auto"/>
        <w:contextualSpacing w:val="0"/>
        <w:jc w:val="both"/>
        <w:rPr>
          <w:rFonts w:ascii="Times New Roman" w:hAnsi="Times New Roman" w:cs="Times New Roman"/>
          <w:bCs/>
          <w:sz w:val="21"/>
          <w:szCs w:val="21"/>
        </w:rPr>
      </w:pPr>
      <w:r w:rsidRPr="00F66BC4">
        <w:rPr>
          <w:rFonts w:ascii="Times New Roman" w:hAnsi="Times New Roman" w:cs="Times New Roman"/>
          <w:bCs/>
          <w:sz w:val="21"/>
          <w:szCs w:val="21"/>
        </w:rPr>
        <w:t>Methylprednisolone, intravenously, 1000 mg/ day × 3 days, then tapering to 250 mg q12h × 2 days to 125 mg q12h × 2 days to 60 mg q12h × 2 days.</w:t>
      </w:r>
    </w:p>
    <w:p w14:paraId="7544DAF9" w14:textId="77777777" w:rsidR="004E14F7" w:rsidRDefault="004E14F7" w:rsidP="00FF0C1E">
      <w:pPr>
        <w:jc w:val="both"/>
      </w:pPr>
    </w:p>
    <w:p w14:paraId="6D918308" w14:textId="77777777" w:rsidR="004E14F7" w:rsidRDefault="004E14F7" w:rsidP="00FF0C1E">
      <w:pPr>
        <w:spacing w:line="360" w:lineRule="auto"/>
        <w:jc w:val="both"/>
        <w:rPr>
          <w:bCs/>
        </w:rPr>
      </w:pPr>
    </w:p>
    <w:p w14:paraId="025CBE6D" w14:textId="77777777" w:rsidR="004E14F7" w:rsidRPr="00C820E8" w:rsidRDefault="004E14F7" w:rsidP="00FF0C1E">
      <w:pPr>
        <w:spacing w:line="360" w:lineRule="auto"/>
        <w:jc w:val="both"/>
      </w:pPr>
    </w:p>
    <w:p w14:paraId="19EE97D8" w14:textId="77777777" w:rsidR="004E14F7" w:rsidRDefault="004E14F7" w:rsidP="00FF0C1E">
      <w:pPr>
        <w:spacing w:after="200"/>
        <w:jc w:val="both"/>
        <w:rPr>
          <w:b/>
          <w:bCs/>
          <w:lang w:eastAsia="zh-CN" w:bidi="ar-SA"/>
        </w:rPr>
      </w:pPr>
      <w:r>
        <w:rPr>
          <w:b/>
          <w:bCs/>
        </w:rPr>
        <w:br w:type="page"/>
      </w:r>
    </w:p>
    <w:p w14:paraId="2DCB438D" w14:textId="70DDFBFD" w:rsidR="004479E5" w:rsidRDefault="00B77038" w:rsidP="00FF0C1E">
      <w:pPr>
        <w:pStyle w:val="aff2"/>
        <w:spacing w:before="0" w:beforeAutospacing="0" w:after="0" w:afterAutospacing="0" w:line="360" w:lineRule="auto"/>
        <w:jc w:val="both"/>
        <w:outlineLvl w:val="1"/>
        <w:rPr>
          <w:rFonts w:ascii="Times New Roman" w:hAnsi="Times New Roman" w:cs="Times New Roman"/>
          <w:b/>
          <w:bCs/>
        </w:rPr>
      </w:pPr>
      <w:bookmarkStart w:id="280" w:name="app3"/>
      <w:r w:rsidRPr="004479E5">
        <w:rPr>
          <w:rFonts w:ascii="Times New Roman" w:hAnsi="Times New Roman" w:cs="Times New Roman"/>
          <w:b/>
          <w:bCs/>
        </w:rPr>
        <w:lastRenderedPageBreak/>
        <w:t>Appendix </w:t>
      </w:r>
      <w:r w:rsidRPr="00B77038">
        <w:rPr>
          <w:rFonts w:ascii="Times New Roman" w:hAnsi="Times New Roman" w:cs="Times New Roman"/>
          <w:b/>
          <w:bCs/>
        </w:rPr>
        <w:fldChar w:fldCharType="begin"/>
      </w:r>
      <w:r w:rsidRPr="004479E5">
        <w:rPr>
          <w:rFonts w:ascii="Times New Roman" w:hAnsi="Times New Roman" w:cs="Times New Roman"/>
          <w:b/>
          <w:bCs/>
        </w:rPr>
        <w:instrText>SEQ Appendix \* ARABIC</w:instrText>
      </w:r>
      <w:r w:rsidRPr="00B77038">
        <w:rPr>
          <w:rFonts w:ascii="Times New Roman" w:hAnsi="Times New Roman" w:cs="Times New Roman"/>
          <w:b/>
          <w:bCs/>
        </w:rPr>
        <w:fldChar w:fldCharType="separate"/>
      </w:r>
      <w:r w:rsidR="004E14F7">
        <w:rPr>
          <w:rFonts w:ascii="Times New Roman" w:hAnsi="Times New Roman" w:cs="Times New Roman"/>
          <w:b/>
          <w:bCs/>
          <w:noProof/>
        </w:rPr>
        <w:t>3</w:t>
      </w:r>
      <w:r w:rsidRPr="00B77038">
        <w:rPr>
          <w:rFonts w:ascii="Times New Roman" w:hAnsi="Times New Roman" w:cs="Times New Roman"/>
          <w:b/>
          <w:bCs/>
        </w:rPr>
        <w:fldChar w:fldCharType="end"/>
      </w:r>
      <w:bookmarkEnd w:id="280"/>
      <w:r w:rsidRPr="00B77038">
        <w:rPr>
          <w:rFonts w:ascii="Times New Roman" w:hAnsi="Times New Roman" w:cs="Times New Roman" w:hint="eastAsia"/>
          <w:b/>
          <w:bCs/>
        </w:rPr>
        <w:t>.</w:t>
      </w:r>
      <w:r w:rsidRPr="00B77038">
        <w:rPr>
          <w:rFonts w:ascii="Times New Roman" w:hAnsi="Times New Roman" w:cs="Times New Roman"/>
          <w:b/>
          <w:bCs/>
        </w:rPr>
        <w:t xml:space="preserve"> </w:t>
      </w:r>
      <w:r w:rsidR="004479E5" w:rsidRPr="00B77038">
        <w:rPr>
          <w:rFonts w:ascii="Times New Roman" w:hAnsi="Times New Roman" w:cs="Times New Roman"/>
          <w:b/>
          <w:bCs/>
        </w:rPr>
        <w:t xml:space="preserve">International Myeloma Working Group </w:t>
      </w:r>
      <w:r w:rsidR="00BA3707" w:rsidRPr="00B77038">
        <w:rPr>
          <w:rFonts w:ascii="Times New Roman" w:hAnsi="Times New Roman" w:cs="Times New Roman"/>
          <w:b/>
          <w:bCs/>
        </w:rPr>
        <w:t>C</w:t>
      </w:r>
      <w:r w:rsidR="004479E5" w:rsidRPr="00B77038">
        <w:rPr>
          <w:rFonts w:ascii="Times New Roman" w:hAnsi="Times New Roman" w:cs="Times New Roman"/>
          <w:b/>
          <w:bCs/>
        </w:rPr>
        <w:t xml:space="preserve">onsensus </w:t>
      </w:r>
      <w:r w:rsidR="00BA3707" w:rsidRPr="00B77038">
        <w:rPr>
          <w:rFonts w:ascii="Times New Roman" w:hAnsi="Times New Roman" w:cs="Times New Roman"/>
          <w:b/>
          <w:bCs/>
        </w:rPr>
        <w:t>C</w:t>
      </w:r>
      <w:r w:rsidR="004479E5" w:rsidRPr="00B77038">
        <w:rPr>
          <w:rFonts w:ascii="Times New Roman" w:hAnsi="Times New Roman" w:cs="Times New Roman"/>
          <w:b/>
          <w:bCs/>
        </w:rPr>
        <w:t xml:space="preserve">riteria for </w:t>
      </w:r>
      <w:r w:rsidR="00BA3707" w:rsidRPr="00B77038">
        <w:rPr>
          <w:rFonts w:ascii="Times New Roman" w:hAnsi="Times New Roman" w:cs="Times New Roman"/>
          <w:b/>
          <w:bCs/>
        </w:rPr>
        <w:t>R</w:t>
      </w:r>
      <w:r w:rsidR="004479E5" w:rsidRPr="00B77038">
        <w:rPr>
          <w:rFonts w:ascii="Times New Roman" w:hAnsi="Times New Roman" w:cs="Times New Roman"/>
          <w:b/>
          <w:bCs/>
        </w:rPr>
        <w:t xml:space="preserve">esponse </w:t>
      </w:r>
      <w:r w:rsidR="00BA3707" w:rsidRPr="00B77038">
        <w:rPr>
          <w:rFonts w:ascii="Times New Roman" w:hAnsi="Times New Roman" w:cs="Times New Roman"/>
          <w:b/>
          <w:bCs/>
        </w:rPr>
        <w:t>A</w:t>
      </w:r>
      <w:r w:rsidR="004479E5" w:rsidRPr="00B77038">
        <w:rPr>
          <w:rFonts w:ascii="Times New Roman" w:hAnsi="Times New Roman" w:cs="Times New Roman"/>
          <w:b/>
          <w:bCs/>
        </w:rPr>
        <w:t xml:space="preserve">ssessment in </w:t>
      </w:r>
      <w:r w:rsidR="00BA3707" w:rsidRPr="00B77038">
        <w:rPr>
          <w:rFonts w:ascii="Times New Roman" w:hAnsi="Times New Roman" w:cs="Times New Roman"/>
          <w:b/>
          <w:bCs/>
        </w:rPr>
        <w:t>M</w:t>
      </w:r>
      <w:r w:rsidR="004479E5" w:rsidRPr="00B77038">
        <w:rPr>
          <w:rFonts w:ascii="Times New Roman" w:hAnsi="Times New Roman" w:cs="Times New Roman"/>
          <w:b/>
          <w:bCs/>
        </w:rPr>
        <w:t xml:space="preserve">ultiple </w:t>
      </w:r>
      <w:r w:rsidR="00BA3707" w:rsidRPr="00B77038">
        <w:rPr>
          <w:rFonts w:ascii="Times New Roman" w:hAnsi="Times New Roman" w:cs="Times New Roman"/>
          <w:b/>
          <w:bCs/>
        </w:rPr>
        <w:t>M</w:t>
      </w:r>
      <w:r w:rsidR="004479E5" w:rsidRPr="00B77038">
        <w:rPr>
          <w:rFonts w:ascii="Times New Roman" w:hAnsi="Times New Roman" w:cs="Times New Roman"/>
          <w:b/>
          <w:bCs/>
        </w:rPr>
        <w:t>yeloma</w:t>
      </w:r>
    </w:p>
    <w:p w14:paraId="01BBB868" w14:textId="77777777" w:rsidR="004E14F7" w:rsidRPr="00B77038" w:rsidRDefault="004E14F7" w:rsidP="00FF0C1E">
      <w:pPr>
        <w:widowControl w:val="0"/>
        <w:autoSpaceDE w:val="0"/>
        <w:autoSpaceDN w:val="0"/>
        <w:adjustRightInd w:val="0"/>
        <w:spacing w:after="0" w:line="240" w:lineRule="auto"/>
        <w:jc w:val="both"/>
        <w:rPr>
          <w:b/>
          <w:bCs/>
        </w:rPr>
      </w:pPr>
    </w:p>
    <w:tbl>
      <w:tblPr>
        <w:tblStyle w:val="ab"/>
        <w:tblW w:w="5000" w:type="pct"/>
        <w:tblLook w:val="04A0" w:firstRow="1" w:lastRow="0" w:firstColumn="1" w:lastColumn="0" w:noHBand="0" w:noVBand="1"/>
      </w:tblPr>
      <w:tblGrid>
        <w:gridCol w:w="1697"/>
        <w:gridCol w:w="6702"/>
      </w:tblGrid>
      <w:tr w:rsidR="00BA3707" w:rsidRPr="00BA3707" w14:paraId="04B83CC5" w14:textId="77777777" w:rsidTr="006528AA">
        <w:tc>
          <w:tcPr>
            <w:tcW w:w="1010" w:type="pct"/>
            <w:vAlign w:val="center"/>
          </w:tcPr>
          <w:p w14:paraId="60C14A92" w14:textId="4D691764" w:rsidR="00BA3707" w:rsidRPr="00BA3707" w:rsidRDefault="00BA3707" w:rsidP="00FF0C1E">
            <w:pPr>
              <w:pStyle w:val="af7"/>
              <w:keepNext w:val="0"/>
              <w:keepLines w:val="0"/>
              <w:widowControl w:val="0"/>
              <w:spacing w:after="0"/>
              <w:ind w:left="0" w:firstLine="0"/>
              <w:jc w:val="both"/>
              <w:rPr>
                <w:sz w:val="21"/>
                <w:szCs w:val="21"/>
              </w:rPr>
            </w:pPr>
            <w:r w:rsidRPr="00BA3707">
              <w:rPr>
                <w:sz w:val="21"/>
                <w:szCs w:val="21"/>
              </w:rPr>
              <w:t>Response Classification</w:t>
            </w:r>
          </w:p>
        </w:tc>
        <w:tc>
          <w:tcPr>
            <w:tcW w:w="3990" w:type="pct"/>
            <w:vAlign w:val="center"/>
          </w:tcPr>
          <w:p w14:paraId="7256BDB2" w14:textId="20ECE322" w:rsidR="00BA3707" w:rsidRPr="00BA3707" w:rsidRDefault="00BA3707" w:rsidP="00FF0C1E">
            <w:pPr>
              <w:pStyle w:val="af7"/>
              <w:keepNext w:val="0"/>
              <w:keepLines w:val="0"/>
              <w:widowControl w:val="0"/>
              <w:spacing w:after="0"/>
              <w:ind w:left="0" w:firstLine="0"/>
              <w:jc w:val="both"/>
              <w:rPr>
                <w:sz w:val="21"/>
                <w:szCs w:val="21"/>
              </w:rPr>
            </w:pPr>
            <w:r w:rsidRPr="00BA3707">
              <w:rPr>
                <w:sz w:val="21"/>
                <w:szCs w:val="21"/>
              </w:rPr>
              <w:t xml:space="preserve">Response </w:t>
            </w:r>
            <w:proofErr w:type="spellStart"/>
            <w:r w:rsidRPr="00BA3707">
              <w:rPr>
                <w:sz w:val="21"/>
                <w:szCs w:val="21"/>
              </w:rPr>
              <w:t>Criteria</w:t>
            </w:r>
            <w:r w:rsidRPr="00BA3707">
              <w:rPr>
                <w:sz w:val="21"/>
                <w:szCs w:val="21"/>
                <w:vertAlign w:val="superscript"/>
              </w:rPr>
              <w:t>a</w:t>
            </w:r>
            <w:proofErr w:type="spellEnd"/>
          </w:p>
        </w:tc>
      </w:tr>
      <w:tr w:rsidR="00BA3707" w:rsidRPr="00BA3707" w14:paraId="4DF96502" w14:textId="77777777" w:rsidTr="006528AA">
        <w:tc>
          <w:tcPr>
            <w:tcW w:w="1010" w:type="pct"/>
            <w:vAlign w:val="center"/>
          </w:tcPr>
          <w:p w14:paraId="2B0002A5" w14:textId="3AF2E4D4" w:rsidR="00BA3707" w:rsidRPr="00BA3707" w:rsidRDefault="00BA3707" w:rsidP="00FF0C1E">
            <w:pPr>
              <w:pStyle w:val="af7"/>
              <w:keepNext w:val="0"/>
              <w:keepLines w:val="0"/>
              <w:widowControl w:val="0"/>
              <w:spacing w:after="0"/>
              <w:ind w:left="0" w:firstLine="0"/>
              <w:jc w:val="both"/>
              <w:rPr>
                <w:sz w:val="21"/>
                <w:szCs w:val="21"/>
                <w:lang w:eastAsia="zh-CN"/>
              </w:rPr>
            </w:pPr>
            <w:r w:rsidRPr="00BA3707">
              <w:rPr>
                <w:rFonts w:eastAsia="Shaker2Lancet-Regular"/>
                <w:color w:val="000000"/>
                <w:sz w:val="21"/>
                <w:szCs w:val="21"/>
                <w:lang w:bidi="ar"/>
              </w:rPr>
              <w:t xml:space="preserve">Stringent </w:t>
            </w:r>
            <w:r>
              <w:rPr>
                <w:rFonts w:eastAsia="Shaker2Lancet-Regular"/>
                <w:color w:val="000000"/>
                <w:sz w:val="21"/>
                <w:szCs w:val="21"/>
                <w:lang w:bidi="ar"/>
              </w:rPr>
              <w:t>C</w:t>
            </w:r>
            <w:r w:rsidRPr="00BA3707">
              <w:rPr>
                <w:rFonts w:eastAsia="Shaker2Lancet-Regular"/>
                <w:color w:val="000000"/>
                <w:sz w:val="21"/>
                <w:szCs w:val="21"/>
                <w:lang w:bidi="ar"/>
              </w:rPr>
              <w:t xml:space="preserve">omplete </w:t>
            </w:r>
            <w:r>
              <w:rPr>
                <w:rFonts w:eastAsia="Shaker2Lancet-Regular"/>
                <w:color w:val="000000"/>
                <w:sz w:val="21"/>
                <w:szCs w:val="21"/>
                <w:lang w:bidi="ar"/>
              </w:rPr>
              <w:t>R</w:t>
            </w:r>
            <w:r w:rsidRPr="00BA3707">
              <w:rPr>
                <w:rFonts w:eastAsia="Shaker2Lancet-Regular"/>
                <w:color w:val="000000"/>
                <w:sz w:val="21"/>
                <w:szCs w:val="21"/>
                <w:lang w:bidi="ar"/>
              </w:rPr>
              <w:t>esponse</w:t>
            </w:r>
            <w:r>
              <w:rPr>
                <w:rFonts w:eastAsiaTheme="minorEastAsia" w:hint="eastAsia"/>
                <w:color w:val="000000"/>
                <w:sz w:val="21"/>
                <w:szCs w:val="21"/>
                <w:lang w:eastAsia="zh-CN"/>
              </w:rPr>
              <w:t xml:space="preserve"> </w:t>
            </w:r>
            <w:r>
              <w:rPr>
                <w:rFonts w:eastAsiaTheme="minorEastAsia"/>
                <w:color w:val="000000"/>
                <w:sz w:val="21"/>
                <w:szCs w:val="21"/>
                <w:lang w:eastAsia="zh-CN"/>
              </w:rPr>
              <w:t>(</w:t>
            </w:r>
            <w:proofErr w:type="spellStart"/>
            <w:r w:rsidRPr="00BA3707">
              <w:rPr>
                <w:sz w:val="21"/>
                <w:szCs w:val="21"/>
              </w:rPr>
              <w:t>sCR</w:t>
            </w:r>
            <w:proofErr w:type="spellEnd"/>
            <w:r>
              <w:rPr>
                <w:rFonts w:hint="eastAsia"/>
                <w:sz w:val="21"/>
                <w:szCs w:val="21"/>
                <w:lang w:eastAsia="zh-CN"/>
              </w:rPr>
              <w:t>)</w:t>
            </w:r>
          </w:p>
        </w:tc>
        <w:tc>
          <w:tcPr>
            <w:tcW w:w="3990" w:type="pct"/>
            <w:vAlign w:val="center"/>
          </w:tcPr>
          <w:p w14:paraId="5A357D53" w14:textId="77777777" w:rsidR="00BA3707" w:rsidRPr="00BA3707" w:rsidRDefault="00BA3707" w:rsidP="00FF0C1E">
            <w:pPr>
              <w:widowControl w:val="0"/>
              <w:spacing w:after="0"/>
              <w:jc w:val="both"/>
              <w:rPr>
                <w:sz w:val="21"/>
                <w:szCs w:val="21"/>
              </w:rPr>
            </w:pPr>
            <w:r w:rsidRPr="00BA3707">
              <w:rPr>
                <w:sz w:val="21"/>
                <w:szCs w:val="21"/>
              </w:rPr>
              <w:t xml:space="preserve">CR, as defined below, plus the following: </w:t>
            </w:r>
          </w:p>
          <w:p w14:paraId="3A724CCF" w14:textId="772FF15E" w:rsidR="00BA3707" w:rsidRPr="00BA3707" w:rsidRDefault="00BA3707" w:rsidP="00FF0C1E">
            <w:pPr>
              <w:widowControl w:val="0"/>
              <w:spacing w:after="0"/>
              <w:jc w:val="both"/>
              <w:rPr>
                <w:b/>
                <w:bCs/>
                <w:sz w:val="21"/>
                <w:szCs w:val="21"/>
              </w:rPr>
            </w:pPr>
            <w:r w:rsidRPr="00BA3707">
              <w:rPr>
                <w:sz w:val="21"/>
                <w:szCs w:val="21"/>
              </w:rPr>
              <w:t xml:space="preserve">Normal FLC </w:t>
            </w:r>
            <w:proofErr w:type="spellStart"/>
            <w:r w:rsidRPr="00BA3707">
              <w:rPr>
                <w:sz w:val="21"/>
                <w:szCs w:val="21"/>
              </w:rPr>
              <w:t>ratio</w:t>
            </w:r>
            <w:r w:rsidRPr="00BA3707">
              <w:rPr>
                <w:sz w:val="21"/>
                <w:szCs w:val="21"/>
                <w:vertAlign w:val="superscript"/>
              </w:rPr>
              <w:t>b</w:t>
            </w:r>
            <w:proofErr w:type="spellEnd"/>
            <w:r w:rsidRPr="00BA3707">
              <w:rPr>
                <w:sz w:val="21"/>
                <w:szCs w:val="21"/>
              </w:rPr>
              <w:t xml:space="preserve"> and absence of clonal cells in bone marrow biopsy by </w:t>
            </w:r>
            <w:proofErr w:type="gramStart"/>
            <w:r w:rsidRPr="00BA3707">
              <w:rPr>
                <w:sz w:val="21"/>
                <w:szCs w:val="21"/>
              </w:rPr>
              <w:t>immunohistochemistry(</w:t>
            </w:r>
            <w:proofErr w:type="gramEnd"/>
            <w:r w:rsidRPr="00BA3707">
              <w:rPr>
                <w:sz w:val="21"/>
                <w:szCs w:val="21"/>
              </w:rPr>
              <w:t>κ/λ ratio ≤</w:t>
            </w:r>
            <w:r w:rsidR="00713120">
              <w:rPr>
                <w:sz w:val="21"/>
                <w:szCs w:val="21"/>
              </w:rPr>
              <w:t xml:space="preserve"> </w:t>
            </w:r>
            <w:r w:rsidRPr="00BA3707">
              <w:rPr>
                <w:sz w:val="21"/>
                <w:szCs w:val="21"/>
              </w:rPr>
              <w:t>4:1 or ≥</w:t>
            </w:r>
            <w:r w:rsidR="00713120">
              <w:rPr>
                <w:sz w:val="21"/>
                <w:szCs w:val="21"/>
              </w:rPr>
              <w:t xml:space="preserve"> </w:t>
            </w:r>
            <w:r w:rsidRPr="00BA3707">
              <w:rPr>
                <w:sz w:val="21"/>
                <w:szCs w:val="21"/>
              </w:rPr>
              <w:t>1:2 for</w:t>
            </w:r>
            <w:r w:rsidR="008A670D">
              <w:rPr>
                <w:sz w:val="21"/>
                <w:szCs w:val="21"/>
              </w:rPr>
              <w:t xml:space="preserve"> </w:t>
            </w:r>
            <w:r w:rsidRPr="00BA3707">
              <w:rPr>
                <w:sz w:val="21"/>
                <w:szCs w:val="21"/>
              </w:rPr>
              <w:t>κ and λ patients, respectively, after counting ≥100 plasma cells)</w:t>
            </w:r>
            <w:r w:rsidRPr="00BA3707">
              <w:rPr>
                <w:sz w:val="21"/>
                <w:szCs w:val="21"/>
                <w:vertAlign w:val="superscript"/>
              </w:rPr>
              <w:t>c</w:t>
            </w:r>
          </w:p>
        </w:tc>
      </w:tr>
      <w:tr w:rsidR="00BA3707" w:rsidRPr="00BA3707" w14:paraId="5BC65741" w14:textId="77777777" w:rsidTr="006528AA">
        <w:tc>
          <w:tcPr>
            <w:tcW w:w="1010" w:type="pct"/>
            <w:vAlign w:val="center"/>
          </w:tcPr>
          <w:p w14:paraId="73A4E653" w14:textId="18730C0D" w:rsidR="00BA3707" w:rsidRPr="00BA3707" w:rsidRDefault="00BA3707" w:rsidP="00FF0C1E">
            <w:pPr>
              <w:pStyle w:val="af7"/>
              <w:keepNext w:val="0"/>
              <w:keepLines w:val="0"/>
              <w:widowControl w:val="0"/>
              <w:spacing w:after="0"/>
              <w:ind w:left="0" w:firstLine="0"/>
              <w:jc w:val="both"/>
              <w:rPr>
                <w:sz w:val="21"/>
                <w:szCs w:val="21"/>
                <w:lang w:eastAsia="zh-CN"/>
              </w:rPr>
            </w:pPr>
            <w:r w:rsidRPr="00BA3707">
              <w:rPr>
                <w:rFonts w:eastAsia="Shaker2Lancet-Regular"/>
                <w:color w:val="000000"/>
                <w:sz w:val="21"/>
                <w:szCs w:val="21"/>
                <w:lang w:bidi="ar"/>
              </w:rPr>
              <w:t xml:space="preserve">Complete </w:t>
            </w:r>
            <w:r>
              <w:rPr>
                <w:rFonts w:eastAsia="Shaker2Lancet-Regular"/>
                <w:color w:val="000000"/>
                <w:sz w:val="21"/>
                <w:szCs w:val="21"/>
                <w:lang w:bidi="ar"/>
              </w:rPr>
              <w:t>R</w:t>
            </w:r>
            <w:r w:rsidRPr="00BA3707">
              <w:rPr>
                <w:rFonts w:eastAsia="Shaker2Lancet-Regular"/>
                <w:color w:val="000000"/>
                <w:sz w:val="21"/>
                <w:szCs w:val="21"/>
                <w:lang w:bidi="ar"/>
              </w:rPr>
              <w:t>esponse</w:t>
            </w:r>
            <w:r>
              <w:rPr>
                <w:rFonts w:eastAsia="Shaker2Lancet-Regular"/>
                <w:color w:val="000000"/>
                <w:sz w:val="21"/>
                <w:szCs w:val="21"/>
                <w:lang w:bidi="ar"/>
              </w:rPr>
              <w:t xml:space="preserve"> </w:t>
            </w:r>
            <w:r>
              <w:rPr>
                <w:rFonts w:eastAsiaTheme="minorEastAsia" w:hint="eastAsia"/>
                <w:color w:val="000000"/>
                <w:sz w:val="21"/>
                <w:szCs w:val="21"/>
                <w:lang w:eastAsia="zh-CN"/>
              </w:rPr>
              <w:t>(</w:t>
            </w:r>
            <w:r w:rsidRPr="00BA3707">
              <w:rPr>
                <w:sz w:val="21"/>
                <w:szCs w:val="21"/>
              </w:rPr>
              <w:t>CR</w:t>
            </w:r>
            <w:r>
              <w:rPr>
                <w:rFonts w:hint="eastAsia"/>
                <w:sz w:val="21"/>
                <w:szCs w:val="21"/>
                <w:lang w:eastAsia="zh-CN"/>
              </w:rPr>
              <w:t>)</w:t>
            </w:r>
          </w:p>
        </w:tc>
        <w:tc>
          <w:tcPr>
            <w:tcW w:w="3990" w:type="pct"/>
            <w:vAlign w:val="center"/>
          </w:tcPr>
          <w:p w14:paraId="1824EDE0" w14:textId="24467431" w:rsidR="00BA3707" w:rsidRPr="00BA3707" w:rsidRDefault="00BA3707" w:rsidP="00FF0C1E">
            <w:pPr>
              <w:pStyle w:val="af7"/>
              <w:keepNext w:val="0"/>
              <w:keepLines w:val="0"/>
              <w:widowControl w:val="0"/>
              <w:spacing w:after="0"/>
              <w:ind w:left="0" w:firstLine="0"/>
              <w:jc w:val="both"/>
              <w:rPr>
                <w:b w:val="0"/>
                <w:bCs w:val="0"/>
                <w:sz w:val="21"/>
                <w:szCs w:val="21"/>
              </w:rPr>
            </w:pPr>
            <w:r w:rsidRPr="00BA3707">
              <w:rPr>
                <w:b w:val="0"/>
                <w:bCs w:val="0"/>
                <w:sz w:val="21"/>
                <w:szCs w:val="21"/>
              </w:rPr>
              <w:t>Negative immunofixation on the serum and urine and disappearance of any soft tissue plasmacytomas and &lt;</w:t>
            </w:r>
            <w:r w:rsidR="00713120">
              <w:rPr>
                <w:b w:val="0"/>
                <w:bCs w:val="0"/>
                <w:sz w:val="21"/>
                <w:szCs w:val="21"/>
              </w:rPr>
              <w:t xml:space="preserve"> </w:t>
            </w:r>
            <w:r w:rsidRPr="00BA3707">
              <w:rPr>
                <w:b w:val="0"/>
                <w:bCs w:val="0"/>
                <w:sz w:val="21"/>
                <w:szCs w:val="21"/>
              </w:rPr>
              <w:t>5% plasma cells in bone marrow aspirates</w:t>
            </w:r>
          </w:p>
        </w:tc>
      </w:tr>
      <w:tr w:rsidR="00BA3707" w:rsidRPr="00BA3707" w14:paraId="0AD1CF05" w14:textId="77777777" w:rsidTr="006528AA">
        <w:tc>
          <w:tcPr>
            <w:tcW w:w="1010" w:type="pct"/>
            <w:vAlign w:val="center"/>
          </w:tcPr>
          <w:p w14:paraId="630E513F" w14:textId="2C395CCE" w:rsidR="00BA3707" w:rsidRPr="00BA3707" w:rsidRDefault="00BA3707" w:rsidP="00FF0C1E">
            <w:pPr>
              <w:pStyle w:val="af7"/>
              <w:keepNext w:val="0"/>
              <w:keepLines w:val="0"/>
              <w:widowControl w:val="0"/>
              <w:spacing w:after="0"/>
              <w:ind w:left="0" w:firstLine="0"/>
              <w:jc w:val="both"/>
              <w:rPr>
                <w:sz w:val="21"/>
                <w:szCs w:val="21"/>
                <w:lang w:eastAsia="zh-CN"/>
              </w:rPr>
            </w:pPr>
            <w:r w:rsidRPr="00BA3707">
              <w:rPr>
                <w:rFonts w:eastAsia="Shaker2Lancet-Regular"/>
                <w:color w:val="000000"/>
                <w:sz w:val="21"/>
                <w:szCs w:val="21"/>
                <w:lang w:bidi="ar"/>
              </w:rPr>
              <w:t xml:space="preserve">Very </w:t>
            </w:r>
            <w:r>
              <w:rPr>
                <w:rFonts w:eastAsia="Shaker2Lancet-Regular"/>
                <w:color w:val="000000"/>
                <w:sz w:val="21"/>
                <w:szCs w:val="21"/>
                <w:lang w:bidi="ar"/>
              </w:rPr>
              <w:t>G</w:t>
            </w:r>
            <w:r w:rsidRPr="00BA3707">
              <w:rPr>
                <w:rFonts w:eastAsia="Shaker2Lancet-Regular"/>
                <w:color w:val="000000"/>
                <w:sz w:val="21"/>
                <w:szCs w:val="21"/>
                <w:lang w:bidi="ar"/>
              </w:rPr>
              <w:t xml:space="preserve">ood </w:t>
            </w:r>
            <w:r>
              <w:rPr>
                <w:rFonts w:eastAsia="Shaker2Lancet-Regular"/>
                <w:color w:val="000000"/>
                <w:sz w:val="21"/>
                <w:szCs w:val="21"/>
                <w:lang w:bidi="ar"/>
              </w:rPr>
              <w:t>P</w:t>
            </w:r>
            <w:r w:rsidRPr="00BA3707">
              <w:rPr>
                <w:rFonts w:eastAsia="Shaker2Lancet-Regular"/>
                <w:color w:val="000000"/>
                <w:sz w:val="21"/>
                <w:szCs w:val="21"/>
                <w:lang w:bidi="ar"/>
              </w:rPr>
              <w:t xml:space="preserve">artial </w:t>
            </w:r>
            <w:r>
              <w:rPr>
                <w:rFonts w:eastAsia="Shaker2Lancet-Regular"/>
                <w:color w:val="000000"/>
                <w:sz w:val="21"/>
                <w:szCs w:val="21"/>
                <w:lang w:bidi="ar"/>
              </w:rPr>
              <w:t>R</w:t>
            </w:r>
            <w:r w:rsidRPr="00BA3707">
              <w:rPr>
                <w:rFonts w:eastAsia="Shaker2Lancet-Regular"/>
                <w:color w:val="000000"/>
                <w:sz w:val="21"/>
                <w:szCs w:val="21"/>
                <w:lang w:bidi="ar"/>
              </w:rPr>
              <w:t>esponse</w:t>
            </w:r>
            <w:r>
              <w:rPr>
                <w:rFonts w:eastAsia="Shaker2Lancet-Regular"/>
                <w:color w:val="000000"/>
                <w:sz w:val="21"/>
                <w:szCs w:val="21"/>
                <w:lang w:bidi="ar"/>
              </w:rPr>
              <w:t xml:space="preserve"> </w:t>
            </w:r>
            <w:r>
              <w:rPr>
                <w:rFonts w:eastAsiaTheme="minorEastAsia" w:hint="eastAsia"/>
                <w:color w:val="000000"/>
                <w:sz w:val="21"/>
                <w:szCs w:val="21"/>
                <w:lang w:eastAsia="zh-CN"/>
              </w:rPr>
              <w:t>(</w:t>
            </w:r>
            <w:r w:rsidRPr="00BA3707">
              <w:rPr>
                <w:sz w:val="21"/>
                <w:szCs w:val="21"/>
              </w:rPr>
              <w:t>VGPR</w:t>
            </w:r>
            <w:r>
              <w:rPr>
                <w:rFonts w:hint="eastAsia"/>
                <w:sz w:val="21"/>
                <w:szCs w:val="21"/>
                <w:lang w:eastAsia="zh-CN"/>
              </w:rPr>
              <w:t>)</w:t>
            </w:r>
          </w:p>
        </w:tc>
        <w:tc>
          <w:tcPr>
            <w:tcW w:w="3990" w:type="pct"/>
            <w:vAlign w:val="center"/>
          </w:tcPr>
          <w:p w14:paraId="374FC8A9" w14:textId="72073A00" w:rsidR="00BA3707" w:rsidRPr="00BA3707" w:rsidRDefault="00BA3707" w:rsidP="00713120">
            <w:pPr>
              <w:widowControl w:val="0"/>
              <w:spacing w:after="0"/>
              <w:jc w:val="both"/>
              <w:rPr>
                <w:b/>
                <w:bCs/>
                <w:sz w:val="21"/>
                <w:szCs w:val="21"/>
              </w:rPr>
            </w:pPr>
            <w:r w:rsidRPr="00BA3707">
              <w:rPr>
                <w:rFonts w:eastAsia="Shaker2Lancet-Regular"/>
                <w:color w:val="000000"/>
                <w:sz w:val="21"/>
                <w:szCs w:val="21"/>
                <w:lang w:bidi="ar"/>
              </w:rPr>
              <w:t>Serum and urine M-protein detectable by immunofixation but not on electrophoresis or ≥</w:t>
            </w:r>
            <w:r w:rsidR="00713120">
              <w:rPr>
                <w:rFonts w:eastAsia="Shaker2Lancet-Regular"/>
                <w:color w:val="000000"/>
                <w:sz w:val="21"/>
                <w:szCs w:val="21"/>
                <w:lang w:bidi="ar"/>
              </w:rPr>
              <w:t xml:space="preserve"> </w:t>
            </w:r>
            <w:r w:rsidRPr="00BA3707">
              <w:rPr>
                <w:rFonts w:eastAsia="Shaker2Lancet-Regular"/>
                <w:color w:val="000000"/>
                <w:sz w:val="21"/>
                <w:szCs w:val="21"/>
                <w:lang w:bidi="ar"/>
              </w:rPr>
              <w:t>90% reduction in serum M-protein plus urine M-protein level &lt;</w:t>
            </w:r>
            <w:r w:rsidR="00713120">
              <w:rPr>
                <w:rFonts w:eastAsia="Shaker2Lancet-Regular"/>
                <w:color w:val="000000"/>
                <w:sz w:val="21"/>
                <w:szCs w:val="21"/>
                <w:lang w:bidi="ar"/>
              </w:rPr>
              <w:t xml:space="preserve"> </w:t>
            </w:r>
            <w:r w:rsidRPr="00BA3707">
              <w:rPr>
                <w:rFonts w:eastAsia="Shaker2Lancet-Regular"/>
                <w:color w:val="000000"/>
                <w:sz w:val="21"/>
                <w:szCs w:val="21"/>
                <w:lang w:bidi="ar"/>
              </w:rPr>
              <w:t>100 mg</w:t>
            </w:r>
            <w:r w:rsidR="00713120">
              <w:rPr>
                <w:rFonts w:eastAsia="Shaker2Lancet-Regular"/>
                <w:color w:val="000000"/>
                <w:sz w:val="21"/>
                <w:szCs w:val="21"/>
                <w:lang w:bidi="ar"/>
              </w:rPr>
              <w:t xml:space="preserve"> </w:t>
            </w:r>
            <w:r w:rsidRPr="00BA3707">
              <w:rPr>
                <w:rFonts w:eastAsia="Shaker2Lancet-Regular"/>
                <w:color w:val="000000"/>
                <w:sz w:val="21"/>
                <w:szCs w:val="21"/>
                <w:lang w:bidi="ar"/>
              </w:rPr>
              <w:t>per 24 h</w:t>
            </w:r>
          </w:p>
        </w:tc>
      </w:tr>
      <w:tr w:rsidR="00BA3707" w:rsidRPr="00BA3707" w14:paraId="799344F0" w14:textId="77777777" w:rsidTr="006528AA">
        <w:tc>
          <w:tcPr>
            <w:tcW w:w="1010" w:type="pct"/>
            <w:vAlign w:val="center"/>
          </w:tcPr>
          <w:p w14:paraId="2DFF9B34" w14:textId="78887DB6" w:rsidR="00BA3707" w:rsidRPr="00BA3707" w:rsidRDefault="00BA3707" w:rsidP="00FF0C1E">
            <w:pPr>
              <w:pStyle w:val="af7"/>
              <w:keepNext w:val="0"/>
              <w:keepLines w:val="0"/>
              <w:widowControl w:val="0"/>
              <w:spacing w:after="0"/>
              <w:ind w:left="0" w:firstLine="0"/>
              <w:jc w:val="both"/>
              <w:rPr>
                <w:sz w:val="21"/>
                <w:szCs w:val="21"/>
                <w:lang w:eastAsia="zh-CN"/>
              </w:rPr>
            </w:pPr>
            <w:r w:rsidRPr="00BA3707">
              <w:rPr>
                <w:rFonts w:eastAsia="Shaker2Lancet-Regular"/>
                <w:color w:val="000000"/>
                <w:sz w:val="21"/>
                <w:szCs w:val="21"/>
                <w:lang w:bidi="ar"/>
              </w:rPr>
              <w:t xml:space="preserve">Partial </w:t>
            </w:r>
            <w:r>
              <w:rPr>
                <w:rFonts w:eastAsia="Shaker2Lancet-Regular"/>
                <w:color w:val="000000"/>
                <w:sz w:val="21"/>
                <w:szCs w:val="21"/>
                <w:lang w:bidi="ar"/>
              </w:rPr>
              <w:t>R</w:t>
            </w:r>
            <w:r w:rsidRPr="00BA3707">
              <w:rPr>
                <w:rFonts w:eastAsia="Shaker2Lancet-Regular"/>
                <w:color w:val="000000"/>
                <w:sz w:val="21"/>
                <w:szCs w:val="21"/>
                <w:lang w:bidi="ar"/>
              </w:rPr>
              <w:t>esponse</w:t>
            </w:r>
            <w:r>
              <w:rPr>
                <w:rFonts w:eastAsiaTheme="minorEastAsia" w:hint="eastAsia"/>
                <w:color w:val="000000"/>
                <w:sz w:val="21"/>
                <w:szCs w:val="21"/>
                <w:lang w:eastAsia="zh-CN"/>
              </w:rPr>
              <w:t xml:space="preserve"> </w:t>
            </w:r>
            <w:r>
              <w:rPr>
                <w:rFonts w:eastAsiaTheme="minorEastAsia"/>
                <w:color w:val="000000"/>
                <w:sz w:val="21"/>
                <w:szCs w:val="21"/>
                <w:lang w:eastAsia="zh-CN"/>
              </w:rPr>
              <w:t>(</w:t>
            </w:r>
            <w:r w:rsidRPr="00BA3707">
              <w:rPr>
                <w:sz w:val="21"/>
                <w:szCs w:val="21"/>
              </w:rPr>
              <w:t>PR</w:t>
            </w:r>
            <w:r>
              <w:rPr>
                <w:rFonts w:hint="eastAsia"/>
                <w:sz w:val="21"/>
                <w:szCs w:val="21"/>
                <w:lang w:eastAsia="zh-CN"/>
              </w:rPr>
              <w:t>)</w:t>
            </w:r>
          </w:p>
        </w:tc>
        <w:tc>
          <w:tcPr>
            <w:tcW w:w="3990" w:type="pct"/>
            <w:vAlign w:val="center"/>
          </w:tcPr>
          <w:p w14:paraId="02F678AB" w14:textId="4F7173CC" w:rsidR="00BA3707" w:rsidRPr="00BA3707" w:rsidRDefault="00BA3707" w:rsidP="00FF0C1E">
            <w:pPr>
              <w:widowControl w:val="0"/>
              <w:spacing w:after="0"/>
              <w:jc w:val="both"/>
              <w:rPr>
                <w:rFonts w:eastAsia="Shaker2Lancet-Regular"/>
                <w:color w:val="000000"/>
                <w:sz w:val="21"/>
                <w:szCs w:val="21"/>
                <w:lang w:bidi="ar"/>
              </w:rPr>
            </w:pPr>
            <w:r w:rsidRPr="00BA3707">
              <w:rPr>
                <w:sz w:val="21"/>
                <w:szCs w:val="21"/>
              </w:rPr>
              <w:sym w:font="Symbol" w:char="F0B3"/>
            </w:r>
            <w:r w:rsidRPr="00BA3707">
              <w:rPr>
                <w:rFonts w:eastAsia="Shaker2Lancet-Regular"/>
                <w:color w:val="000000"/>
                <w:sz w:val="21"/>
                <w:szCs w:val="21"/>
                <w:lang w:bidi="ar"/>
              </w:rPr>
              <w:t xml:space="preserve"> 50% reduction of serum M-protein and reduction in 24-hour urinary M-protein by </w:t>
            </w:r>
            <w:r w:rsidRPr="00BA3707">
              <w:rPr>
                <w:sz w:val="21"/>
                <w:szCs w:val="21"/>
              </w:rPr>
              <w:sym w:font="Symbol" w:char="F0B3"/>
            </w:r>
            <w:r w:rsidRPr="00BA3707">
              <w:rPr>
                <w:rFonts w:eastAsia="Shaker2Lancet-Regular"/>
                <w:color w:val="000000"/>
                <w:sz w:val="21"/>
                <w:szCs w:val="21"/>
                <w:lang w:bidi="ar"/>
              </w:rPr>
              <w:t xml:space="preserve"> 90% or to </w:t>
            </w:r>
            <w:r w:rsidR="00F458B7">
              <w:rPr>
                <w:rFonts w:eastAsia="Shaker2Lancet-Regular"/>
                <w:color w:val="000000"/>
                <w:sz w:val="21"/>
                <w:szCs w:val="21"/>
                <w:lang w:bidi="ar"/>
              </w:rPr>
              <w:t>&lt;</w:t>
            </w:r>
            <w:r w:rsidRPr="00BA3707">
              <w:rPr>
                <w:rFonts w:eastAsia="Shaker2Lancet-Regular"/>
                <w:color w:val="000000"/>
                <w:sz w:val="21"/>
                <w:szCs w:val="21"/>
                <w:lang w:bidi="ar"/>
              </w:rPr>
              <w:t>200 mg per 24 hour.</w:t>
            </w:r>
          </w:p>
          <w:p w14:paraId="447FF377" w14:textId="7F2CB391" w:rsidR="00BA3707" w:rsidRPr="00BA3707" w:rsidRDefault="00BA3707" w:rsidP="00FF0C1E">
            <w:pPr>
              <w:widowControl w:val="0"/>
              <w:spacing w:after="0"/>
              <w:jc w:val="both"/>
              <w:rPr>
                <w:rFonts w:eastAsia="Shaker2Lancet-Regular"/>
                <w:color w:val="000000"/>
                <w:sz w:val="21"/>
                <w:szCs w:val="21"/>
                <w:lang w:bidi="ar"/>
              </w:rPr>
            </w:pPr>
            <w:r w:rsidRPr="00BA3707">
              <w:rPr>
                <w:rFonts w:eastAsia="Shaker2Lancet-Regular"/>
                <w:color w:val="000000"/>
                <w:sz w:val="21"/>
                <w:szCs w:val="21"/>
                <w:lang w:bidi="ar"/>
              </w:rPr>
              <w:t xml:space="preserve">If serum and urine M-protein </w:t>
            </w:r>
            <w:r w:rsidR="00713120">
              <w:rPr>
                <w:rFonts w:eastAsia="Shaker2Lancet-Regular"/>
                <w:color w:val="000000"/>
                <w:sz w:val="21"/>
                <w:szCs w:val="21"/>
                <w:lang w:bidi="ar"/>
              </w:rPr>
              <w:t>is</w:t>
            </w:r>
            <w:r w:rsidRPr="00BA3707">
              <w:rPr>
                <w:rFonts w:eastAsia="Shaker2Lancet-Regular"/>
                <w:color w:val="000000"/>
                <w:sz w:val="21"/>
                <w:szCs w:val="21"/>
                <w:lang w:bidi="ar"/>
              </w:rPr>
              <w:t xml:space="preserve"> unmeasurable, a </w:t>
            </w:r>
            <w:r w:rsidRPr="00BA3707">
              <w:rPr>
                <w:sz w:val="21"/>
                <w:szCs w:val="21"/>
              </w:rPr>
              <w:sym w:font="Symbol" w:char="F0B3"/>
            </w:r>
            <w:r w:rsidRPr="00BA3707">
              <w:rPr>
                <w:rFonts w:eastAsia="Shaker2Lancet-Regular"/>
                <w:color w:val="000000"/>
                <w:sz w:val="21"/>
                <w:szCs w:val="21"/>
                <w:lang w:bidi="ar"/>
              </w:rPr>
              <w:t xml:space="preserve"> 50% decrease in the difference between involved and uninvolved FLC levels is required in place of the M-protein criteria.</w:t>
            </w:r>
          </w:p>
          <w:p w14:paraId="41F1F00F" w14:textId="7BABF0AC" w:rsidR="00BA3707" w:rsidRPr="00BA3707" w:rsidRDefault="00BA3707" w:rsidP="00FF0C1E">
            <w:pPr>
              <w:pStyle w:val="af7"/>
              <w:keepNext w:val="0"/>
              <w:keepLines w:val="0"/>
              <w:widowControl w:val="0"/>
              <w:spacing w:after="0"/>
              <w:ind w:left="0" w:firstLine="0"/>
              <w:jc w:val="both"/>
              <w:rPr>
                <w:b w:val="0"/>
                <w:bCs w:val="0"/>
                <w:sz w:val="21"/>
                <w:szCs w:val="21"/>
              </w:rPr>
            </w:pPr>
            <w:r w:rsidRPr="00BA3707">
              <w:rPr>
                <w:rFonts w:eastAsia="Shaker2Lancet-Regular"/>
                <w:b w:val="0"/>
                <w:bCs w:val="0"/>
                <w:color w:val="000000"/>
                <w:sz w:val="21"/>
                <w:szCs w:val="21"/>
                <w:lang w:bidi="ar"/>
              </w:rPr>
              <w:t xml:space="preserve">In addition to the above criteria, if present at baseline, </w:t>
            </w:r>
            <w:r w:rsidRPr="00BA3707">
              <w:rPr>
                <w:b w:val="0"/>
                <w:bCs w:val="0"/>
                <w:sz w:val="21"/>
                <w:szCs w:val="21"/>
              </w:rPr>
              <w:sym w:font="Symbol" w:char="F0B3"/>
            </w:r>
            <w:r w:rsidRPr="00BA3707">
              <w:rPr>
                <w:rFonts w:eastAsia="Shaker2Lancet-Regular"/>
                <w:b w:val="0"/>
                <w:bCs w:val="0"/>
                <w:color w:val="000000"/>
                <w:sz w:val="21"/>
                <w:szCs w:val="21"/>
                <w:lang w:bidi="ar"/>
              </w:rPr>
              <w:t xml:space="preserve"> 50% reduction in the size (SPD)</w:t>
            </w:r>
            <w:r w:rsidRPr="00BA3707">
              <w:rPr>
                <w:b w:val="0"/>
                <w:bCs w:val="0"/>
                <w:sz w:val="21"/>
                <w:szCs w:val="21"/>
              </w:rPr>
              <w:t xml:space="preserve"> </w:t>
            </w:r>
            <w:r w:rsidRPr="00BA3707">
              <w:rPr>
                <w:b w:val="0"/>
                <w:bCs w:val="0"/>
                <w:sz w:val="21"/>
                <w:szCs w:val="21"/>
                <w:vertAlign w:val="superscript"/>
              </w:rPr>
              <w:t>d</w:t>
            </w:r>
            <w:r w:rsidRPr="00BA3707">
              <w:rPr>
                <w:rFonts w:eastAsia="Shaker2Lancet-Regular"/>
                <w:b w:val="0"/>
                <w:bCs w:val="0"/>
                <w:color w:val="000000"/>
                <w:sz w:val="21"/>
                <w:szCs w:val="21"/>
                <w:lang w:bidi="ar"/>
              </w:rPr>
              <w:t xml:space="preserve"> of soft tissue plasmacytomas is also required</w:t>
            </w:r>
          </w:p>
        </w:tc>
      </w:tr>
      <w:tr w:rsidR="00BA3707" w:rsidRPr="00BA3707" w14:paraId="68034E48" w14:textId="77777777" w:rsidTr="006528AA">
        <w:tc>
          <w:tcPr>
            <w:tcW w:w="1010" w:type="pct"/>
            <w:vAlign w:val="center"/>
          </w:tcPr>
          <w:p w14:paraId="21C8B50F" w14:textId="4BF1A346" w:rsidR="00BA3707" w:rsidRPr="00BA3707" w:rsidRDefault="00BA3707" w:rsidP="00FF0C1E">
            <w:pPr>
              <w:pStyle w:val="af7"/>
              <w:keepNext w:val="0"/>
              <w:keepLines w:val="0"/>
              <w:widowControl w:val="0"/>
              <w:spacing w:after="0"/>
              <w:ind w:left="0" w:firstLine="0"/>
              <w:jc w:val="both"/>
              <w:rPr>
                <w:sz w:val="21"/>
                <w:szCs w:val="21"/>
                <w:lang w:eastAsia="zh-CN"/>
              </w:rPr>
            </w:pPr>
            <w:r w:rsidRPr="00BA3707">
              <w:rPr>
                <w:rFonts w:eastAsia="Shaker2Lancet-Regular"/>
                <w:color w:val="000000"/>
                <w:sz w:val="21"/>
                <w:szCs w:val="21"/>
                <w:lang w:bidi="ar"/>
              </w:rPr>
              <w:t xml:space="preserve">Minimal </w:t>
            </w:r>
            <w:r>
              <w:rPr>
                <w:rFonts w:eastAsia="Shaker2Lancet-Regular"/>
                <w:color w:val="000000"/>
                <w:sz w:val="21"/>
                <w:szCs w:val="21"/>
                <w:lang w:bidi="ar"/>
              </w:rPr>
              <w:t>R</w:t>
            </w:r>
            <w:r w:rsidRPr="00BA3707">
              <w:rPr>
                <w:rFonts w:eastAsia="Shaker2Lancet-Regular"/>
                <w:color w:val="000000"/>
                <w:sz w:val="21"/>
                <w:szCs w:val="21"/>
                <w:lang w:bidi="ar"/>
              </w:rPr>
              <w:t>esponse</w:t>
            </w:r>
            <w:r>
              <w:rPr>
                <w:rFonts w:eastAsiaTheme="minorEastAsia" w:hint="eastAsia"/>
                <w:color w:val="000000"/>
                <w:sz w:val="21"/>
                <w:szCs w:val="21"/>
                <w:lang w:eastAsia="zh-CN"/>
              </w:rPr>
              <w:t xml:space="preserve"> </w:t>
            </w:r>
            <w:r>
              <w:rPr>
                <w:rFonts w:eastAsiaTheme="minorEastAsia"/>
                <w:color w:val="000000"/>
                <w:sz w:val="21"/>
                <w:szCs w:val="21"/>
                <w:lang w:eastAsia="zh-CN"/>
              </w:rPr>
              <w:t>(</w:t>
            </w:r>
            <w:r w:rsidRPr="00BA3707">
              <w:rPr>
                <w:sz w:val="21"/>
                <w:szCs w:val="21"/>
              </w:rPr>
              <w:t>MR</w:t>
            </w:r>
            <w:r>
              <w:rPr>
                <w:rFonts w:hint="eastAsia"/>
                <w:sz w:val="21"/>
                <w:szCs w:val="21"/>
                <w:lang w:eastAsia="zh-CN"/>
              </w:rPr>
              <w:t>)</w:t>
            </w:r>
          </w:p>
        </w:tc>
        <w:tc>
          <w:tcPr>
            <w:tcW w:w="3990" w:type="pct"/>
            <w:vAlign w:val="center"/>
          </w:tcPr>
          <w:p w14:paraId="2BD6BC52" w14:textId="05264C62" w:rsidR="00BA3707" w:rsidRPr="00BA3707" w:rsidRDefault="00BA3707" w:rsidP="00FF0C1E">
            <w:pPr>
              <w:pStyle w:val="af7"/>
              <w:keepNext w:val="0"/>
              <w:keepLines w:val="0"/>
              <w:widowControl w:val="0"/>
              <w:spacing w:after="0"/>
              <w:ind w:left="0" w:firstLine="0"/>
              <w:jc w:val="both"/>
              <w:rPr>
                <w:b w:val="0"/>
                <w:bCs w:val="0"/>
                <w:sz w:val="21"/>
                <w:szCs w:val="21"/>
              </w:rPr>
            </w:pPr>
            <w:r w:rsidRPr="00BA3707">
              <w:rPr>
                <w:rFonts w:eastAsia="Shaker2Lancet-Regular"/>
                <w:b w:val="0"/>
                <w:bCs w:val="0"/>
                <w:color w:val="000000"/>
                <w:sz w:val="21"/>
                <w:szCs w:val="21"/>
                <w:lang w:bidi="ar"/>
              </w:rPr>
              <w:t>25-49% reduction of serum M-protein and reduction in 24-hour urine M-protein by 50-89%, which still exceeds 200 mg per 24 hours. In addition to the above</w:t>
            </w:r>
            <w:r w:rsidR="00713120">
              <w:rPr>
                <w:rFonts w:eastAsia="Shaker2Lancet-Regular"/>
                <w:b w:val="0"/>
                <w:bCs w:val="0"/>
                <w:color w:val="000000"/>
                <w:sz w:val="21"/>
                <w:szCs w:val="21"/>
                <w:lang w:bidi="ar"/>
              </w:rPr>
              <w:t>-</w:t>
            </w:r>
            <w:r w:rsidRPr="00BA3707">
              <w:rPr>
                <w:rFonts w:eastAsia="Shaker2Lancet-Regular"/>
                <w:b w:val="0"/>
                <w:bCs w:val="0"/>
                <w:color w:val="000000"/>
                <w:sz w:val="21"/>
                <w:szCs w:val="21"/>
                <w:lang w:bidi="ar"/>
              </w:rPr>
              <w:t>listed criteria, if present at baseline, 25-49% reduction in the size of soft tissue plasmacytomas is also required. No increase in the size or number of lytic bone lesions (development of compression fracture does not exclude response).</w:t>
            </w:r>
          </w:p>
        </w:tc>
      </w:tr>
      <w:tr w:rsidR="00BA3707" w:rsidRPr="00BA3707" w14:paraId="5F7FC783" w14:textId="77777777" w:rsidTr="006528AA">
        <w:tc>
          <w:tcPr>
            <w:tcW w:w="1010" w:type="pct"/>
            <w:vAlign w:val="center"/>
          </w:tcPr>
          <w:p w14:paraId="61DF1EB5" w14:textId="51A53139" w:rsidR="00BA3707" w:rsidRPr="00BA3707" w:rsidRDefault="00BA3707" w:rsidP="00FF0C1E">
            <w:pPr>
              <w:pStyle w:val="af7"/>
              <w:keepNext w:val="0"/>
              <w:keepLines w:val="0"/>
              <w:widowControl w:val="0"/>
              <w:spacing w:after="0"/>
              <w:ind w:left="0" w:firstLine="0"/>
              <w:jc w:val="both"/>
              <w:rPr>
                <w:sz w:val="21"/>
                <w:szCs w:val="21"/>
                <w:lang w:eastAsia="zh-CN"/>
              </w:rPr>
            </w:pPr>
            <w:r w:rsidRPr="00BA3707">
              <w:rPr>
                <w:rFonts w:eastAsia="Shaker2Lancet-Regular"/>
                <w:color w:val="000000"/>
                <w:sz w:val="21"/>
                <w:szCs w:val="21"/>
                <w:lang w:bidi="ar"/>
              </w:rPr>
              <w:t xml:space="preserve">Stable </w:t>
            </w:r>
            <w:r>
              <w:rPr>
                <w:rFonts w:eastAsia="Shaker2Lancet-Regular"/>
                <w:color w:val="000000"/>
                <w:sz w:val="21"/>
                <w:szCs w:val="21"/>
                <w:lang w:bidi="ar"/>
              </w:rPr>
              <w:t>D</w:t>
            </w:r>
            <w:r w:rsidRPr="00BA3707">
              <w:rPr>
                <w:rFonts w:eastAsia="Shaker2Lancet-Regular"/>
                <w:color w:val="000000"/>
                <w:sz w:val="21"/>
                <w:szCs w:val="21"/>
                <w:lang w:bidi="ar"/>
              </w:rPr>
              <w:t>isease</w:t>
            </w:r>
            <w:r>
              <w:rPr>
                <w:rFonts w:eastAsiaTheme="minorEastAsia" w:hint="eastAsia"/>
                <w:color w:val="000000"/>
                <w:sz w:val="21"/>
                <w:szCs w:val="21"/>
                <w:lang w:eastAsia="zh-CN"/>
              </w:rPr>
              <w:t xml:space="preserve"> </w:t>
            </w:r>
            <w:r>
              <w:rPr>
                <w:rFonts w:eastAsiaTheme="minorEastAsia"/>
                <w:color w:val="000000"/>
                <w:sz w:val="21"/>
                <w:szCs w:val="21"/>
                <w:lang w:eastAsia="zh-CN"/>
              </w:rPr>
              <w:t>(</w:t>
            </w:r>
            <w:r w:rsidRPr="00BA3707">
              <w:rPr>
                <w:sz w:val="21"/>
                <w:szCs w:val="21"/>
              </w:rPr>
              <w:t>SD</w:t>
            </w:r>
            <w:r>
              <w:rPr>
                <w:rFonts w:hint="eastAsia"/>
                <w:sz w:val="21"/>
                <w:szCs w:val="21"/>
                <w:lang w:eastAsia="zh-CN"/>
              </w:rPr>
              <w:t>)</w:t>
            </w:r>
          </w:p>
        </w:tc>
        <w:tc>
          <w:tcPr>
            <w:tcW w:w="3990" w:type="pct"/>
            <w:vAlign w:val="center"/>
          </w:tcPr>
          <w:p w14:paraId="47A9FDF0" w14:textId="1979F1AD" w:rsidR="00BA3707" w:rsidRPr="00BA3707" w:rsidRDefault="00BA3707" w:rsidP="00FF0C1E">
            <w:pPr>
              <w:pStyle w:val="af7"/>
              <w:keepNext w:val="0"/>
              <w:keepLines w:val="0"/>
              <w:widowControl w:val="0"/>
              <w:spacing w:after="0"/>
              <w:ind w:left="0" w:firstLine="0"/>
              <w:jc w:val="both"/>
              <w:rPr>
                <w:b w:val="0"/>
                <w:bCs w:val="0"/>
                <w:sz w:val="21"/>
                <w:szCs w:val="21"/>
              </w:rPr>
            </w:pPr>
            <w:r w:rsidRPr="00BA3707">
              <w:rPr>
                <w:rFonts w:eastAsia="Shaker2Lancet-Regular"/>
                <w:b w:val="0"/>
                <w:bCs w:val="0"/>
                <w:color w:val="000000"/>
                <w:sz w:val="21"/>
                <w:szCs w:val="21"/>
                <w:lang w:bidi="ar"/>
              </w:rPr>
              <w:t>Not meeting criteria for CR, VGPR, PR, MR, or progression</w:t>
            </w:r>
          </w:p>
        </w:tc>
      </w:tr>
      <w:tr w:rsidR="00BA3707" w:rsidRPr="00BA3707" w14:paraId="766EBA3B" w14:textId="77777777" w:rsidTr="006528AA">
        <w:tc>
          <w:tcPr>
            <w:tcW w:w="1010" w:type="pct"/>
            <w:vAlign w:val="center"/>
          </w:tcPr>
          <w:p w14:paraId="4415D8F0" w14:textId="7115FE80" w:rsidR="00BA3707" w:rsidRPr="00BA3707" w:rsidRDefault="00BA3707" w:rsidP="00FF0C1E">
            <w:pPr>
              <w:pStyle w:val="af7"/>
              <w:keepNext w:val="0"/>
              <w:keepLines w:val="0"/>
              <w:widowControl w:val="0"/>
              <w:spacing w:after="0"/>
              <w:ind w:left="0" w:firstLine="0"/>
              <w:jc w:val="both"/>
              <w:rPr>
                <w:sz w:val="21"/>
                <w:szCs w:val="21"/>
              </w:rPr>
            </w:pPr>
            <w:r w:rsidRPr="00BA3707">
              <w:rPr>
                <w:rFonts w:eastAsia="Shaker2Lancet-Regular"/>
                <w:color w:val="000000"/>
                <w:sz w:val="21"/>
                <w:szCs w:val="21"/>
                <w:lang w:bidi="ar"/>
              </w:rPr>
              <w:t xml:space="preserve">Progressive </w:t>
            </w:r>
            <w:proofErr w:type="spellStart"/>
            <w:proofErr w:type="gramStart"/>
            <w:r>
              <w:rPr>
                <w:rFonts w:eastAsia="Shaker2Lancet-Regular"/>
                <w:color w:val="000000"/>
                <w:sz w:val="21"/>
                <w:szCs w:val="21"/>
                <w:lang w:bidi="ar"/>
              </w:rPr>
              <w:t>D</w:t>
            </w:r>
            <w:r w:rsidRPr="00BA3707">
              <w:rPr>
                <w:rFonts w:eastAsia="Shaker2Lancet-Regular"/>
                <w:color w:val="000000"/>
                <w:sz w:val="21"/>
                <w:szCs w:val="21"/>
                <w:lang w:bidi="ar"/>
              </w:rPr>
              <w:t>isease</w:t>
            </w:r>
            <w:r w:rsidRPr="00BA3707">
              <w:rPr>
                <w:sz w:val="21"/>
                <w:szCs w:val="21"/>
                <w:vertAlign w:val="superscript"/>
              </w:rPr>
              <w:t>e,f</w:t>
            </w:r>
            <w:proofErr w:type="spellEnd"/>
            <w:proofErr w:type="gramEnd"/>
          </w:p>
        </w:tc>
        <w:tc>
          <w:tcPr>
            <w:tcW w:w="3990" w:type="pct"/>
            <w:vAlign w:val="center"/>
          </w:tcPr>
          <w:p w14:paraId="0203D364" w14:textId="4E74326C" w:rsidR="00BA3707" w:rsidRPr="00BA3707" w:rsidRDefault="00BA3707" w:rsidP="00FF0C1E">
            <w:pPr>
              <w:widowControl w:val="0"/>
              <w:spacing w:after="0"/>
              <w:jc w:val="both"/>
              <w:rPr>
                <w:sz w:val="21"/>
                <w:szCs w:val="21"/>
              </w:rPr>
            </w:pPr>
            <w:r w:rsidRPr="00BA3707">
              <w:rPr>
                <w:rFonts w:eastAsia="Shaker2Lancet-Regular"/>
                <w:color w:val="000000"/>
                <w:sz w:val="21"/>
                <w:szCs w:val="21"/>
                <w:lang w:bidi="ar"/>
              </w:rPr>
              <w:t>Any of the following:</w:t>
            </w:r>
          </w:p>
          <w:p w14:paraId="67D14C16" w14:textId="77777777" w:rsidR="00BA3707" w:rsidRPr="00BA3707" w:rsidRDefault="00BA3707" w:rsidP="00FF0C1E">
            <w:pPr>
              <w:widowControl w:val="0"/>
              <w:spacing w:after="0"/>
              <w:jc w:val="both"/>
              <w:rPr>
                <w:rFonts w:eastAsia="Shaker2Lancet-Regular"/>
                <w:color w:val="000000"/>
                <w:sz w:val="21"/>
                <w:szCs w:val="21"/>
                <w:lang w:bidi="ar"/>
              </w:rPr>
            </w:pPr>
            <w:r w:rsidRPr="00BA3707">
              <w:rPr>
                <w:rFonts w:eastAsia="Shaker2Lancet-Regular"/>
                <w:color w:val="000000"/>
                <w:sz w:val="21"/>
                <w:szCs w:val="21"/>
                <w:lang w:bidi="ar"/>
              </w:rPr>
              <w:t>-Increase of 25% from lowest response value in any one or more of the following:</w:t>
            </w:r>
          </w:p>
          <w:p w14:paraId="0B22D111" w14:textId="77777777" w:rsidR="008A670D" w:rsidRDefault="00BA3707" w:rsidP="00FF0C1E">
            <w:pPr>
              <w:widowControl w:val="0"/>
              <w:spacing w:after="0"/>
              <w:ind w:leftChars="100" w:left="240"/>
              <w:jc w:val="both"/>
              <w:rPr>
                <w:sz w:val="21"/>
                <w:szCs w:val="21"/>
              </w:rPr>
            </w:pPr>
            <w:r w:rsidRPr="00BA3707">
              <w:rPr>
                <w:rFonts w:eastAsia="Shaker2Lancet-Regular"/>
                <w:color w:val="000000"/>
                <w:sz w:val="21"/>
                <w:szCs w:val="21"/>
                <w:lang w:bidi="ar"/>
              </w:rPr>
              <w:t xml:space="preserve">1) </w:t>
            </w:r>
            <w:r w:rsidRPr="00BA3707">
              <w:rPr>
                <w:sz w:val="21"/>
                <w:szCs w:val="21"/>
              </w:rPr>
              <w:t xml:space="preserve">Serum M-component (absolute increase must be </w:t>
            </w:r>
            <w:r w:rsidRPr="00BA3707">
              <w:rPr>
                <w:sz w:val="21"/>
                <w:szCs w:val="21"/>
              </w:rPr>
              <w:sym w:font="Symbol" w:char="F0B3"/>
            </w:r>
            <w:r w:rsidRPr="00BA3707">
              <w:rPr>
                <w:sz w:val="21"/>
                <w:szCs w:val="21"/>
              </w:rPr>
              <w:t xml:space="preserve"> 0.5 g/dL</w:t>
            </w:r>
            <w:r w:rsidR="008A670D" w:rsidRPr="00BA3707">
              <w:rPr>
                <w:sz w:val="21"/>
                <w:szCs w:val="21"/>
              </w:rPr>
              <w:t>).</w:t>
            </w:r>
          </w:p>
          <w:p w14:paraId="33447AE3" w14:textId="43E63DA6" w:rsidR="008A670D" w:rsidRDefault="00BA3707" w:rsidP="00FF0C1E">
            <w:pPr>
              <w:widowControl w:val="0"/>
              <w:spacing w:after="0"/>
              <w:ind w:leftChars="100" w:left="240"/>
              <w:jc w:val="both"/>
              <w:rPr>
                <w:sz w:val="21"/>
                <w:szCs w:val="21"/>
              </w:rPr>
            </w:pPr>
            <w:r w:rsidRPr="00BA3707">
              <w:rPr>
                <w:rFonts w:eastAsia="Shaker2Lancet-Regular"/>
                <w:color w:val="000000"/>
                <w:sz w:val="21"/>
                <w:szCs w:val="21"/>
                <w:lang w:bidi="ar"/>
              </w:rPr>
              <w:t>2)</w:t>
            </w:r>
            <w:r w:rsidRPr="00BA3707">
              <w:rPr>
                <w:sz w:val="21"/>
                <w:szCs w:val="21"/>
              </w:rPr>
              <w:t xml:space="preserve"> Serum M-protein increase ≥1 g/dL, if the lowest M component was ≥5 g/</w:t>
            </w:r>
            <w:r w:rsidR="008A670D" w:rsidRPr="00BA3707">
              <w:rPr>
                <w:sz w:val="21"/>
                <w:szCs w:val="21"/>
              </w:rPr>
              <w:t>dL.</w:t>
            </w:r>
          </w:p>
          <w:p w14:paraId="16A4BB42" w14:textId="5D37EAE0" w:rsidR="00BA3707" w:rsidRPr="008A670D" w:rsidRDefault="00BA3707" w:rsidP="00FF0C1E">
            <w:pPr>
              <w:widowControl w:val="0"/>
              <w:spacing w:after="0"/>
              <w:ind w:leftChars="100" w:left="240"/>
              <w:jc w:val="both"/>
              <w:rPr>
                <w:sz w:val="21"/>
                <w:szCs w:val="21"/>
              </w:rPr>
            </w:pPr>
            <w:r w:rsidRPr="00BA3707">
              <w:rPr>
                <w:rFonts w:eastAsia="Shaker2Lancet-Regular"/>
                <w:color w:val="000000"/>
                <w:sz w:val="21"/>
                <w:szCs w:val="21"/>
                <w:lang w:bidi="ar"/>
              </w:rPr>
              <w:t xml:space="preserve">3) </w:t>
            </w:r>
            <w:r w:rsidRPr="00BA3707">
              <w:rPr>
                <w:sz w:val="21"/>
                <w:szCs w:val="21"/>
              </w:rPr>
              <w:t xml:space="preserve">Urine M-component (absolute increase must be </w:t>
            </w:r>
            <w:r w:rsidRPr="00BA3707">
              <w:rPr>
                <w:sz w:val="21"/>
                <w:szCs w:val="21"/>
              </w:rPr>
              <w:sym w:font="Symbol" w:char="F0B3"/>
            </w:r>
            <w:r w:rsidRPr="00BA3707">
              <w:rPr>
                <w:sz w:val="21"/>
                <w:szCs w:val="21"/>
              </w:rPr>
              <w:t xml:space="preserve"> 200 mg per 24 h)</w:t>
            </w:r>
            <w:r w:rsidR="008A670D">
              <w:rPr>
                <w:sz w:val="21"/>
                <w:szCs w:val="21"/>
              </w:rPr>
              <w:t>.</w:t>
            </w:r>
          </w:p>
          <w:p w14:paraId="48B088ED" w14:textId="62DCD8C7" w:rsidR="00BA3707" w:rsidRPr="00BA3707" w:rsidRDefault="00BA3707" w:rsidP="00FF0C1E">
            <w:pPr>
              <w:widowControl w:val="0"/>
              <w:spacing w:after="0"/>
              <w:jc w:val="both"/>
              <w:rPr>
                <w:rFonts w:eastAsia="Shaker2Lancet-Regular"/>
                <w:color w:val="000000"/>
                <w:sz w:val="21"/>
                <w:szCs w:val="21"/>
                <w:lang w:bidi="ar"/>
              </w:rPr>
            </w:pPr>
            <w:r w:rsidRPr="00BA3707">
              <w:rPr>
                <w:rFonts w:eastAsia="Shaker2Lancet-Regular"/>
                <w:color w:val="000000"/>
                <w:sz w:val="21"/>
                <w:szCs w:val="21"/>
                <w:lang w:bidi="ar"/>
              </w:rPr>
              <w:t>-In patients without measurable serum and urine M-protein levels, the difference between involved and uninvolved FLC levels (absolute increase must be &gt;10 mg/dL)</w:t>
            </w:r>
            <w:r w:rsidR="008A670D">
              <w:rPr>
                <w:rFonts w:eastAsia="Shaker2Lancet-Regular"/>
                <w:color w:val="000000"/>
                <w:sz w:val="21"/>
                <w:szCs w:val="21"/>
                <w:lang w:bidi="ar"/>
              </w:rPr>
              <w:t>.</w:t>
            </w:r>
          </w:p>
          <w:p w14:paraId="3781BD8C" w14:textId="42790B35" w:rsidR="00BA3707" w:rsidRPr="00BA3707" w:rsidRDefault="00BA3707" w:rsidP="00FF0C1E">
            <w:pPr>
              <w:widowControl w:val="0"/>
              <w:spacing w:after="0"/>
              <w:jc w:val="both"/>
              <w:rPr>
                <w:rFonts w:eastAsia="Shaker2Lancet-Regular"/>
                <w:color w:val="000000"/>
                <w:sz w:val="21"/>
                <w:szCs w:val="21"/>
                <w:lang w:bidi="ar"/>
              </w:rPr>
            </w:pPr>
            <w:r w:rsidRPr="00BA3707">
              <w:rPr>
                <w:rFonts w:eastAsia="Shaker2Lancet-Regular"/>
                <w:color w:val="000000"/>
                <w:sz w:val="21"/>
                <w:szCs w:val="21"/>
                <w:lang w:bidi="ar"/>
              </w:rPr>
              <w:t>-In patients without measurable serum and urine M-protein levels and without measurable involved FLC levels, bone marrow plasma-cell percentage irrespective of</w:t>
            </w:r>
            <w:r w:rsidRPr="00BA3707">
              <w:rPr>
                <w:color w:val="000000"/>
                <w:sz w:val="21"/>
                <w:szCs w:val="21"/>
                <w:lang w:bidi="ar"/>
              </w:rPr>
              <w:t xml:space="preserve"> </w:t>
            </w:r>
            <w:r w:rsidRPr="00BA3707">
              <w:rPr>
                <w:rFonts w:eastAsia="Shaker2Lancet-Regular"/>
                <w:color w:val="000000"/>
                <w:sz w:val="21"/>
                <w:szCs w:val="21"/>
                <w:lang w:bidi="ar"/>
              </w:rPr>
              <w:t>baseline status (absolute increase must be ≥10%</w:t>
            </w:r>
            <w:r w:rsidR="008A670D" w:rsidRPr="00BA3707">
              <w:rPr>
                <w:rFonts w:eastAsia="Shaker2Lancet-Regular"/>
                <w:color w:val="000000"/>
                <w:sz w:val="21"/>
                <w:szCs w:val="21"/>
                <w:lang w:bidi="ar"/>
              </w:rPr>
              <w:t>).</w:t>
            </w:r>
          </w:p>
          <w:p w14:paraId="07516859" w14:textId="1D0B8A5F" w:rsidR="00BA3707" w:rsidRPr="00BA3707" w:rsidRDefault="00BA3707" w:rsidP="00FF0C1E">
            <w:pPr>
              <w:widowControl w:val="0"/>
              <w:spacing w:after="0"/>
              <w:jc w:val="both"/>
              <w:rPr>
                <w:rFonts w:eastAsia="Shaker2Lancet-Regular"/>
                <w:color w:val="000000"/>
                <w:sz w:val="21"/>
                <w:szCs w:val="21"/>
                <w:lang w:bidi="ar"/>
              </w:rPr>
            </w:pPr>
            <w:r w:rsidRPr="00BA3707">
              <w:rPr>
                <w:rFonts w:eastAsia="Shaker2Lancet-Regular"/>
                <w:color w:val="000000"/>
                <w:sz w:val="21"/>
                <w:szCs w:val="21"/>
                <w:lang w:bidi="ar"/>
              </w:rPr>
              <w:t xml:space="preserve">-Appearance of a new lesion(s), ≥50% increase from nadir in SPD of &gt;1 lesion, or ≥50% increase in the longest diameter of a previous lesion &gt;1 cm in short </w:t>
            </w:r>
            <w:r w:rsidR="008A670D" w:rsidRPr="00BA3707">
              <w:rPr>
                <w:rFonts w:eastAsia="Shaker2Lancet-Regular"/>
                <w:color w:val="000000"/>
                <w:sz w:val="21"/>
                <w:szCs w:val="21"/>
                <w:lang w:bidi="ar"/>
              </w:rPr>
              <w:t>axis.</w:t>
            </w:r>
          </w:p>
          <w:p w14:paraId="15303BB1" w14:textId="18E74C20" w:rsidR="00BA3707" w:rsidRPr="00BA3707" w:rsidRDefault="00BA3707" w:rsidP="00713120">
            <w:pPr>
              <w:widowControl w:val="0"/>
              <w:spacing w:after="0"/>
              <w:jc w:val="both"/>
              <w:rPr>
                <w:b/>
                <w:bCs/>
                <w:sz w:val="21"/>
                <w:szCs w:val="21"/>
              </w:rPr>
            </w:pPr>
            <w:r w:rsidRPr="00BA3707">
              <w:rPr>
                <w:rFonts w:eastAsia="Shaker2Lancet-Regular"/>
                <w:color w:val="000000"/>
                <w:sz w:val="21"/>
                <w:szCs w:val="21"/>
                <w:lang w:bidi="ar"/>
              </w:rPr>
              <w:t xml:space="preserve">≥50% increase in circulating plasma cells (minimum of 200 cells per </w:t>
            </w:r>
            <w:proofErr w:type="spellStart"/>
            <w:r w:rsidRPr="00BA3707">
              <w:rPr>
                <w:rFonts w:eastAsia="Shaker2Lancet-Regular"/>
                <w:color w:val="000000"/>
                <w:sz w:val="21"/>
                <w:szCs w:val="21"/>
                <w:lang w:bidi="ar"/>
              </w:rPr>
              <w:t>μL</w:t>
            </w:r>
            <w:proofErr w:type="spellEnd"/>
            <w:r w:rsidRPr="00BA3707">
              <w:rPr>
                <w:rFonts w:eastAsia="Shaker2Lancet-Regular"/>
                <w:color w:val="000000"/>
                <w:sz w:val="21"/>
                <w:szCs w:val="21"/>
                <w:lang w:bidi="ar"/>
              </w:rPr>
              <w:t>) if this is the only measure of disease</w:t>
            </w:r>
            <w:r w:rsidR="008A670D">
              <w:rPr>
                <w:rFonts w:eastAsia="Shaker2Lancet-Regular"/>
                <w:color w:val="000000"/>
                <w:sz w:val="21"/>
                <w:szCs w:val="21"/>
                <w:lang w:bidi="ar"/>
              </w:rPr>
              <w:t>.</w:t>
            </w:r>
          </w:p>
        </w:tc>
      </w:tr>
      <w:tr w:rsidR="00BA3707" w:rsidRPr="00BA3707" w14:paraId="70CEDBBB" w14:textId="77777777" w:rsidTr="00F31A05">
        <w:tc>
          <w:tcPr>
            <w:tcW w:w="1010" w:type="pct"/>
            <w:vAlign w:val="center"/>
          </w:tcPr>
          <w:p w14:paraId="7B69779D" w14:textId="765F46CE" w:rsidR="00BA3707" w:rsidRPr="00BA3707" w:rsidRDefault="00BA3707" w:rsidP="00FF0C1E">
            <w:pPr>
              <w:pStyle w:val="af7"/>
              <w:keepNext w:val="0"/>
              <w:keepLines w:val="0"/>
              <w:widowControl w:val="0"/>
              <w:spacing w:after="0"/>
              <w:ind w:left="0" w:firstLine="0"/>
              <w:jc w:val="both"/>
              <w:rPr>
                <w:rFonts w:eastAsia="Shaker2Lancet-Regular"/>
                <w:color w:val="000000"/>
                <w:sz w:val="21"/>
                <w:szCs w:val="21"/>
                <w:lang w:bidi="ar"/>
              </w:rPr>
            </w:pPr>
            <w:r w:rsidRPr="00BA3707">
              <w:rPr>
                <w:rFonts w:eastAsia="Shaker2Lancet-Regular"/>
                <w:color w:val="000000"/>
                <w:sz w:val="21"/>
                <w:szCs w:val="21"/>
                <w:lang w:bidi="ar"/>
              </w:rPr>
              <w:t>Clinical Relapse</w:t>
            </w:r>
          </w:p>
        </w:tc>
        <w:tc>
          <w:tcPr>
            <w:tcW w:w="3990" w:type="pct"/>
            <w:vAlign w:val="center"/>
          </w:tcPr>
          <w:p w14:paraId="3A56349A" w14:textId="77777777" w:rsidR="00BA3707" w:rsidRPr="00BA3707" w:rsidRDefault="00BA3707" w:rsidP="00FF0C1E">
            <w:pPr>
              <w:widowControl w:val="0"/>
              <w:spacing w:after="0"/>
              <w:jc w:val="both"/>
              <w:rPr>
                <w:sz w:val="21"/>
                <w:szCs w:val="21"/>
              </w:rPr>
            </w:pPr>
            <w:r w:rsidRPr="00BA3707">
              <w:rPr>
                <w:rFonts w:eastAsia="Shaker2Lancet-Regular"/>
                <w:color w:val="000000"/>
                <w:sz w:val="21"/>
                <w:szCs w:val="21"/>
                <w:lang w:bidi="ar"/>
              </w:rPr>
              <w:t xml:space="preserve">Clinical relapse requires one or more of the following criteria: </w:t>
            </w:r>
          </w:p>
          <w:p w14:paraId="0BFA0C5D" w14:textId="30A3A428" w:rsidR="00BA3707" w:rsidRPr="00BA3707" w:rsidRDefault="00BA3707" w:rsidP="00FF0C1E">
            <w:pPr>
              <w:widowControl w:val="0"/>
              <w:spacing w:after="0"/>
              <w:jc w:val="both"/>
              <w:rPr>
                <w:sz w:val="21"/>
                <w:szCs w:val="21"/>
              </w:rPr>
            </w:pPr>
            <w:r w:rsidRPr="00BA3707">
              <w:rPr>
                <w:rFonts w:eastAsia="Shaker2Lancet-Regular"/>
                <w:color w:val="000000"/>
                <w:sz w:val="21"/>
                <w:szCs w:val="21"/>
                <w:lang w:bidi="ar"/>
              </w:rPr>
              <w:t xml:space="preserve">-Direct indicators of increasing disease and/or end organ dysfunction (CRAB </w:t>
            </w:r>
            <w:r w:rsidRPr="00BA3707">
              <w:rPr>
                <w:rFonts w:eastAsia="Shaker2Lancet-Regular"/>
                <w:color w:val="000000"/>
                <w:sz w:val="21"/>
                <w:szCs w:val="21"/>
                <w:lang w:bidi="ar"/>
              </w:rPr>
              <w:lastRenderedPageBreak/>
              <w:t>features) related to the underlying clonal plasma-cell proliferative disorder. It is not used in calculation of time to progression or progression-free survival but is listed as something that can be reported optionally or for use in clinical practice</w:t>
            </w:r>
            <w:r w:rsidR="008A670D">
              <w:rPr>
                <w:rFonts w:eastAsia="Shaker2Lancet-Regular"/>
                <w:color w:val="000000"/>
                <w:sz w:val="21"/>
                <w:szCs w:val="21"/>
                <w:lang w:bidi="ar"/>
              </w:rPr>
              <w:t>.</w:t>
            </w:r>
          </w:p>
          <w:p w14:paraId="12B9160B" w14:textId="1540A77A" w:rsidR="00BA3707" w:rsidRPr="00BA3707" w:rsidRDefault="00BA3707" w:rsidP="00FF0C1E">
            <w:pPr>
              <w:widowControl w:val="0"/>
              <w:spacing w:after="0"/>
              <w:jc w:val="both"/>
              <w:rPr>
                <w:sz w:val="21"/>
                <w:szCs w:val="21"/>
              </w:rPr>
            </w:pPr>
            <w:r w:rsidRPr="00BA3707">
              <w:rPr>
                <w:rFonts w:eastAsia="Shaker2Lancet-Regular"/>
                <w:color w:val="000000"/>
                <w:sz w:val="21"/>
                <w:szCs w:val="21"/>
                <w:lang w:bidi="ar"/>
              </w:rPr>
              <w:t>-Development of new soft tissue plasmacytomas or bone lesions (osteoporotic fractures do not constitute progression</w:t>
            </w:r>
            <w:r w:rsidR="008A670D" w:rsidRPr="00BA3707">
              <w:rPr>
                <w:rFonts w:eastAsia="Shaker2Lancet-Regular"/>
                <w:color w:val="000000"/>
                <w:sz w:val="21"/>
                <w:szCs w:val="21"/>
                <w:lang w:bidi="ar"/>
              </w:rPr>
              <w:t>).</w:t>
            </w:r>
            <w:r w:rsidRPr="00BA3707">
              <w:rPr>
                <w:rFonts w:eastAsia="Shaker2Lancet-Regular"/>
                <w:color w:val="000000"/>
                <w:sz w:val="21"/>
                <w:szCs w:val="21"/>
                <w:lang w:bidi="ar"/>
              </w:rPr>
              <w:t xml:space="preserve"> </w:t>
            </w:r>
          </w:p>
          <w:p w14:paraId="618F57B2" w14:textId="16EB719C" w:rsidR="00BA3707" w:rsidRPr="00BA3707" w:rsidRDefault="00BA3707" w:rsidP="00FF0C1E">
            <w:pPr>
              <w:widowControl w:val="0"/>
              <w:spacing w:after="0"/>
              <w:jc w:val="both"/>
              <w:rPr>
                <w:sz w:val="21"/>
                <w:szCs w:val="21"/>
              </w:rPr>
            </w:pPr>
            <w:r w:rsidRPr="00BA3707">
              <w:rPr>
                <w:rFonts w:eastAsia="Shaker2Lancet-Regular"/>
                <w:color w:val="000000"/>
                <w:sz w:val="21"/>
                <w:szCs w:val="21"/>
                <w:lang w:bidi="ar"/>
              </w:rPr>
              <w:t xml:space="preserve">-Definite increase in the size of existing plasmacytomas or bone lesions. A definite increase is defined as a 50% (and ≥1 cm) increase as measured serially by the SPD of the measurable </w:t>
            </w:r>
            <w:r w:rsidR="008A670D" w:rsidRPr="00BA3707">
              <w:rPr>
                <w:rFonts w:eastAsia="Shaker2Lancet-Regular"/>
                <w:color w:val="000000"/>
                <w:sz w:val="21"/>
                <w:szCs w:val="21"/>
                <w:lang w:bidi="ar"/>
              </w:rPr>
              <w:t>lesion.</w:t>
            </w:r>
            <w:r w:rsidRPr="00BA3707">
              <w:rPr>
                <w:rFonts w:eastAsia="Shaker2Lancet-Regular"/>
                <w:color w:val="000000"/>
                <w:sz w:val="21"/>
                <w:szCs w:val="21"/>
                <w:lang w:bidi="ar"/>
              </w:rPr>
              <w:t xml:space="preserve"> </w:t>
            </w:r>
          </w:p>
          <w:p w14:paraId="53242E3D" w14:textId="265C02E5" w:rsidR="00BA3707" w:rsidRPr="00BA3707" w:rsidRDefault="00BA3707" w:rsidP="00FF0C1E">
            <w:pPr>
              <w:widowControl w:val="0"/>
              <w:spacing w:after="0"/>
              <w:jc w:val="both"/>
              <w:rPr>
                <w:sz w:val="21"/>
                <w:szCs w:val="21"/>
              </w:rPr>
            </w:pPr>
            <w:r w:rsidRPr="00BA3707">
              <w:rPr>
                <w:rFonts w:eastAsia="Shaker2Lancet-Regular"/>
                <w:color w:val="000000"/>
                <w:sz w:val="21"/>
                <w:szCs w:val="21"/>
                <w:lang w:bidi="ar"/>
              </w:rPr>
              <w:t>-</w:t>
            </w:r>
            <w:proofErr w:type="spellStart"/>
            <w:r w:rsidRPr="00BA3707">
              <w:rPr>
                <w:rFonts w:eastAsia="Shaker2Lancet-Regular"/>
                <w:color w:val="000000"/>
                <w:sz w:val="21"/>
                <w:szCs w:val="21"/>
                <w:lang w:bidi="ar"/>
              </w:rPr>
              <w:t>Hypercalcaemia</w:t>
            </w:r>
            <w:proofErr w:type="spellEnd"/>
            <w:r w:rsidRPr="00BA3707">
              <w:rPr>
                <w:rFonts w:eastAsia="Shaker2Lancet-Regular"/>
                <w:color w:val="000000"/>
                <w:sz w:val="21"/>
                <w:szCs w:val="21"/>
                <w:lang w:bidi="ar"/>
              </w:rPr>
              <w:t xml:space="preserve"> (&gt;11 mg/dL</w:t>
            </w:r>
            <w:r w:rsidR="008A670D" w:rsidRPr="00BA3707">
              <w:rPr>
                <w:rFonts w:eastAsia="Shaker2Lancet-Regular"/>
                <w:color w:val="000000"/>
                <w:sz w:val="21"/>
                <w:szCs w:val="21"/>
                <w:lang w:bidi="ar"/>
              </w:rPr>
              <w:t>).</w:t>
            </w:r>
            <w:r w:rsidRPr="00BA3707">
              <w:rPr>
                <w:rFonts w:eastAsia="Shaker2Lancet-Regular"/>
                <w:color w:val="000000"/>
                <w:sz w:val="21"/>
                <w:szCs w:val="21"/>
                <w:lang w:bidi="ar"/>
              </w:rPr>
              <w:t xml:space="preserve"> </w:t>
            </w:r>
          </w:p>
          <w:p w14:paraId="2E0ECD8D" w14:textId="01EEBC40" w:rsidR="00BA3707" w:rsidRPr="00BA3707" w:rsidRDefault="00BA3707" w:rsidP="00FF0C1E">
            <w:pPr>
              <w:widowControl w:val="0"/>
              <w:spacing w:after="0"/>
              <w:jc w:val="both"/>
              <w:rPr>
                <w:sz w:val="21"/>
                <w:szCs w:val="21"/>
              </w:rPr>
            </w:pPr>
            <w:r w:rsidRPr="00BA3707">
              <w:rPr>
                <w:rFonts w:eastAsia="Shaker2Lancet-Regular"/>
                <w:color w:val="000000"/>
                <w:sz w:val="21"/>
                <w:szCs w:val="21"/>
                <w:lang w:bidi="ar"/>
              </w:rPr>
              <w:t xml:space="preserve">-Decrease in </w:t>
            </w:r>
            <w:proofErr w:type="spellStart"/>
            <w:r w:rsidRPr="00BA3707">
              <w:rPr>
                <w:rFonts w:eastAsia="Shaker2Lancet-Regular"/>
                <w:color w:val="000000"/>
                <w:sz w:val="21"/>
                <w:szCs w:val="21"/>
                <w:lang w:bidi="ar"/>
              </w:rPr>
              <w:t>haemoglobin</w:t>
            </w:r>
            <w:proofErr w:type="spellEnd"/>
            <w:r w:rsidRPr="00BA3707">
              <w:rPr>
                <w:rFonts w:eastAsia="Shaker2Lancet-Regular"/>
                <w:color w:val="000000"/>
                <w:sz w:val="21"/>
                <w:szCs w:val="21"/>
                <w:lang w:bidi="ar"/>
              </w:rPr>
              <w:t xml:space="preserve"> of ≥2 g/dL not related to therapy or other non-myeloma-related </w:t>
            </w:r>
            <w:r w:rsidR="008A670D" w:rsidRPr="00BA3707">
              <w:rPr>
                <w:rFonts w:eastAsia="Shaker2Lancet-Regular"/>
                <w:color w:val="000000"/>
                <w:sz w:val="21"/>
                <w:szCs w:val="21"/>
                <w:lang w:bidi="ar"/>
              </w:rPr>
              <w:t>conditions.</w:t>
            </w:r>
            <w:r w:rsidRPr="00BA3707">
              <w:rPr>
                <w:rFonts w:eastAsia="Shaker2Lancet-Regular"/>
                <w:color w:val="000000"/>
                <w:sz w:val="21"/>
                <w:szCs w:val="21"/>
                <w:lang w:bidi="ar"/>
              </w:rPr>
              <w:t xml:space="preserve"> </w:t>
            </w:r>
          </w:p>
          <w:p w14:paraId="08F06993" w14:textId="752BE0EB" w:rsidR="00BA3707" w:rsidRPr="00BA3707" w:rsidRDefault="00BA3707" w:rsidP="00FF0C1E">
            <w:pPr>
              <w:widowControl w:val="0"/>
              <w:spacing w:after="0"/>
              <w:jc w:val="both"/>
              <w:rPr>
                <w:sz w:val="21"/>
                <w:szCs w:val="21"/>
              </w:rPr>
            </w:pPr>
            <w:r w:rsidRPr="00BA3707">
              <w:rPr>
                <w:rFonts w:eastAsia="Shaker2Lancet-Regular"/>
                <w:color w:val="000000"/>
                <w:sz w:val="21"/>
                <w:szCs w:val="21"/>
                <w:lang w:bidi="ar"/>
              </w:rPr>
              <w:t xml:space="preserve">-Rise in serum creatinine by 2 mg/dL or more from the start of the therapy and attributable to </w:t>
            </w:r>
            <w:r w:rsidR="008A670D" w:rsidRPr="00BA3707">
              <w:rPr>
                <w:rFonts w:eastAsia="Shaker2Lancet-Regular"/>
                <w:color w:val="000000"/>
                <w:sz w:val="21"/>
                <w:szCs w:val="21"/>
                <w:lang w:bidi="ar"/>
              </w:rPr>
              <w:t>myeloma.</w:t>
            </w:r>
            <w:r w:rsidRPr="00BA3707">
              <w:rPr>
                <w:rFonts w:eastAsia="Shaker2Lancet-Regular"/>
                <w:color w:val="000000"/>
                <w:sz w:val="21"/>
                <w:szCs w:val="21"/>
                <w:lang w:bidi="ar"/>
              </w:rPr>
              <w:t xml:space="preserve"> </w:t>
            </w:r>
          </w:p>
          <w:p w14:paraId="181ECDEE" w14:textId="0A0EED98" w:rsidR="00BA3707" w:rsidRPr="00BA3707" w:rsidRDefault="00BA3707" w:rsidP="00FF0C1E">
            <w:pPr>
              <w:widowControl w:val="0"/>
              <w:spacing w:after="0"/>
              <w:jc w:val="both"/>
              <w:rPr>
                <w:rFonts w:eastAsia="Shaker2Lancet-Regular"/>
                <w:color w:val="000000"/>
                <w:sz w:val="21"/>
                <w:szCs w:val="21"/>
                <w:lang w:bidi="ar"/>
              </w:rPr>
            </w:pPr>
            <w:r w:rsidRPr="00BA3707">
              <w:rPr>
                <w:rFonts w:eastAsia="Shaker2Lancet-Regular"/>
                <w:color w:val="000000"/>
                <w:sz w:val="21"/>
                <w:szCs w:val="21"/>
                <w:lang w:bidi="ar"/>
              </w:rPr>
              <w:t>-</w:t>
            </w:r>
            <w:proofErr w:type="spellStart"/>
            <w:r w:rsidRPr="00BA3707">
              <w:rPr>
                <w:rFonts w:eastAsia="Shaker2Lancet-Regular"/>
                <w:color w:val="000000"/>
                <w:sz w:val="21"/>
                <w:szCs w:val="21"/>
                <w:lang w:bidi="ar"/>
              </w:rPr>
              <w:t>Hyperviscosity</w:t>
            </w:r>
            <w:proofErr w:type="spellEnd"/>
            <w:r w:rsidRPr="00BA3707">
              <w:rPr>
                <w:rFonts w:eastAsia="Shaker2Lancet-Regular"/>
                <w:color w:val="000000"/>
                <w:sz w:val="21"/>
                <w:szCs w:val="21"/>
                <w:lang w:bidi="ar"/>
              </w:rPr>
              <w:t xml:space="preserve"> related to serum paraprotein</w:t>
            </w:r>
          </w:p>
        </w:tc>
      </w:tr>
      <w:tr w:rsidR="00BA3707" w:rsidRPr="00BA3707" w14:paraId="0048CB08" w14:textId="77777777" w:rsidTr="00F31A05">
        <w:tc>
          <w:tcPr>
            <w:tcW w:w="1010" w:type="pct"/>
            <w:vAlign w:val="center"/>
          </w:tcPr>
          <w:p w14:paraId="0E797FD9" w14:textId="1DC437E6" w:rsidR="00BA3707" w:rsidRPr="00BA3707" w:rsidRDefault="00BA3707" w:rsidP="00FF0C1E">
            <w:pPr>
              <w:pStyle w:val="af7"/>
              <w:keepNext w:val="0"/>
              <w:keepLines w:val="0"/>
              <w:widowControl w:val="0"/>
              <w:spacing w:after="0"/>
              <w:ind w:left="0" w:firstLine="0"/>
              <w:jc w:val="both"/>
              <w:rPr>
                <w:rFonts w:eastAsia="Shaker2Lancet-Regular"/>
                <w:color w:val="000000"/>
                <w:sz w:val="21"/>
                <w:szCs w:val="21"/>
                <w:lang w:bidi="ar"/>
              </w:rPr>
            </w:pPr>
            <w:r w:rsidRPr="00BA3707">
              <w:rPr>
                <w:rFonts w:eastAsia="Shaker2Lancet-Regular"/>
                <w:color w:val="000000"/>
                <w:sz w:val="21"/>
                <w:szCs w:val="21"/>
                <w:lang w:bidi="ar"/>
              </w:rPr>
              <w:lastRenderedPageBreak/>
              <w:t xml:space="preserve">Relapse </w:t>
            </w:r>
            <w:r>
              <w:rPr>
                <w:rFonts w:eastAsia="Shaker2Lancet-Regular"/>
                <w:color w:val="000000"/>
                <w:sz w:val="21"/>
                <w:szCs w:val="21"/>
                <w:lang w:bidi="ar"/>
              </w:rPr>
              <w:t>F</w:t>
            </w:r>
            <w:r w:rsidRPr="00BA3707">
              <w:rPr>
                <w:rFonts w:eastAsia="Shaker2Lancet-Regular"/>
                <w:color w:val="000000"/>
                <w:sz w:val="21"/>
                <w:szCs w:val="21"/>
                <w:lang w:bidi="ar"/>
              </w:rPr>
              <w:t xml:space="preserve">rom </w:t>
            </w:r>
            <w:r>
              <w:rPr>
                <w:rFonts w:eastAsia="Shaker2Lancet-Regular"/>
                <w:color w:val="000000"/>
                <w:sz w:val="21"/>
                <w:szCs w:val="21"/>
                <w:lang w:bidi="ar"/>
              </w:rPr>
              <w:t>C</w:t>
            </w:r>
            <w:r w:rsidRPr="00BA3707">
              <w:rPr>
                <w:rFonts w:eastAsia="Shaker2Lancet-Regular"/>
                <w:color w:val="000000"/>
                <w:sz w:val="21"/>
                <w:szCs w:val="21"/>
                <w:lang w:bidi="ar"/>
              </w:rPr>
              <w:t xml:space="preserve">omplete </w:t>
            </w:r>
            <w:r>
              <w:rPr>
                <w:rFonts w:eastAsia="Shaker2Lancet-Regular"/>
                <w:color w:val="000000"/>
                <w:sz w:val="21"/>
                <w:szCs w:val="21"/>
                <w:lang w:bidi="ar"/>
              </w:rPr>
              <w:t>R</w:t>
            </w:r>
            <w:r w:rsidRPr="00BA3707">
              <w:rPr>
                <w:rFonts w:eastAsia="Shaker2Lancet-Regular"/>
                <w:color w:val="000000"/>
                <w:sz w:val="21"/>
                <w:szCs w:val="21"/>
                <w:lang w:bidi="ar"/>
              </w:rPr>
              <w:t xml:space="preserve">esponse (to be </w:t>
            </w:r>
            <w:r>
              <w:rPr>
                <w:rFonts w:eastAsia="Shaker2Lancet-Regular"/>
                <w:color w:val="000000"/>
                <w:sz w:val="21"/>
                <w:szCs w:val="21"/>
                <w:lang w:bidi="ar"/>
              </w:rPr>
              <w:t>U</w:t>
            </w:r>
            <w:r w:rsidRPr="00BA3707">
              <w:rPr>
                <w:rFonts w:eastAsia="Shaker2Lancet-Regular"/>
                <w:color w:val="000000"/>
                <w:sz w:val="21"/>
                <w:szCs w:val="21"/>
                <w:lang w:bidi="ar"/>
              </w:rPr>
              <w:t xml:space="preserve">sed </w:t>
            </w:r>
            <w:r>
              <w:rPr>
                <w:rFonts w:eastAsia="Shaker2Lancet-Regular"/>
                <w:color w:val="000000"/>
                <w:sz w:val="21"/>
                <w:szCs w:val="21"/>
                <w:lang w:bidi="ar"/>
              </w:rPr>
              <w:t>O</w:t>
            </w:r>
            <w:r w:rsidRPr="00BA3707">
              <w:rPr>
                <w:rFonts w:eastAsia="Shaker2Lancet-Regular"/>
                <w:color w:val="000000"/>
                <w:sz w:val="21"/>
                <w:szCs w:val="21"/>
                <w:lang w:bidi="ar"/>
              </w:rPr>
              <w:t xml:space="preserve">nly </w:t>
            </w:r>
            <w:r>
              <w:rPr>
                <w:rFonts w:eastAsia="Shaker2Lancet-Regular"/>
                <w:color w:val="000000"/>
                <w:sz w:val="21"/>
                <w:szCs w:val="21"/>
                <w:lang w:bidi="ar"/>
              </w:rPr>
              <w:t>i</w:t>
            </w:r>
            <w:r w:rsidRPr="00BA3707">
              <w:rPr>
                <w:rFonts w:eastAsia="Shaker2Lancet-Regular"/>
                <w:color w:val="000000"/>
                <w:sz w:val="21"/>
                <w:szCs w:val="21"/>
                <w:lang w:bidi="ar"/>
              </w:rPr>
              <w:t xml:space="preserve">f the </w:t>
            </w:r>
            <w:r>
              <w:rPr>
                <w:rFonts w:eastAsia="Shaker2Lancet-Regular"/>
                <w:color w:val="000000"/>
                <w:sz w:val="21"/>
                <w:szCs w:val="21"/>
                <w:lang w:bidi="ar"/>
              </w:rPr>
              <w:t>E</w:t>
            </w:r>
            <w:r w:rsidRPr="00BA3707">
              <w:rPr>
                <w:rFonts w:eastAsia="Shaker2Lancet-Regular"/>
                <w:color w:val="000000"/>
                <w:sz w:val="21"/>
                <w:szCs w:val="21"/>
                <w:lang w:bidi="ar"/>
              </w:rPr>
              <w:t xml:space="preserve">nd </w:t>
            </w:r>
            <w:r>
              <w:rPr>
                <w:rFonts w:eastAsia="Shaker2Lancet-Regular"/>
                <w:color w:val="000000"/>
                <w:sz w:val="21"/>
                <w:szCs w:val="21"/>
                <w:lang w:bidi="ar"/>
              </w:rPr>
              <w:t>P</w:t>
            </w:r>
            <w:r w:rsidRPr="00BA3707">
              <w:rPr>
                <w:rFonts w:eastAsia="Shaker2Lancet-Regular"/>
                <w:color w:val="000000"/>
                <w:sz w:val="21"/>
                <w:szCs w:val="21"/>
                <w:lang w:bidi="ar"/>
              </w:rPr>
              <w:t xml:space="preserve">oint is </w:t>
            </w:r>
            <w:r>
              <w:rPr>
                <w:rFonts w:eastAsia="Shaker2Lancet-Regular"/>
                <w:color w:val="000000"/>
                <w:sz w:val="21"/>
                <w:szCs w:val="21"/>
                <w:lang w:bidi="ar"/>
              </w:rPr>
              <w:t>D</w:t>
            </w:r>
            <w:r w:rsidRPr="00BA3707">
              <w:rPr>
                <w:rFonts w:eastAsia="Shaker2Lancet-Regular"/>
                <w:color w:val="000000"/>
                <w:sz w:val="21"/>
                <w:szCs w:val="21"/>
                <w:lang w:bidi="ar"/>
              </w:rPr>
              <w:t>isease-</w:t>
            </w:r>
            <w:r>
              <w:rPr>
                <w:rFonts w:eastAsia="Shaker2Lancet-Regular"/>
                <w:color w:val="000000"/>
                <w:sz w:val="21"/>
                <w:szCs w:val="21"/>
                <w:lang w:bidi="ar"/>
              </w:rPr>
              <w:t>F</w:t>
            </w:r>
            <w:r w:rsidRPr="00BA3707">
              <w:rPr>
                <w:rFonts w:eastAsia="Shaker2Lancet-Regular"/>
                <w:color w:val="000000"/>
                <w:sz w:val="21"/>
                <w:szCs w:val="21"/>
                <w:lang w:bidi="ar"/>
              </w:rPr>
              <w:t xml:space="preserve">ree </w:t>
            </w:r>
            <w:r>
              <w:rPr>
                <w:rFonts w:eastAsia="Shaker2Lancet-Regular"/>
                <w:color w:val="000000"/>
                <w:sz w:val="21"/>
                <w:szCs w:val="21"/>
                <w:lang w:bidi="ar"/>
              </w:rPr>
              <w:t>S</w:t>
            </w:r>
            <w:r w:rsidRPr="00BA3707">
              <w:rPr>
                <w:rFonts w:eastAsia="Shaker2Lancet-Regular"/>
                <w:color w:val="000000"/>
                <w:sz w:val="21"/>
                <w:szCs w:val="21"/>
                <w:lang w:bidi="ar"/>
              </w:rPr>
              <w:t>urvival)</w:t>
            </w:r>
          </w:p>
        </w:tc>
        <w:tc>
          <w:tcPr>
            <w:tcW w:w="3990" w:type="pct"/>
            <w:vAlign w:val="center"/>
          </w:tcPr>
          <w:p w14:paraId="36AF6123" w14:textId="77777777" w:rsidR="00BA3707" w:rsidRPr="00BA3707" w:rsidRDefault="00BA3707" w:rsidP="00FF0C1E">
            <w:pPr>
              <w:widowControl w:val="0"/>
              <w:spacing w:after="0"/>
              <w:jc w:val="both"/>
              <w:rPr>
                <w:sz w:val="21"/>
                <w:szCs w:val="21"/>
              </w:rPr>
            </w:pPr>
            <w:r w:rsidRPr="00BA3707">
              <w:rPr>
                <w:rFonts w:eastAsia="Shaker2Lancet-Regular"/>
                <w:color w:val="000000"/>
                <w:sz w:val="21"/>
                <w:szCs w:val="21"/>
                <w:lang w:bidi="ar"/>
              </w:rPr>
              <w:t xml:space="preserve">Any one or more of the following criteria: </w:t>
            </w:r>
          </w:p>
          <w:p w14:paraId="012E3E55" w14:textId="4B194822" w:rsidR="00BA3707" w:rsidRPr="00BA3707" w:rsidRDefault="00BA3707" w:rsidP="00FF0C1E">
            <w:pPr>
              <w:widowControl w:val="0"/>
              <w:spacing w:after="0"/>
              <w:jc w:val="both"/>
              <w:rPr>
                <w:sz w:val="21"/>
                <w:szCs w:val="21"/>
              </w:rPr>
            </w:pPr>
            <w:r w:rsidRPr="00BA3707">
              <w:rPr>
                <w:rFonts w:eastAsia="Shaker2Lancet-Regular"/>
                <w:color w:val="000000"/>
                <w:sz w:val="21"/>
                <w:szCs w:val="21"/>
                <w:lang w:bidi="ar"/>
              </w:rPr>
              <w:t xml:space="preserve">-Reappearance of serum or urine M-protein by immunofixation or </w:t>
            </w:r>
            <w:r w:rsidR="008A670D" w:rsidRPr="00BA3707">
              <w:rPr>
                <w:rFonts w:eastAsia="Shaker2Lancet-Regular"/>
                <w:color w:val="000000"/>
                <w:sz w:val="21"/>
                <w:szCs w:val="21"/>
                <w:lang w:bidi="ar"/>
              </w:rPr>
              <w:t>electrophoresis.</w:t>
            </w:r>
          </w:p>
          <w:p w14:paraId="6619E259" w14:textId="71AF30AE" w:rsidR="00BA3707" w:rsidRPr="00BA3707" w:rsidRDefault="00BA3707" w:rsidP="00FF0C1E">
            <w:pPr>
              <w:widowControl w:val="0"/>
              <w:spacing w:after="0"/>
              <w:jc w:val="both"/>
              <w:rPr>
                <w:sz w:val="21"/>
                <w:szCs w:val="21"/>
              </w:rPr>
            </w:pPr>
            <w:r w:rsidRPr="00BA3707">
              <w:rPr>
                <w:rFonts w:eastAsia="Shaker2Lancet-Regular"/>
                <w:color w:val="000000"/>
                <w:sz w:val="21"/>
                <w:szCs w:val="21"/>
                <w:lang w:bidi="ar"/>
              </w:rPr>
              <w:t xml:space="preserve">-Development of ≥5% plasma cells in the bone </w:t>
            </w:r>
            <w:r w:rsidR="008A670D" w:rsidRPr="00BA3707">
              <w:rPr>
                <w:rFonts w:eastAsia="Shaker2Lancet-Regular"/>
                <w:color w:val="000000"/>
                <w:sz w:val="21"/>
                <w:szCs w:val="21"/>
                <w:lang w:bidi="ar"/>
              </w:rPr>
              <w:t>marrow.</w:t>
            </w:r>
          </w:p>
          <w:p w14:paraId="662A4FEB" w14:textId="69DDF6BE" w:rsidR="00BA3707" w:rsidRPr="00BA3707" w:rsidRDefault="00BA3707" w:rsidP="00FF0C1E">
            <w:pPr>
              <w:widowControl w:val="0"/>
              <w:spacing w:after="0"/>
              <w:jc w:val="both"/>
              <w:rPr>
                <w:rFonts w:eastAsia="Shaker2Lancet-Regular"/>
                <w:color w:val="000000"/>
                <w:sz w:val="21"/>
                <w:szCs w:val="21"/>
                <w:lang w:bidi="ar"/>
              </w:rPr>
            </w:pPr>
            <w:r w:rsidRPr="00BA3707">
              <w:rPr>
                <w:rFonts w:eastAsia="Shaker2Lancet-Regular"/>
                <w:color w:val="000000"/>
                <w:sz w:val="21"/>
                <w:szCs w:val="21"/>
                <w:lang w:bidi="ar"/>
              </w:rPr>
              <w:t>-Appearance of any other sign of progression (i</w:t>
            </w:r>
            <w:r w:rsidR="00713120">
              <w:rPr>
                <w:rFonts w:eastAsia="Shaker2Lancet-Regular"/>
                <w:color w:val="000000"/>
                <w:sz w:val="21"/>
                <w:szCs w:val="21"/>
                <w:lang w:bidi="ar"/>
              </w:rPr>
              <w:t>.e.</w:t>
            </w:r>
            <w:r w:rsidRPr="00BA3707">
              <w:rPr>
                <w:rFonts w:eastAsia="Shaker2Lancet-Regular"/>
                <w:color w:val="000000"/>
                <w:sz w:val="21"/>
                <w:szCs w:val="21"/>
                <w:lang w:bidi="ar"/>
              </w:rPr>
              <w:t>, new plasmacytoma, lytic bone lesion, or hypercalcemia see above)</w:t>
            </w:r>
          </w:p>
        </w:tc>
      </w:tr>
    </w:tbl>
    <w:p w14:paraId="391F05AC" w14:textId="77777777" w:rsidR="00CE669A" w:rsidRDefault="00CE669A" w:rsidP="00FF0C1E">
      <w:pPr>
        <w:jc w:val="both"/>
      </w:pPr>
    </w:p>
    <w:p w14:paraId="103386BF" w14:textId="6841A18B" w:rsidR="00BA3707" w:rsidRPr="00BA3707" w:rsidRDefault="00BA3707" w:rsidP="00FF0C1E">
      <w:pPr>
        <w:jc w:val="both"/>
      </w:pPr>
      <w:r w:rsidRPr="00BA3707">
        <w:t>a. All response categories require two consecutive assessments made any time before starting any new therapy; for MRD there is no need for two consecutive assessments, but information on MRD after each treatment stage is recommended (e</w:t>
      </w:r>
      <w:r w:rsidR="00713120">
        <w:t>.g.</w:t>
      </w:r>
      <w:r w:rsidRPr="00BA3707">
        <w:t>, after induction, high-dose therapy/ASCT, consolidation, maintenance). MRD tests should be initiated only at the time of suspected complete response.</w:t>
      </w:r>
    </w:p>
    <w:p w14:paraId="23C50B5B" w14:textId="77777777" w:rsidR="00BA3707" w:rsidRPr="00BA3707" w:rsidRDefault="00BA3707" w:rsidP="00FF0C1E">
      <w:pPr>
        <w:jc w:val="both"/>
      </w:pPr>
      <w:r w:rsidRPr="00BA3707">
        <w:t>All categories of response and MRD require no known evidence of progressive or new bone lesions if radiographic studies were performed. However, radiographic studies are not required to satisfy these response requirements except for the requirement of FDG PET if imaging MRD-negative status is reported.</w:t>
      </w:r>
    </w:p>
    <w:p w14:paraId="59515DDA" w14:textId="3B736F15" w:rsidR="00BA3707" w:rsidRPr="00BA3707" w:rsidRDefault="00BA3707" w:rsidP="00FF0C1E">
      <w:pPr>
        <w:jc w:val="both"/>
      </w:pPr>
      <w:r w:rsidRPr="00BA3707">
        <w:t>Derived from international uniform response criteria for multiple myeloma. Minor response definition</w:t>
      </w:r>
      <w:r w:rsidR="00713120">
        <w:t>s</w:t>
      </w:r>
      <w:r w:rsidRPr="00BA3707">
        <w:t xml:space="preserve"> and clarifications derived from Rajkumar and colleagues. When the only method to measure disease is by serum FLC levels: complete response can be defined as a normal FLC ratio of 0</w:t>
      </w:r>
      <w:r w:rsidR="00713120">
        <w:t>.</w:t>
      </w:r>
      <w:r w:rsidRPr="00BA3707">
        <w:t>26 to 1</w:t>
      </w:r>
      <w:r w:rsidR="00713120">
        <w:t>.</w:t>
      </w:r>
      <w:r w:rsidRPr="00BA3707">
        <w:t>65 in addition to the complete response criteria listed previously. Very good partial response in such patients requires a ≥</w:t>
      </w:r>
      <w:r w:rsidR="00713120">
        <w:t xml:space="preserve"> </w:t>
      </w:r>
      <w:r w:rsidRPr="00BA3707">
        <w:t xml:space="preserve">90% decrease in the difference between involved and uninvolved FLC levels. All response categories require two consecutive assessments made at any time before the institution of any new therapy; all categories also require no known evidence of progressive or new bone lesions or extramedullary plasmacytomas if radiographic studies were performed. Radiographic studies are not required to satisfy these response requirements. Bone marrow assessments do not need to be confirmed. Each category, except for stable disease, will be considered unconfirmed until the confirmatory test is performed. The </w:t>
      </w:r>
      <w:r w:rsidRPr="00BA3707">
        <w:lastRenderedPageBreak/>
        <w:t>date of the initial test is considered as the date of response for evaluation of time dependent outcomes such as duration of response.</w:t>
      </w:r>
    </w:p>
    <w:p w14:paraId="218A4C17" w14:textId="567946A1" w:rsidR="00BA3707" w:rsidRPr="00BA3707" w:rsidRDefault="00BA3707" w:rsidP="00FF0C1E">
      <w:pPr>
        <w:jc w:val="both"/>
      </w:pPr>
      <w:r w:rsidRPr="00BA3707">
        <w:t xml:space="preserve">b. All recommendations regarding clinical uses relating to serum FLC levels or FLC ratio are based on results obtained with the validated </w:t>
      </w:r>
      <w:proofErr w:type="spellStart"/>
      <w:r w:rsidRPr="00BA3707">
        <w:t>Freelite</w:t>
      </w:r>
      <w:proofErr w:type="spellEnd"/>
      <w:r w:rsidRPr="00BA3707">
        <w:t xml:space="preserve"> test (Binding Site, Birmingham, UK). </w:t>
      </w:r>
    </w:p>
    <w:p w14:paraId="5195C44E" w14:textId="5F2BC893" w:rsidR="00BA3707" w:rsidRPr="00BA3707" w:rsidRDefault="00BA3707" w:rsidP="00FF0C1E">
      <w:pPr>
        <w:jc w:val="both"/>
      </w:pPr>
      <w:r w:rsidRPr="00BA3707">
        <w:t xml:space="preserve">c. Presence or absence of clonal cells is based upon the κ/λ ratio. An abnormal κ/λ ratio by immunohistochemistry and/or immunofluorescence requires a minimum of 100 plasma cells for analysis. An abnormal ratio reflecting presence of an abnormal clone is κ/λ of </w:t>
      </w:r>
      <w:r w:rsidR="00F458B7">
        <w:t>&gt;</w:t>
      </w:r>
      <w:r w:rsidRPr="00BA3707">
        <w:t xml:space="preserve">4:1 or </w:t>
      </w:r>
      <w:r w:rsidR="00F458B7">
        <w:t>&lt;</w:t>
      </w:r>
      <w:r w:rsidRPr="00BA3707">
        <w:t xml:space="preserve">1:2. </w:t>
      </w:r>
    </w:p>
    <w:p w14:paraId="7998B5C8" w14:textId="77777777" w:rsidR="00BA3707" w:rsidRPr="00BA3707" w:rsidRDefault="00BA3707" w:rsidP="00FF0C1E">
      <w:pPr>
        <w:jc w:val="both"/>
      </w:pPr>
      <w:r w:rsidRPr="00BA3707">
        <w:t xml:space="preserve">d. Plasmacytoma measurements should be taken from the CT portion of the PET/CT, or MRI scans, or dedicated CT scans where applicable. For patients with only skin involvement, skin lesions should be measured with a ruler. Measurement of </w:t>
      </w:r>
      <w:proofErr w:type="spellStart"/>
      <w:r w:rsidRPr="00BA3707">
        <w:t>tumour</w:t>
      </w:r>
      <w:proofErr w:type="spellEnd"/>
      <w:r w:rsidRPr="00BA3707">
        <w:t xml:space="preserve"> size will be determined by the SPD.</w:t>
      </w:r>
    </w:p>
    <w:p w14:paraId="7282A480" w14:textId="77777777" w:rsidR="00BA3707" w:rsidRPr="00BA3707" w:rsidRDefault="00BA3707" w:rsidP="00FF0C1E">
      <w:pPr>
        <w:jc w:val="both"/>
      </w:pPr>
      <w:r w:rsidRPr="00BA3707">
        <w:t>e. Positive immunofixation alone in a patient previously classified as achieving a complete response will not be considered progression. For purposes of calculating time to progression and progression-free survival, patients who have achieved a complete response and are MRD-negative should be evaluated using criteria listed for progressive disease. Criteria for relapse from a complete response or relapse from MRD should be used only when calculating disease-free survival.</w:t>
      </w:r>
    </w:p>
    <w:p w14:paraId="18EDC39B" w14:textId="28672AF2" w:rsidR="00BA3707" w:rsidRPr="00BA3707" w:rsidRDefault="00BA3707" w:rsidP="00FF0C1E">
      <w:pPr>
        <w:jc w:val="both"/>
      </w:pPr>
      <w:r w:rsidRPr="00BA3707">
        <w:t>f. In the case where a value is felt to be a spurious result per physician discretion (e</w:t>
      </w:r>
      <w:r w:rsidR="00713120">
        <w:t>.g.</w:t>
      </w:r>
      <w:r w:rsidRPr="00BA3707">
        <w:t>, a possible laboratory error).</w:t>
      </w:r>
    </w:p>
    <w:p w14:paraId="7AB983DC" w14:textId="77777777" w:rsidR="00BA3707" w:rsidRDefault="00BA3707" w:rsidP="00FF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jc w:val="both"/>
        <w:rPr>
          <w:rFonts w:eastAsiaTheme="minorEastAsia"/>
        </w:rPr>
      </w:pPr>
    </w:p>
    <w:p w14:paraId="58E5B38C" w14:textId="77777777" w:rsidR="00BA3707" w:rsidRDefault="00BA3707" w:rsidP="00FF0C1E">
      <w:pPr>
        <w:spacing w:after="200"/>
        <w:jc w:val="both"/>
        <w:rPr>
          <w:rFonts w:eastAsiaTheme="minorEastAsia"/>
        </w:rPr>
      </w:pPr>
      <w:r>
        <w:rPr>
          <w:rFonts w:eastAsiaTheme="minorEastAsia"/>
        </w:rPr>
        <w:br w:type="page"/>
      </w:r>
    </w:p>
    <w:p w14:paraId="492A5346" w14:textId="046A4B16" w:rsidR="004479E5" w:rsidRPr="00B77038" w:rsidRDefault="00B77038" w:rsidP="00FF0C1E">
      <w:pPr>
        <w:pStyle w:val="aff2"/>
        <w:spacing w:before="0" w:beforeAutospacing="0" w:after="0" w:afterAutospacing="0" w:line="360" w:lineRule="auto"/>
        <w:jc w:val="both"/>
        <w:outlineLvl w:val="1"/>
        <w:rPr>
          <w:rFonts w:ascii="Times New Roman" w:hAnsi="Times New Roman" w:cs="Times New Roman"/>
          <w:b/>
          <w:bCs/>
        </w:rPr>
      </w:pPr>
      <w:bookmarkStart w:id="281" w:name="app4"/>
      <w:r w:rsidRPr="004479E5">
        <w:rPr>
          <w:rFonts w:ascii="Times New Roman" w:hAnsi="Times New Roman" w:cs="Times New Roman"/>
          <w:b/>
          <w:bCs/>
        </w:rPr>
        <w:lastRenderedPageBreak/>
        <w:t>Appendix </w:t>
      </w:r>
      <w:r w:rsidRPr="00B77038">
        <w:rPr>
          <w:rFonts w:ascii="Times New Roman" w:hAnsi="Times New Roman" w:cs="Times New Roman"/>
          <w:b/>
          <w:bCs/>
        </w:rPr>
        <w:fldChar w:fldCharType="begin"/>
      </w:r>
      <w:r w:rsidRPr="004479E5">
        <w:rPr>
          <w:rFonts w:ascii="Times New Roman" w:hAnsi="Times New Roman" w:cs="Times New Roman"/>
          <w:b/>
          <w:bCs/>
        </w:rPr>
        <w:instrText>SEQ Appendix \* ARABIC</w:instrText>
      </w:r>
      <w:r w:rsidRPr="00B77038">
        <w:rPr>
          <w:rFonts w:ascii="Times New Roman" w:hAnsi="Times New Roman" w:cs="Times New Roman"/>
          <w:b/>
          <w:bCs/>
        </w:rPr>
        <w:fldChar w:fldCharType="separate"/>
      </w:r>
      <w:r w:rsidR="004E14F7">
        <w:rPr>
          <w:rFonts w:ascii="Times New Roman" w:hAnsi="Times New Roman" w:cs="Times New Roman"/>
          <w:b/>
          <w:bCs/>
          <w:noProof/>
        </w:rPr>
        <w:t>4</w:t>
      </w:r>
      <w:r w:rsidRPr="00B77038">
        <w:rPr>
          <w:rFonts w:ascii="Times New Roman" w:hAnsi="Times New Roman" w:cs="Times New Roman"/>
          <w:b/>
          <w:bCs/>
        </w:rPr>
        <w:fldChar w:fldCharType="end"/>
      </w:r>
      <w:bookmarkEnd w:id="281"/>
      <w:r w:rsidRPr="00B77038">
        <w:rPr>
          <w:rFonts w:ascii="Times New Roman" w:hAnsi="Times New Roman" w:cs="Times New Roman"/>
          <w:b/>
          <w:bCs/>
        </w:rPr>
        <w:t>.</w:t>
      </w:r>
      <w:r w:rsidR="004479E5" w:rsidRPr="00B77038">
        <w:rPr>
          <w:rFonts w:ascii="Times New Roman" w:hAnsi="Times New Roman" w:cs="Times New Roman"/>
          <w:b/>
          <w:bCs/>
        </w:rPr>
        <w:t xml:space="preserve"> Response Evaluation of Multiple Myeloma – MRD Response Criteria</w:t>
      </w:r>
    </w:p>
    <w:p w14:paraId="77C98A54" w14:textId="7EF43ED1" w:rsidR="004479E5" w:rsidRDefault="004479E5" w:rsidP="00FF0C1E">
      <w:pPr>
        <w:spacing w:line="360" w:lineRule="auto"/>
        <w:jc w:val="both"/>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6"/>
        <w:gridCol w:w="6563"/>
      </w:tblGrid>
      <w:tr w:rsidR="004479E5" w:rsidRPr="00B77038" w14:paraId="79A2EB76" w14:textId="77777777" w:rsidTr="00B77038">
        <w:trPr>
          <w:cantSplit/>
          <w:tblHeader/>
          <w:jc w:val="center"/>
        </w:trPr>
        <w:tc>
          <w:tcPr>
            <w:tcW w:w="1093" w:type="pct"/>
            <w:shd w:val="clear" w:color="auto" w:fill="auto"/>
            <w:vAlign w:val="center"/>
          </w:tcPr>
          <w:p w14:paraId="09CCB9EC" w14:textId="77777777" w:rsidR="004479E5" w:rsidRPr="00B77038" w:rsidRDefault="004479E5" w:rsidP="00FF0C1E">
            <w:pPr>
              <w:pStyle w:val="TableParagraph"/>
              <w:autoSpaceDE/>
              <w:autoSpaceDN/>
              <w:jc w:val="both"/>
              <w:rPr>
                <w:rFonts w:eastAsiaTheme="minorEastAsia"/>
                <w:b/>
                <w:bCs/>
                <w:sz w:val="21"/>
                <w:szCs w:val="21"/>
              </w:rPr>
            </w:pPr>
            <w:r w:rsidRPr="00B77038">
              <w:rPr>
                <w:rFonts w:eastAsiaTheme="minorEastAsia"/>
                <w:b/>
                <w:bCs/>
                <w:sz w:val="21"/>
                <w:szCs w:val="21"/>
              </w:rPr>
              <w:t>Type of Response</w:t>
            </w:r>
          </w:p>
        </w:tc>
        <w:tc>
          <w:tcPr>
            <w:tcW w:w="3907" w:type="pct"/>
            <w:shd w:val="clear" w:color="auto" w:fill="auto"/>
            <w:vAlign w:val="center"/>
          </w:tcPr>
          <w:p w14:paraId="0E053A86" w14:textId="77777777" w:rsidR="004479E5" w:rsidRPr="00B77038" w:rsidRDefault="004479E5" w:rsidP="00FF0C1E">
            <w:pPr>
              <w:pStyle w:val="TableParagraph"/>
              <w:autoSpaceDE/>
              <w:autoSpaceDN/>
              <w:jc w:val="both"/>
              <w:rPr>
                <w:rFonts w:eastAsiaTheme="minorEastAsia"/>
                <w:b/>
                <w:bCs/>
                <w:sz w:val="21"/>
                <w:szCs w:val="21"/>
              </w:rPr>
            </w:pPr>
            <w:r w:rsidRPr="00B77038">
              <w:rPr>
                <w:rFonts w:eastAsiaTheme="minorEastAsia"/>
                <w:b/>
                <w:bCs/>
                <w:sz w:val="21"/>
                <w:szCs w:val="21"/>
              </w:rPr>
              <w:t>Response Criteria</w:t>
            </w:r>
          </w:p>
        </w:tc>
      </w:tr>
      <w:tr w:rsidR="004479E5" w:rsidRPr="00B77038" w14:paraId="19A1FD2B" w14:textId="77777777" w:rsidTr="00F31A05">
        <w:trPr>
          <w:cantSplit/>
          <w:jc w:val="center"/>
        </w:trPr>
        <w:tc>
          <w:tcPr>
            <w:tcW w:w="1093" w:type="pct"/>
            <w:vAlign w:val="center"/>
          </w:tcPr>
          <w:p w14:paraId="7A300453" w14:textId="77777777" w:rsidR="004479E5" w:rsidRPr="00B77038" w:rsidRDefault="004479E5" w:rsidP="00FF0C1E">
            <w:pPr>
              <w:pStyle w:val="TableParagraph"/>
              <w:autoSpaceDE/>
              <w:autoSpaceDN/>
              <w:jc w:val="both"/>
              <w:rPr>
                <w:rFonts w:eastAsiaTheme="minorEastAsia"/>
                <w:sz w:val="21"/>
                <w:szCs w:val="21"/>
              </w:rPr>
            </w:pPr>
            <w:r w:rsidRPr="00B77038">
              <w:rPr>
                <w:rFonts w:eastAsiaTheme="minorEastAsia"/>
                <w:sz w:val="21"/>
                <w:szCs w:val="21"/>
              </w:rPr>
              <w:t>Sustained MRD-negative</w:t>
            </w:r>
          </w:p>
        </w:tc>
        <w:tc>
          <w:tcPr>
            <w:tcW w:w="3907" w:type="pct"/>
            <w:vAlign w:val="center"/>
          </w:tcPr>
          <w:p w14:paraId="1F22EB1A" w14:textId="0F1ED90F" w:rsidR="004479E5" w:rsidRPr="00B77038" w:rsidRDefault="004479E5" w:rsidP="00FF0C1E">
            <w:pPr>
              <w:pStyle w:val="TableParagraph"/>
              <w:autoSpaceDE/>
              <w:autoSpaceDN/>
              <w:jc w:val="both"/>
              <w:rPr>
                <w:rFonts w:eastAsiaTheme="minorEastAsia"/>
                <w:sz w:val="21"/>
                <w:szCs w:val="21"/>
              </w:rPr>
            </w:pPr>
            <w:r w:rsidRPr="00B77038">
              <w:rPr>
                <w:rFonts w:eastAsiaTheme="minorEastAsia"/>
                <w:sz w:val="21"/>
                <w:szCs w:val="21"/>
              </w:rPr>
              <w:t>MRD negativity in the marrow (NGF or NGS) and by imaging as defined below, confirmed by two negative tests collected at least 1 year apart. Subsequent evaluations can be used to further specify the duration of negativity (e</w:t>
            </w:r>
            <w:r w:rsidR="00713120">
              <w:rPr>
                <w:rFonts w:eastAsiaTheme="minorEastAsia"/>
                <w:sz w:val="21"/>
                <w:szCs w:val="21"/>
              </w:rPr>
              <w:t>.g.</w:t>
            </w:r>
            <w:r w:rsidRPr="00B77038">
              <w:rPr>
                <w:rFonts w:eastAsiaTheme="minorEastAsia"/>
                <w:sz w:val="21"/>
                <w:szCs w:val="21"/>
              </w:rPr>
              <w:t>, MRD-negative at 5 years)</w:t>
            </w:r>
          </w:p>
        </w:tc>
      </w:tr>
      <w:tr w:rsidR="004479E5" w:rsidRPr="00B77038" w14:paraId="2E69617B" w14:textId="77777777" w:rsidTr="00F31A05">
        <w:trPr>
          <w:cantSplit/>
          <w:jc w:val="center"/>
        </w:trPr>
        <w:tc>
          <w:tcPr>
            <w:tcW w:w="1093" w:type="pct"/>
            <w:vAlign w:val="center"/>
          </w:tcPr>
          <w:p w14:paraId="767A215A" w14:textId="77777777" w:rsidR="004479E5" w:rsidRPr="00B77038" w:rsidRDefault="004479E5" w:rsidP="00FF0C1E">
            <w:pPr>
              <w:pStyle w:val="TableParagraph"/>
              <w:autoSpaceDE/>
              <w:autoSpaceDN/>
              <w:jc w:val="both"/>
              <w:rPr>
                <w:rFonts w:eastAsiaTheme="minorEastAsia"/>
                <w:sz w:val="21"/>
                <w:szCs w:val="21"/>
              </w:rPr>
            </w:pPr>
            <w:r w:rsidRPr="00B77038">
              <w:rPr>
                <w:rFonts w:eastAsiaTheme="minorEastAsia"/>
                <w:sz w:val="21"/>
                <w:szCs w:val="21"/>
              </w:rPr>
              <w:t>Flow MRD-negative</w:t>
            </w:r>
          </w:p>
        </w:tc>
        <w:tc>
          <w:tcPr>
            <w:tcW w:w="3907" w:type="pct"/>
            <w:vAlign w:val="center"/>
          </w:tcPr>
          <w:p w14:paraId="465E6584" w14:textId="163F8D16" w:rsidR="004479E5" w:rsidRPr="00B77038" w:rsidRDefault="00B77038" w:rsidP="00FF0C1E">
            <w:pPr>
              <w:pStyle w:val="TableParagraph"/>
              <w:autoSpaceDE/>
              <w:autoSpaceDN/>
              <w:jc w:val="both"/>
              <w:rPr>
                <w:rFonts w:eastAsiaTheme="minorEastAsia"/>
                <w:sz w:val="21"/>
                <w:szCs w:val="21"/>
              </w:rPr>
            </w:pPr>
            <w:r w:rsidRPr="00B77038">
              <w:rPr>
                <w:rFonts w:eastAsiaTheme="minorEastAsia"/>
                <w:sz w:val="21"/>
                <w:szCs w:val="21"/>
              </w:rPr>
              <w:t xml:space="preserve">Absence of phenotypically aberrant clonal plasma cells by NGF on bone marrow aspirates using the </w:t>
            </w:r>
            <w:proofErr w:type="spellStart"/>
            <w:r w:rsidRPr="00B77038">
              <w:rPr>
                <w:rFonts w:eastAsiaTheme="minorEastAsia"/>
                <w:sz w:val="21"/>
                <w:szCs w:val="21"/>
              </w:rPr>
              <w:t>EuroFlow</w:t>
            </w:r>
            <w:proofErr w:type="spellEnd"/>
            <w:r w:rsidRPr="00B77038">
              <w:rPr>
                <w:rFonts w:eastAsiaTheme="minorEastAsia"/>
                <w:sz w:val="21"/>
                <w:szCs w:val="21"/>
              </w:rPr>
              <w:t xml:space="preserve"> standard operation procedure for MRD detection in multiple myeloma (or validated equivalent method) with a minimum sensitivity of 1 in 10⁵ nucleated cells or higher</w:t>
            </w:r>
          </w:p>
        </w:tc>
      </w:tr>
      <w:tr w:rsidR="00B77038" w:rsidRPr="00B77038" w14:paraId="4EA8D94E" w14:textId="77777777" w:rsidTr="00F31A05">
        <w:trPr>
          <w:cantSplit/>
          <w:jc w:val="center"/>
        </w:trPr>
        <w:tc>
          <w:tcPr>
            <w:tcW w:w="1093" w:type="pct"/>
            <w:vAlign w:val="center"/>
          </w:tcPr>
          <w:p w14:paraId="1BCD6E13" w14:textId="77777777" w:rsidR="00B77038" w:rsidRPr="00B77038" w:rsidRDefault="00B77038" w:rsidP="00FF0C1E">
            <w:pPr>
              <w:pStyle w:val="TableParagraph"/>
              <w:autoSpaceDE/>
              <w:autoSpaceDN/>
              <w:jc w:val="both"/>
              <w:rPr>
                <w:rFonts w:eastAsiaTheme="minorEastAsia"/>
                <w:sz w:val="21"/>
                <w:szCs w:val="21"/>
              </w:rPr>
            </w:pPr>
            <w:r w:rsidRPr="00B77038">
              <w:rPr>
                <w:rFonts w:eastAsiaTheme="minorEastAsia"/>
                <w:sz w:val="21"/>
                <w:szCs w:val="21"/>
              </w:rPr>
              <w:t>Sequencing MRD-negative</w:t>
            </w:r>
          </w:p>
        </w:tc>
        <w:tc>
          <w:tcPr>
            <w:tcW w:w="3907" w:type="pct"/>
            <w:vAlign w:val="center"/>
          </w:tcPr>
          <w:p w14:paraId="33047FD5" w14:textId="45B95AA3" w:rsidR="00B77038" w:rsidRPr="00B77038" w:rsidRDefault="00B77038" w:rsidP="00FF0C1E">
            <w:pPr>
              <w:autoSpaceDE w:val="0"/>
              <w:autoSpaceDN w:val="0"/>
              <w:adjustRightInd w:val="0"/>
              <w:spacing w:after="0" w:line="240" w:lineRule="auto"/>
              <w:jc w:val="both"/>
              <w:rPr>
                <w:snapToGrid w:val="0"/>
                <w:sz w:val="21"/>
                <w:szCs w:val="21"/>
              </w:rPr>
            </w:pPr>
            <w:r w:rsidRPr="00B77038">
              <w:rPr>
                <w:snapToGrid w:val="0"/>
                <w:sz w:val="21"/>
                <w:szCs w:val="21"/>
              </w:rPr>
              <w:t xml:space="preserve">Absence of clonal plasma cells by NGS on bone marrow aspirate in which presence of a clone is defined as less than two identical sequencing reads obtained after DNA sequencing of bone marrow aspirates using the </w:t>
            </w:r>
            <w:proofErr w:type="spellStart"/>
            <w:r w:rsidRPr="00B77038">
              <w:rPr>
                <w:snapToGrid w:val="0"/>
                <w:sz w:val="21"/>
                <w:szCs w:val="21"/>
              </w:rPr>
              <w:t>LymphoSIGHT</w:t>
            </w:r>
            <w:proofErr w:type="spellEnd"/>
            <w:r w:rsidRPr="00B77038">
              <w:rPr>
                <w:snapToGrid w:val="0"/>
                <w:sz w:val="21"/>
                <w:szCs w:val="21"/>
              </w:rPr>
              <w:t xml:space="preserve"> platform (or validated equivalent method) with a minimum sensitivity of 1 in 10⁵ nucleated cells or higher</w:t>
            </w:r>
          </w:p>
        </w:tc>
      </w:tr>
      <w:tr w:rsidR="00B77038" w:rsidRPr="00B77038" w14:paraId="4ABB2C58" w14:textId="77777777" w:rsidTr="00F31A05">
        <w:trPr>
          <w:cantSplit/>
          <w:jc w:val="center"/>
        </w:trPr>
        <w:tc>
          <w:tcPr>
            <w:tcW w:w="1093" w:type="pct"/>
            <w:vAlign w:val="center"/>
          </w:tcPr>
          <w:p w14:paraId="3EA577C0" w14:textId="77777777" w:rsidR="00B77038" w:rsidRPr="00B77038" w:rsidRDefault="00B77038" w:rsidP="00FF0C1E">
            <w:pPr>
              <w:pStyle w:val="TableParagraph"/>
              <w:autoSpaceDE/>
              <w:autoSpaceDN/>
              <w:jc w:val="both"/>
              <w:rPr>
                <w:rFonts w:eastAsiaTheme="minorEastAsia"/>
                <w:sz w:val="21"/>
                <w:szCs w:val="21"/>
              </w:rPr>
            </w:pPr>
            <w:r w:rsidRPr="00B77038">
              <w:rPr>
                <w:rFonts w:eastAsiaTheme="minorEastAsia"/>
                <w:sz w:val="21"/>
                <w:szCs w:val="21"/>
              </w:rPr>
              <w:t>Imaging-positive MRD-negative</w:t>
            </w:r>
          </w:p>
        </w:tc>
        <w:tc>
          <w:tcPr>
            <w:tcW w:w="3907" w:type="pct"/>
            <w:vAlign w:val="center"/>
          </w:tcPr>
          <w:p w14:paraId="6CEFE899" w14:textId="2A3E0896" w:rsidR="00B77038" w:rsidRPr="00B77038" w:rsidRDefault="00B77038" w:rsidP="00FF0C1E">
            <w:pPr>
              <w:autoSpaceDE w:val="0"/>
              <w:autoSpaceDN w:val="0"/>
              <w:adjustRightInd w:val="0"/>
              <w:spacing w:after="0" w:line="240" w:lineRule="auto"/>
              <w:jc w:val="both"/>
              <w:rPr>
                <w:snapToGrid w:val="0"/>
                <w:sz w:val="21"/>
                <w:szCs w:val="21"/>
              </w:rPr>
            </w:pPr>
            <w:r w:rsidRPr="00B77038">
              <w:rPr>
                <w:snapToGrid w:val="0"/>
                <w:sz w:val="21"/>
                <w:szCs w:val="21"/>
              </w:rPr>
              <w:t>MRD negativity as defined by NGF or NGS plus disappearance of every area of increased tracer uptake found at baseline or a preceding PET/CT or decrease to less mediastinal blood pool SUV or decrease to less than that of surrounding normal tissue</w:t>
            </w:r>
          </w:p>
        </w:tc>
      </w:tr>
      <w:tr w:rsidR="00B77038" w:rsidRPr="00B77038" w14:paraId="1D3C40DF" w14:textId="77777777" w:rsidTr="00F31A05">
        <w:trPr>
          <w:cantSplit/>
          <w:jc w:val="center"/>
        </w:trPr>
        <w:tc>
          <w:tcPr>
            <w:tcW w:w="1093" w:type="pct"/>
            <w:vAlign w:val="center"/>
          </w:tcPr>
          <w:p w14:paraId="09A10211" w14:textId="77777777" w:rsidR="00B77038" w:rsidRPr="00B77038" w:rsidRDefault="00B77038" w:rsidP="00FF0C1E">
            <w:pPr>
              <w:pStyle w:val="TableParagraph"/>
              <w:autoSpaceDE/>
              <w:autoSpaceDN/>
              <w:jc w:val="both"/>
              <w:rPr>
                <w:rFonts w:eastAsiaTheme="minorEastAsia"/>
                <w:sz w:val="21"/>
                <w:szCs w:val="21"/>
              </w:rPr>
            </w:pPr>
            <w:r w:rsidRPr="00B77038">
              <w:rPr>
                <w:rFonts w:eastAsiaTheme="minorEastAsia"/>
                <w:sz w:val="21"/>
                <w:szCs w:val="21"/>
              </w:rPr>
              <w:t>Relapse from MRD negative</w:t>
            </w:r>
          </w:p>
        </w:tc>
        <w:tc>
          <w:tcPr>
            <w:tcW w:w="3907" w:type="pct"/>
            <w:vAlign w:val="center"/>
          </w:tcPr>
          <w:p w14:paraId="1180DB26" w14:textId="77777777" w:rsidR="00B77038" w:rsidRPr="00B77038" w:rsidRDefault="00B77038" w:rsidP="00FF0C1E">
            <w:pPr>
              <w:pStyle w:val="TableParagraph"/>
              <w:jc w:val="both"/>
              <w:rPr>
                <w:rFonts w:eastAsiaTheme="minorEastAsia"/>
                <w:sz w:val="21"/>
                <w:szCs w:val="21"/>
              </w:rPr>
            </w:pPr>
            <w:r w:rsidRPr="00B77038">
              <w:rPr>
                <w:rFonts w:eastAsiaTheme="minorEastAsia"/>
                <w:sz w:val="21"/>
                <w:szCs w:val="21"/>
              </w:rPr>
              <w:t>Any one or more of the following criteria:</w:t>
            </w:r>
          </w:p>
          <w:p w14:paraId="1764031E" w14:textId="77777777" w:rsidR="00B77038" w:rsidRPr="00B77038" w:rsidRDefault="00B77038" w:rsidP="00FF0C1E">
            <w:pPr>
              <w:pStyle w:val="TableParagraph"/>
              <w:jc w:val="both"/>
              <w:rPr>
                <w:rFonts w:eastAsiaTheme="minorEastAsia"/>
                <w:sz w:val="21"/>
                <w:szCs w:val="21"/>
              </w:rPr>
            </w:pPr>
            <w:r w:rsidRPr="00B77038">
              <w:rPr>
                <w:rFonts w:eastAsiaTheme="minorEastAsia"/>
                <w:sz w:val="21"/>
                <w:szCs w:val="21"/>
              </w:rPr>
              <w:t>-Loss of MRD negative state (evidence of clonal plasma cells on NGF or NGS, or positive imaging study for recurrence of myeloma);</w:t>
            </w:r>
          </w:p>
          <w:p w14:paraId="72D86638" w14:textId="4D7532AB" w:rsidR="00B77038" w:rsidRPr="00B77038" w:rsidRDefault="00B77038" w:rsidP="00FF0C1E">
            <w:pPr>
              <w:pStyle w:val="TableParagraph"/>
              <w:jc w:val="both"/>
              <w:rPr>
                <w:rFonts w:eastAsiaTheme="minorEastAsia"/>
                <w:sz w:val="21"/>
                <w:szCs w:val="21"/>
              </w:rPr>
            </w:pPr>
            <w:r w:rsidRPr="00B77038">
              <w:rPr>
                <w:rFonts w:eastAsiaTheme="minorEastAsia"/>
                <w:sz w:val="21"/>
                <w:szCs w:val="21"/>
              </w:rPr>
              <w:t>-Reappearance of serum or urine M-protein by immunofixation or electrophoresis;</w:t>
            </w:r>
          </w:p>
          <w:p w14:paraId="72D667C1" w14:textId="77777777" w:rsidR="00B77038" w:rsidRPr="00B77038" w:rsidRDefault="00B77038" w:rsidP="00FF0C1E">
            <w:pPr>
              <w:pStyle w:val="TableParagraph"/>
              <w:jc w:val="both"/>
              <w:rPr>
                <w:rFonts w:eastAsiaTheme="minorEastAsia"/>
                <w:sz w:val="21"/>
                <w:szCs w:val="21"/>
              </w:rPr>
            </w:pPr>
            <w:r w:rsidRPr="00B77038">
              <w:rPr>
                <w:rFonts w:eastAsiaTheme="minorEastAsia"/>
                <w:sz w:val="21"/>
                <w:szCs w:val="21"/>
              </w:rPr>
              <w:t>-Development of ≥5% clonal plasma cells in the bone marrow;</w:t>
            </w:r>
          </w:p>
          <w:p w14:paraId="00D8EE57" w14:textId="3E1DEF06" w:rsidR="00B77038" w:rsidRPr="00B77038" w:rsidRDefault="00B77038" w:rsidP="00FF0C1E">
            <w:pPr>
              <w:pStyle w:val="TableParagraph"/>
              <w:autoSpaceDE/>
              <w:autoSpaceDN/>
              <w:jc w:val="both"/>
              <w:rPr>
                <w:rFonts w:eastAsiaTheme="minorEastAsia"/>
                <w:sz w:val="21"/>
                <w:szCs w:val="21"/>
              </w:rPr>
            </w:pPr>
            <w:r w:rsidRPr="00B77038">
              <w:rPr>
                <w:rFonts w:eastAsiaTheme="minorEastAsia"/>
                <w:sz w:val="21"/>
                <w:szCs w:val="21"/>
              </w:rPr>
              <w:t>-Appearance of any other sign of progression (</w:t>
            </w:r>
            <w:proofErr w:type="spellStart"/>
            <w:r w:rsidRPr="00B77038">
              <w:rPr>
                <w:rFonts w:eastAsiaTheme="minorEastAsia"/>
                <w:sz w:val="21"/>
                <w:szCs w:val="21"/>
              </w:rPr>
              <w:t>ie</w:t>
            </w:r>
            <w:proofErr w:type="spellEnd"/>
            <w:r w:rsidRPr="00B77038">
              <w:rPr>
                <w:rFonts w:eastAsiaTheme="minorEastAsia"/>
                <w:sz w:val="21"/>
                <w:szCs w:val="21"/>
              </w:rPr>
              <w:t xml:space="preserve">, new plasmacytoma, lytic bone lesion, or </w:t>
            </w:r>
            <w:proofErr w:type="spellStart"/>
            <w:r w:rsidRPr="00B77038">
              <w:rPr>
                <w:rFonts w:eastAsiaTheme="minorEastAsia"/>
                <w:sz w:val="21"/>
                <w:szCs w:val="21"/>
              </w:rPr>
              <w:t>hypercalcaemia</w:t>
            </w:r>
            <w:proofErr w:type="spellEnd"/>
            <w:r w:rsidRPr="00B77038">
              <w:rPr>
                <w:rFonts w:eastAsiaTheme="minorEastAsia"/>
                <w:sz w:val="21"/>
                <w:szCs w:val="21"/>
              </w:rPr>
              <w:t>)</w:t>
            </w:r>
          </w:p>
        </w:tc>
      </w:tr>
    </w:tbl>
    <w:p w14:paraId="2B916682" w14:textId="77777777" w:rsidR="004479E5" w:rsidRDefault="004479E5" w:rsidP="00FF0C1E">
      <w:pPr>
        <w:spacing w:line="360" w:lineRule="auto"/>
        <w:jc w:val="both"/>
        <w:rPr>
          <w:color w:val="000000"/>
        </w:rPr>
      </w:pPr>
      <w:r>
        <w:rPr>
          <w:color w:val="000000"/>
        </w:rPr>
        <w:br w:type="page"/>
      </w:r>
    </w:p>
    <w:p w14:paraId="39F5587B" w14:textId="264F9D38" w:rsidR="00B5040F" w:rsidRPr="00B77038" w:rsidRDefault="00B5040F" w:rsidP="00FF0C1E">
      <w:pPr>
        <w:pStyle w:val="aff2"/>
        <w:spacing w:before="0" w:beforeAutospacing="0" w:after="0" w:afterAutospacing="0" w:line="360" w:lineRule="auto"/>
        <w:jc w:val="both"/>
        <w:outlineLvl w:val="1"/>
        <w:rPr>
          <w:rFonts w:ascii="Times New Roman" w:hAnsi="Times New Roman" w:cs="Times New Roman"/>
          <w:b/>
          <w:bCs/>
        </w:rPr>
      </w:pPr>
      <w:bookmarkStart w:id="282" w:name="app5"/>
      <w:r w:rsidRPr="004479E5">
        <w:rPr>
          <w:rFonts w:ascii="Times New Roman" w:hAnsi="Times New Roman" w:cs="Times New Roman"/>
          <w:b/>
          <w:bCs/>
        </w:rPr>
        <w:lastRenderedPageBreak/>
        <w:t>Appendix </w:t>
      </w:r>
      <w:r w:rsidRPr="00B77038">
        <w:rPr>
          <w:rFonts w:ascii="Times New Roman" w:hAnsi="Times New Roman" w:cs="Times New Roman"/>
          <w:b/>
          <w:bCs/>
        </w:rPr>
        <w:fldChar w:fldCharType="begin"/>
      </w:r>
      <w:r w:rsidRPr="004479E5">
        <w:rPr>
          <w:rFonts w:ascii="Times New Roman" w:hAnsi="Times New Roman" w:cs="Times New Roman"/>
          <w:b/>
          <w:bCs/>
        </w:rPr>
        <w:instrText>SEQ Appendix \* ARABIC</w:instrText>
      </w:r>
      <w:r w:rsidRPr="00B77038">
        <w:rPr>
          <w:rFonts w:ascii="Times New Roman" w:hAnsi="Times New Roman" w:cs="Times New Roman"/>
          <w:b/>
          <w:bCs/>
        </w:rPr>
        <w:fldChar w:fldCharType="separate"/>
      </w:r>
      <w:r w:rsidR="004E14F7">
        <w:rPr>
          <w:rFonts w:ascii="Times New Roman" w:hAnsi="Times New Roman" w:cs="Times New Roman"/>
          <w:b/>
          <w:bCs/>
          <w:noProof/>
        </w:rPr>
        <w:t>5</w:t>
      </w:r>
      <w:r w:rsidRPr="00B77038">
        <w:rPr>
          <w:rFonts w:ascii="Times New Roman" w:hAnsi="Times New Roman" w:cs="Times New Roman"/>
          <w:b/>
          <w:bCs/>
        </w:rPr>
        <w:fldChar w:fldCharType="end"/>
      </w:r>
      <w:bookmarkEnd w:id="282"/>
      <w:r w:rsidRPr="00B77038">
        <w:rPr>
          <w:rFonts w:ascii="Times New Roman" w:hAnsi="Times New Roman" w:cs="Times New Roman"/>
          <w:b/>
          <w:bCs/>
        </w:rPr>
        <w:t xml:space="preserve">. </w:t>
      </w:r>
      <w:r>
        <w:rPr>
          <w:rFonts w:ascii="Times New Roman" w:hAnsi="Times New Roman" w:cs="Times New Roman"/>
          <w:b/>
          <w:bCs/>
        </w:rPr>
        <w:t>Definition of Lines of Therapy</w:t>
      </w:r>
    </w:p>
    <w:p w14:paraId="5FE0CC5D" w14:textId="2D79CD52" w:rsidR="00B77038" w:rsidRDefault="00B77038" w:rsidP="00FF0C1E">
      <w:pPr>
        <w:jc w:val="both"/>
      </w:pPr>
      <w:r>
        <w:t>Line of Therapy (from International Myeloma Working Group (Rajkumar, 2011)) is defined as one or more cycles of a planned treatment program. This may consist of one or more planned cycles of single-agent therapy or combination therapy, as well as a sequence of treatments administered in a planned manner. For example, a planned treatment approach of induction therapy followed by autologous stem cell transplantation, followed by maintenance is considered one line of therapy. Each subsequent line of therapy starts when a planned course of therapy is modified to include other treatment agents (alone or in combination) as a result of disease progression, relapse, or toxicity. A new line of therapy also starts when a planned period of observation of therapy is interrupted by a need for additional treatment for the disease.</w:t>
      </w:r>
    </w:p>
    <w:p w14:paraId="36C287CE" w14:textId="77777777" w:rsidR="00B77038" w:rsidRDefault="00B77038" w:rsidP="00FF0C1E">
      <w:pPr>
        <w:spacing w:line="360" w:lineRule="auto"/>
        <w:jc w:val="both"/>
        <w:rPr>
          <w:color w:val="000000"/>
          <w:sz w:val="22"/>
          <w:lang w:bidi="ar"/>
        </w:rPr>
      </w:pPr>
    </w:p>
    <w:p w14:paraId="737654E3" w14:textId="77777777" w:rsidR="00894D44" w:rsidRDefault="00894D44" w:rsidP="00FF0C1E">
      <w:pPr>
        <w:spacing w:line="360" w:lineRule="auto"/>
        <w:jc w:val="both"/>
        <w:rPr>
          <w:bCs/>
        </w:rPr>
      </w:pPr>
    </w:p>
    <w:bookmarkEnd w:id="0"/>
    <w:p w14:paraId="24CD64BC" w14:textId="76295752" w:rsidR="00894D44" w:rsidRDefault="00894D44" w:rsidP="00FF0C1E">
      <w:pPr>
        <w:spacing w:after="200"/>
        <w:jc w:val="both"/>
        <w:rPr>
          <w:bCs/>
        </w:rPr>
      </w:pPr>
    </w:p>
    <w:sectPr w:rsidR="00894D44" w:rsidSect="00B77038">
      <w:pgSz w:w="11907" w:h="16840"/>
      <w:pgMar w:top="1440" w:right="1701" w:bottom="1440" w:left="1797" w:header="851" w:footer="113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1F313" w14:textId="77777777" w:rsidR="00C430DF" w:rsidRDefault="00C430DF" w:rsidP="00456C61">
      <w:r>
        <w:separator/>
      </w:r>
    </w:p>
    <w:p w14:paraId="6A26DCE4" w14:textId="77777777" w:rsidR="00C430DF" w:rsidRDefault="00C430DF"/>
    <w:p w14:paraId="6FF5117C" w14:textId="77777777" w:rsidR="00C430DF" w:rsidRDefault="00C430DF"/>
  </w:endnote>
  <w:endnote w:type="continuationSeparator" w:id="0">
    <w:p w14:paraId="25E1EE3F" w14:textId="77777777" w:rsidR="00C430DF" w:rsidRDefault="00C430DF" w:rsidP="00456C61">
      <w:r>
        <w:continuationSeparator/>
      </w:r>
    </w:p>
    <w:p w14:paraId="677DBFC0" w14:textId="77777777" w:rsidR="00C430DF" w:rsidRDefault="00C430DF"/>
    <w:p w14:paraId="5E3212EC" w14:textId="77777777" w:rsidR="00C430DF" w:rsidRDefault="00C430DF"/>
  </w:endnote>
  <w:endnote w:type="continuationNotice" w:id="1">
    <w:p w14:paraId="00A13C9A" w14:textId="77777777" w:rsidR="00C430DF" w:rsidRDefault="00C430DF">
      <w:pPr>
        <w:spacing w:after="0" w:line="240" w:lineRule="auto"/>
      </w:pPr>
    </w:p>
    <w:p w14:paraId="449E8CC1" w14:textId="77777777" w:rsidR="00C430DF" w:rsidRDefault="00C430DF"/>
    <w:p w14:paraId="118A936C" w14:textId="77777777" w:rsidR="00C430DF" w:rsidRDefault="00C430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auto"/>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OTNEJMQuadraat">
    <w:altName w:val="宋体"/>
    <w:charset w:val="86"/>
    <w:family w:val="roman"/>
    <w:pitch w:val="default"/>
    <w:sig w:usb0="00000000" w:usb1="00000000" w:usb2="00000010" w:usb3="00000000" w:csb0="00040000" w:csb1="00000000"/>
  </w:font>
  <w:font w:name="华文宋体">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TimesNewRomanPSMT">
    <w:altName w:val="Yu Gothic UI"/>
    <w:panose1 w:val="00000000000000000000"/>
    <w:charset w:val="00"/>
    <w:family w:val="roman"/>
    <w:notTrueType/>
    <w:pitch w:val="default"/>
    <w:sig w:usb0="00000003" w:usb1="00000000" w:usb2="00000000" w:usb3="00000000" w:csb0="00000001" w:csb1="00000000"/>
  </w:font>
  <w:font w:name="Microsoft YaHei UI">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GBK_S">
    <w:altName w:val="Times New Roman"/>
    <w:charset w:val="00"/>
    <w:family w:val="roman"/>
    <w:pitch w:val="default"/>
  </w:font>
  <w:font w:name="FZSSK--GBK1-0">
    <w:altName w:val="等线"/>
    <w:charset w:val="86"/>
    <w:family w:val="auto"/>
    <w:pitch w:val="default"/>
    <w:sig w:usb0="00000000" w:usb1="00000000" w:usb2="00000010" w:usb3="00000000" w:csb0="00040000" w:csb1="00000000"/>
  </w:font>
  <w:font w:name="瀹嬩綋">
    <w:altName w:val="微软雅黑"/>
    <w:panose1 w:val="00000000000000000000"/>
    <w:charset w:val="86"/>
    <w:family w:val="auto"/>
    <w:notTrueType/>
    <w:pitch w:val="default"/>
    <w:sig w:usb0="00000001" w:usb1="080E0000" w:usb2="00000010" w:usb3="00000000" w:csb0="00040000" w:csb1="00000000"/>
  </w:font>
  <w:font w:name="CIDFont+F1">
    <w:altName w:val="Yu Gothic"/>
    <w:panose1 w:val="00000000000000000000"/>
    <w:charset w:val="80"/>
    <w:family w:val="auto"/>
    <w:notTrueType/>
    <w:pitch w:val="default"/>
    <w:sig w:usb0="00000001" w:usb1="08070000" w:usb2="00000010" w:usb3="00000000" w:csb0="00020000" w:csb1="00000000"/>
  </w:font>
  <w:font w:name="Shaker2Lancet-Regular">
    <w:altName w:val="Segoe Print"/>
    <w:charset w:val="00"/>
    <w:family w:val="auto"/>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5E3A0" w14:textId="77777777" w:rsidR="008D660D" w:rsidRDefault="008D660D" w:rsidP="00B434CD">
    <w:pPr>
      <w:pStyle w:val="a7"/>
      <w:spacing w:before="120" w:after="120"/>
      <w:jc w:val="center"/>
      <w:rPr>
        <w:rFonts w:ascii="Arial" w:hAnsi="Arial" w:cs="Arial"/>
        <w:sz w:val="16"/>
        <w:szCs w:val="16"/>
      </w:rPr>
    </w:pPr>
    <w:r w:rsidRPr="0022125E">
      <w:rPr>
        <w:szCs w:val="20"/>
      </w:rPr>
      <w:ptab w:relativeTo="margin" w:alignment="center" w:leader="none"/>
    </w:r>
    <w:r w:rsidRPr="00B434CD">
      <w:rPr>
        <w:rFonts w:ascii="Arial" w:hAnsi="Arial" w:cs="Arial"/>
        <w:sz w:val="16"/>
        <w:szCs w:val="16"/>
      </w:rPr>
      <w:t xml:space="preserve"> </w:t>
    </w:r>
  </w:p>
  <w:sdt>
    <w:sdtPr>
      <w:rPr>
        <w:rFonts w:ascii="Arial" w:hAnsi="Arial" w:cs="Arial"/>
        <w:color w:val="2B579A"/>
        <w:sz w:val="16"/>
        <w:szCs w:val="16"/>
        <w:shd w:val="clear" w:color="auto" w:fill="E6E6E6"/>
      </w:rPr>
      <w:id w:val="2006167620"/>
      <w:docPartObj>
        <w:docPartGallery w:val="Page Numbers (Top of Page)"/>
        <w:docPartUnique/>
      </w:docPartObj>
    </w:sdtPr>
    <w:sdtEndPr/>
    <w:sdtContent>
      <w:p w14:paraId="507147AE" w14:textId="67BCAC9A" w:rsidR="008D660D" w:rsidRPr="00B434CD" w:rsidRDefault="008D660D" w:rsidP="00B434CD">
        <w:pPr>
          <w:pStyle w:val="a7"/>
          <w:spacing w:before="120" w:after="120"/>
          <w:jc w:val="center"/>
          <w:rPr>
            <w:rFonts w:ascii="Arial" w:hAnsi="Arial" w:cs="Arial"/>
            <w:color w:val="BD002C"/>
            <w:sz w:val="16"/>
            <w:szCs w:val="16"/>
          </w:rPr>
        </w:pPr>
      </w:p>
      <w:p w14:paraId="034F35CE" w14:textId="17155141" w:rsidR="008D660D" w:rsidRPr="00D5102F" w:rsidRDefault="008D660D" w:rsidP="00B434CD">
        <w:pPr>
          <w:tabs>
            <w:tab w:val="right" w:pos="9360"/>
          </w:tabs>
          <w:spacing w:after="0" w:line="240" w:lineRule="auto"/>
          <w:rPr>
            <w:rFonts w:ascii="Arial" w:hAnsi="Arial" w:cs="Arial"/>
            <w:sz w:val="16"/>
            <w:szCs w:val="16"/>
          </w:rPr>
        </w:pPr>
        <w:r w:rsidRPr="00CA5402">
          <w:rPr>
            <w:sz w:val="20"/>
            <w:szCs w:val="16"/>
          </w:rPr>
          <w:ptab w:relativeTo="margin" w:alignment="center" w:leader="none"/>
        </w:r>
        <w:r w:rsidRPr="00CA5402">
          <w:rPr>
            <w:sz w:val="20"/>
            <w:szCs w:val="16"/>
          </w:rPr>
          <w:t>This document is confidential.</w:t>
        </w:r>
        <w:r w:rsidRPr="001C199C">
          <w:rPr>
            <w:rFonts w:ascii="Arial" w:hAnsi="Arial" w:cs="Arial"/>
            <w:sz w:val="16"/>
            <w:szCs w:val="16"/>
          </w:rPr>
          <w:tab/>
        </w:r>
        <w:r>
          <w:rPr>
            <w:rFonts w:ascii="Arial" w:hAnsi="Arial" w:cs="Arial"/>
            <w:sz w:val="16"/>
            <w:szCs w:val="16"/>
          </w:rPr>
          <w:t xml:space="preserve">                                                  </w:t>
        </w:r>
        <w:r w:rsidRPr="00E14358">
          <w:rPr>
            <w:rFonts w:eastAsia="Times New Roman"/>
            <w:sz w:val="20"/>
            <w:szCs w:val="20"/>
            <w:lang w:bidi="ar-SA"/>
          </w:rPr>
          <w:t>Page</w:t>
        </w:r>
        <w:r w:rsidRPr="00E14358">
          <w:rPr>
            <w:sz w:val="20"/>
            <w:szCs w:val="20"/>
          </w:rPr>
          <w:t xml:space="preserve"> </w:t>
        </w:r>
        <w:r w:rsidRPr="00E14358">
          <w:rPr>
            <w:color w:val="2B579A"/>
            <w:sz w:val="20"/>
            <w:szCs w:val="20"/>
          </w:rPr>
          <w:fldChar w:fldCharType="begin"/>
        </w:r>
        <w:r w:rsidRPr="00E14358">
          <w:rPr>
            <w:sz w:val="20"/>
            <w:szCs w:val="20"/>
          </w:rPr>
          <w:instrText xml:space="preserve"> PAGE </w:instrText>
        </w:r>
        <w:r w:rsidRPr="00E14358">
          <w:rPr>
            <w:color w:val="2B579A"/>
            <w:sz w:val="20"/>
            <w:szCs w:val="20"/>
          </w:rPr>
          <w:fldChar w:fldCharType="separate"/>
        </w:r>
        <w:r w:rsidRPr="00E14358">
          <w:rPr>
            <w:sz w:val="20"/>
            <w:szCs w:val="20"/>
          </w:rPr>
          <w:t>1</w:t>
        </w:r>
        <w:r w:rsidRPr="00E14358">
          <w:rPr>
            <w:color w:val="2B579A"/>
            <w:sz w:val="20"/>
            <w:szCs w:val="20"/>
          </w:rPr>
          <w:fldChar w:fldCharType="end"/>
        </w:r>
        <w:r w:rsidRPr="00E14358">
          <w:rPr>
            <w:sz w:val="20"/>
            <w:szCs w:val="20"/>
          </w:rPr>
          <w:t xml:space="preserve"> of </w:t>
        </w:r>
        <w:r w:rsidRPr="00E14358">
          <w:rPr>
            <w:color w:val="2B579A"/>
            <w:sz w:val="20"/>
            <w:szCs w:val="20"/>
          </w:rPr>
          <w:fldChar w:fldCharType="begin"/>
        </w:r>
        <w:r w:rsidRPr="00E14358">
          <w:rPr>
            <w:sz w:val="20"/>
            <w:szCs w:val="20"/>
          </w:rPr>
          <w:instrText xml:space="preserve"> NUMPAGES  </w:instrText>
        </w:r>
        <w:r w:rsidRPr="00E14358">
          <w:rPr>
            <w:color w:val="2B579A"/>
            <w:sz w:val="20"/>
            <w:szCs w:val="20"/>
          </w:rPr>
          <w:fldChar w:fldCharType="separate"/>
        </w:r>
        <w:r w:rsidRPr="00E14358">
          <w:rPr>
            <w:sz w:val="20"/>
            <w:szCs w:val="20"/>
          </w:rPr>
          <w:t>71</w:t>
        </w:r>
        <w:r w:rsidRPr="00E14358">
          <w:rPr>
            <w:color w:val="2B579A"/>
            <w:sz w:val="20"/>
            <w:szCs w:val="20"/>
          </w:rPr>
          <w:fldChar w:fldCharType="end"/>
        </w:r>
      </w:p>
    </w:sdtContent>
  </w:sdt>
  <w:p w14:paraId="43090FF6" w14:textId="0D18F633" w:rsidR="008D660D" w:rsidRPr="00E6257A" w:rsidRDefault="008D660D" w:rsidP="00B434CD">
    <w:pPr>
      <w:pStyle w:val="a7"/>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53518" w14:textId="77777777" w:rsidR="008D660D" w:rsidRPr="009C0BE4" w:rsidRDefault="008D660D" w:rsidP="00C35DF3">
    <w:pPr>
      <w:pStyle w:val="a7"/>
      <w:spacing w:before="120" w:after="120"/>
      <w:jc w:val="center"/>
      <w:rPr>
        <w:color w:val="BD002C"/>
        <w:szCs w:val="20"/>
      </w:rPr>
    </w:pPr>
    <w:r w:rsidRPr="009C0BE4">
      <w:rPr>
        <w:color w:val="BD002C"/>
        <w:szCs w:val="20"/>
      </w:rPr>
      <w:t>This document is confidential.</w:t>
    </w:r>
  </w:p>
  <w:p w14:paraId="04B1BBAD" w14:textId="23C54DB4" w:rsidR="008D660D" w:rsidRPr="007C6621" w:rsidRDefault="008D660D" w:rsidP="007C6621">
    <w:pPr>
      <w:pStyle w:val="a7"/>
      <w:rPr>
        <w:rFonts w:ascii="Arial" w:hAnsi="Arial" w:cs="Arial"/>
        <w:szCs w:val="20"/>
      </w:rPr>
    </w:pPr>
    <w:r w:rsidRPr="007C6621">
      <w:rPr>
        <w:rFonts w:ascii="Arial" w:hAnsi="Arial" w:cs="Arial"/>
        <w:szCs w:val="20"/>
      </w:rPr>
      <w:tab/>
    </w:r>
    <w:r w:rsidRPr="007C6621">
      <w:rPr>
        <w:rFonts w:eastAsia="Times New Roman"/>
        <w:szCs w:val="20"/>
        <w:lang w:bidi="ar-SA"/>
      </w:rPr>
      <w:t>Page</w:t>
    </w:r>
    <w:r w:rsidRPr="007C6621">
      <w:rPr>
        <w:szCs w:val="20"/>
      </w:rPr>
      <w:t xml:space="preserve"> </w:t>
    </w:r>
    <w:r w:rsidRPr="007C6621">
      <w:rPr>
        <w:color w:val="2B579A"/>
        <w:szCs w:val="20"/>
        <w:shd w:val="clear" w:color="auto" w:fill="E6E6E6"/>
      </w:rPr>
      <w:fldChar w:fldCharType="begin"/>
    </w:r>
    <w:r w:rsidRPr="007C6621">
      <w:rPr>
        <w:szCs w:val="20"/>
      </w:rPr>
      <w:instrText xml:space="preserve"> PAGE </w:instrText>
    </w:r>
    <w:r w:rsidRPr="007C6621">
      <w:rPr>
        <w:color w:val="2B579A"/>
        <w:szCs w:val="20"/>
        <w:shd w:val="clear" w:color="auto" w:fill="E6E6E6"/>
      </w:rPr>
      <w:fldChar w:fldCharType="separate"/>
    </w:r>
    <w:r w:rsidRPr="007C6621">
      <w:rPr>
        <w:noProof/>
        <w:szCs w:val="20"/>
      </w:rPr>
      <w:t>4</w:t>
    </w:r>
    <w:r w:rsidRPr="007C6621">
      <w:rPr>
        <w:color w:val="2B579A"/>
        <w:szCs w:val="20"/>
        <w:shd w:val="clear" w:color="auto" w:fill="E6E6E6"/>
      </w:rPr>
      <w:fldChar w:fldCharType="end"/>
    </w:r>
    <w:r w:rsidRPr="007C6621">
      <w:rPr>
        <w:szCs w:val="20"/>
      </w:rPr>
      <w:t xml:space="preserve"> of </w:t>
    </w:r>
    <w:r w:rsidRPr="007C6621">
      <w:rPr>
        <w:color w:val="2B579A"/>
        <w:szCs w:val="20"/>
        <w:shd w:val="clear" w:color="auto" w:fill="E6E6E6"/>
      </w:rPr>
      <w:fldChar w:fldCharType="begin"/>
    </w:r>
    <w:r w:rsidRPr="007C6621">
      <w:rPr>
        <w:szCs w:val="20"/>
      </w:rPr>
      <w:instrText xml:space="preserve"> NUMPAGES  </w:instrText>
    </w:r>
    <w:r w:rsidRPr="007C6621">
      <w:rPr>
        <w:color w:val="2B579A"/>
        <w:szCs w:val="20"/>
        <w:shd w:val="clear" w:color="auto" w:fill="E6E6E6"/>
      </w:rPr>
      <w:fldChar w:fldCharType="separate"/>
    </w:r>
    <w:r w:rsidRPr="007C6621">
      <w:rPr>
        <w:noProof/>
        <w:szCs w:val="20"/>
      </w:rPr>
      <w:t>71</w:t>
    </w:r>
    <w:r w:rsidRPr="007C6621">
      <w:rPr>
        <w:color w:val="2B579A"/>
        <w:szCs w:val="20"/>
        <w:shd w:val="clear" w:color="auto" w:fill="E6E6E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226EA" w14:textId="77777777" w:rsidR="008D660D" w:rsidRDefault="008D660D" w:rsidP="00B434CD">
    <w:pPr>
      <w:pStyle w:val="a7"/>
      <w:spacing w:before="120" w:after="120"/>
      <w:jc w:val="center"/>
      <w:rPr>
        <w:rFonts w:ascii="Arial" w:hAnsi="Arial" w:cs="Arial"/>
        <w:sz w:val="16"/>
        <w:szCs w:val="16"/>
      </w:rPr>
    </w:pPr>
    <w:r w:rsidRPr="0022125E">
      <w:rPr>
        <w:szCs w:val="20"/>
      </w:rPr>
      <w:ptab w:relativeTo="margin" w:alignment="center" w:leader="none"/>
    </w:r>
    <w:r w:rsidRPr="00B434CD">
      <w:rPr>
        <w:rFonts w:ascii="Arial" w:hAnsi="Arial" w:cs="Arial"/>
        <w:sz w:val="16"/>
        <w:szCs w:val="16"/>
      </w:rPr>
      <w:t xml:space="preserve"> </w:t>
    </w:r>
  </w:p>
  <w:sdt>
    <w:sdtPr>
      <w:rPr>
        <w:rFonts w:ascii="Arial" w:hAnsi="Arial" w:cs="Arial"/>
        <w:color w:val="2B579A"/>
        <w:sz w:val="16"/>
        <w:szCs w:val="16"/>
        <w:shd w:val="clear" w:color="auto" w:fill="E6E6E6"/>
      </w:rPr>
      <w:id w:val="-607579540"/>
      <w:docPartObj>
        <w:docPartGallery w:val="Page Numbers (Top of Page)"/>
        <w:docPartUnique/>
      </w:docPartObj>
    </w:sdtPr>
    <w:sdtEndPr/>
    <w:sdtContent>
      <w:p w14:paraId="594BE4D4" w14:textId="77777777" w:rsidR="008D660D" w:rsidRPr="00B434CD" w:rsidRDefault="008D660D" w:rsidP="00B434CD">
        <w:pPr>
          <w:pStyle w:val="a7"/>
          <w:spacing w:before="120" w:after="120"/>
          <w:jc w:val="center"/>
          <w:rPr>
            <w:rFonts w:ascii="Arial" w:hAnsi="Arial" w:cs="Arial"/>
            <w:color w:val="BD002C"/>
            <w:sz w:val="16"/>
            <w:szCs w:val="16"/>
          </w:rPr>
        </w:pPr>
      </w:p>
      <w:p w14:paraId="4F9682BD" w14:textId="67355393" w:rsidR="008D660D" w:rsidRPr="00D5102F" w:rsidRDefault="008D660D" w:rsidP="00B434CD">
        <w:pPr>
          <w:tabs>
            <w:tab w:val="right" w:pos="9360"/>
          </w:tabs>
          <w:spacing w:after="0" w:line="240" w:lineRule="auto"/>
          <w:rPr>
            <w:rFonts w:ascii="Arial" w:hAnsi="Arial" w:cs="Arial"/>
            <w:sz w:val="16"/>
            <w:szCs w:val="16"/>
          </w:rPr>
        </w:pPr>
        <w:r w:rsidRPr="00CA5402">
          <w:rPr>
            <w:sz w:val="20"/>
            <w:szCs w:val="16"/>
          </w:rPr>
          <w:ptab w:relativeTo="margin" w:alignment="center" w:leader="none"/>
        </w:r>
        <w:r w:rsidRPr="00CA5402">
          <w:rPr>
            <w:sz w:val="20"/>
            <w:szCs w:val="16"/>
          </w:rPr>
          <w:t>This document is confidential.</w:t>
        </w:r>
        <w:r w:rsidRPr="001C199C">
          <w:rPr>
            <w:rFonts w:ascii="Arial" w:hAnsi="Arial" w:cs="Arial"/>
            <w:sz w:val="16"/>
            <w:szCs w:val="16"/>
          </w:rPr>
          <w:tab/>
        </w:r>
        <w:r>
          <w:rPr>
            <w:rFonts w:ascii="Arial" w:hAnsi="Arial" w:cs="Arial"/>
            <w:sz w:val="16"/>
            <w:szCs w:val="16"/>
          </w:rPr>
          <w:t xml:space="preserve">                                                                                          </w:t>
        </w:r>
        <w:r w:rsidRPr="00E14358">
          <w:rPr>
            <w:rFonts w:eastAsia="Times New Roman"/>
            <w:sz w:val="20"/>
            <w:szCs w:val="20"/>
            <w:lang w:bidi="ar-SA"/>
          </w:rPr>
          <w:t>Page</w:t>
        </w:r>
        <w:r w:rsidRPr="00E14358">
          <w:rPr>
            <w:sz w:val="20"/>
            <w:szCs w:val="20"/>
          </w:rPr>
          <w:t xml:space="preserve"> </w:t>
        </w:r>
        <w:r w:rsidRPr="00E14358">
          <w:rPr>
            <w:color w:val="2B579A"/>
            <w:sz w:val="20"/>
            <w:szCs w:val="20"/>
          </w:rPr>
          <w:fldChar w:fldCharType="begin"/>
        </w:r>
        <w:r w:rsidRPr="00E14358">
          <w:rPr>
            <w:sz w:val="20"/>
            <w:szCs w:val="20"/>
          </w:rPr>
          <w:instrText xml:space="preserve"> PAGE </w:instrText>
        </w:r>
        <w:r w:rsidRPr="00E14358">
          <w:rPr>
            <w:color w:val="2B579A"/>
            <w:sz w:val="20"/>
            <w:szCs w:val="20"/>
          </w:rPr>
          <w:fldChar w:fldCharType="separate"/>
        </w:r>
        <w:r w:rsidRPr="00E14358">
          <w:rPr>
            <w:sz w:val="20"/>
            <w:szCs w:val="20"/>
          </w:rPr>
          <w:t>1</w:t>
        </w:r>
        <w:r w:rsidRPr="00E14358">
          <w:rPr>
            <w:color w:val="2B579A"/>
            <w:sz w:val="20"/>
            <w:szCs w:val="20"/>
          </w:rPr>
          <w:fldChar w:fldCharType="end"/>
        </w:r>
        <w:r w:rsidRPr="00E14358">
          <w:rPr>
            <w:sz w:val="20"/>
            <w:szCs w:val="20"/>
          </w:rPr>
          <w:t xml:space="preserve"> of </w:t>
        </w:r>
        <w:r w:rsidRPr="00E14358">
          <w:rPr>
            <w:color w:val="2B579A"/>
            <w:sz w:val="20"/>
            <w:szCs w:val="20"/>
          </w:rPr>
          <w:fldChar w:fldCharType="begin"/>
        </w:r>
        <w:r w:rsidRPr="00E14358">
          <w:rPr>
            <w:sz w:val="20"/>
            <w:szCs w:val="20"/>
          </w:rPr>
          <w:instrText xml:space="preserve"> NUMPAGES  </w:instrText>
        </w:r>
        <w:r w:rsidRPr="00E14358">
          <w:rPr>
            <w:color w:val="2B579A"/>
            <w:sz w:val="20"/>
            <w:szCs w:val="20"/>
          </w:rPr>
          <w:fldChar w:fldCharType="separate"/>
        </w:r>
        <w:r w:rsidRPr="00E14358">
          <w:rPr>
            <w:sz w:val="20"/>
            <w:szCs w:val="20"/>
          </w:rPr>
          <w:t>71</w:t>
        </w:r>
        <w:r w:rsidRPr="00E14358">
          <w:rPr>
            <w:color w:val="2B579A"/>
            <w:sz w:val="20"/>
            <w:szCs w:val="20"/>
          </w:rPr>
          <w:fldChar w:fldCharType="end"/>
        </w:r>
      </w:p>
    </w:sdtContent>
  </w:sdt>
  <w:p w14:paraId="5C2271D0" w14:textId="77777777" w:rsidR="008D660D" w:rsidRPr="00E6257A" w:rsidRDefault="008D660D" w:rsidP="00B434CD">
    <w:pPr>
      <w:pStyle w:val="a7"/>
      <w:rPr>
        <w:rFonts w:ascii="Arial" w:hAnsi="Arial" w:cs="Arial"/>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96672" w14:textId="77777777" w:rsidR="008D660D" w:rsidRDefault="008D660D" w:rsidP="00B434CD">
    <w:pPr>
      <w:pStyle w:val="a7"/>
      <w:spacing w:before="120" w:after="120"/>
      <w:jc w:val="center"/>
      <w:rPr>
        <w:rFonts w:ascii="Arial" w:hAnsi="Arial" w:cs="Arial"/>
        <w:sz w:val="16"/>
        <w:szCs w:val="16"/>
      </w:rPr>
    </w:pPr>
    <w:r w:rsidRPr="0022125E">
      <w:rPr>
        <w:szCs w:val="20"/>
      </w:rPr>
      <w:ptab w:relativeTo="margin" w:alignment="center" w:leader="none"/>
    </w:r>
    <w:r w:rsidRPr="00B434CD">
      <w:rPr>
        <w:rFonts w:ascii="Arial" w:hAnsi="Arial" w:cs="Arial"/>
        <w:sz w:val="16"/>
        <w:szCs w:val="16"/>
      </w:rPr>
      <w:t xml:space="preserve"> </w:t>
    </w:r>
  </w:p>
  <w:sdt>
    <w:sdtPr>
      <w:rPr>
        <w:rFonts w:ascii="Arial" w:hAnsi="Arial" w:cs="Arial"/>
        <w:color w:val="2B579A"/>
        <w:sz w:val="16"/>
        <w:szCs w:val="16"/>
        <w:shd w:val="clear" w:color="auto" w:fill="E6E6E6"/>
      </w:rPr>
      <w:id w:val="341594279"/>
      <w:docPartObj>
        <w:docPartGallery w:val="Page Numbers (Top of Page)"/>
        <w:docPartUnique/>
      </w:docPartObj>
    </w:sdtPr>
    <w:sdtEndPr/>
    <w:sdtContent>
      <w:p w14:paraId="0D1BEA26" w14:textId="77777777" w:rsidR="008D660D" w:rsidRPr="00B434CD" w:rsidRDefault="008D660D" w:rsidP="00B434CD">
        <w:pPr>
          <w:pStyle w:val="a7"/>
          <w:spacing w:before="120" w:after="120"/>
          <w:jc w:val="center"/>
          <w:rPr>
            <w:rFonts w:ascii="Arial" w:hAnsi="Arial" w:cs="Arial"/>
            <w:color w:val="BD002C"/>
            <w:sz w:val="16"/>
            <w:szCs w:val="16"/>
          </w:rPr>
        </w:pPr>
      </w:p>
      <w:p w14:paraId="02F27944" w14:textId="77777777" w:rsidR="008D660D" w:rsidRPr="00D5102F" w:rsidRDefault="008D660D" w:rsidP="00B434CD">
        <w:pPr>
          <w:tabs>
            <w:tab w:val="right" w:pos="9360"/>
          </w:tabs>
          <w:spacing w:after="0" w:line="240" w:lineRule="auto"/>
          <w:rPr>
            <w:rFonts w:ascii="Arial" w:hAnsi="Arial" w:cs="Arial"/>
            <w:sz w:val="16"/>
            <w:szCs w:val="16"/>
          </w:rPr>
        </w:pPr>
        <w:r w:rsidRPr="00CA5402">
          <w:rPr>
            <w:sz w:val="20"/>
            <w:szCs w:val="16"/>
          </w:rPr>
          <w:ptab w:relativeTo="margin" w:alignment="center" w:leader="none"/>
        </w:r>
        <w:r w:rsidRPr="00CA5402">
          <w:rPr>
            <w:sz w:val="20"/>
            <w:szCs w:val="16"/>
          </w:rPr>
          <w:t>This document is confidential.</w:t>
        </w:r>
        <w:r w:rsidRPr="001C199C">
          <w:rPr>
            <w:rFonts w:ascii="Arial" w:hAnsi="Arial" w:cs="Arial"/>
            <w:sz w:val="16"/>
            <w:szCs w:val="16"/>
          </w:rPr>
          <w:tab/>
        </w:r>
        <w:r>
          <w:rPr>
            <w:rFonts w:ascii="Arial" w:hAnsi="Arial" w:cs="Arial"/>
            <w:sz w:val="16"/>
            <w:szCs w:val="16"/>
          </w:rPr>
          <w:t xml:space="preserve">                   </w:t>
        </w:r>
        <w:r w:rsidRPr="00E14358">
          <w:rPr>
            <w:rFonts w:eastAsia="Times New Roman"/>
            <w:sz w:val="20"/>
            <w:szCs w:val="20"/>
            <w:lang w:bidi="ar-SA"/>
          </w:rPr>
          <w:t>Page</w:t>
        </w:r>
        <w:r w:rsidRPr="00E14358">
          <w:rPr>
            <w:sz w:val="20"/>
            <w:szCs w:val="20"/>
          </w:rPr>
          <w:t xml:space="preserve"> </w:t>
        </w:r>
        <w:r w:rsidRPr="00E14358">
          <w:rPr>
            <w:color w:val="2B579A"/>
            <w:sz w:val="20"/>
            <w:szCs w:val="20"/>
          </w:rPr>
          <w:fldChar w:fldCharType="begin"/>
        </w:r>
        <w:r w:rsidRPr="00E14358">
          <w:rPr>
            <w:sz w:val="20"/>
            <w:szCs w:val="20"/>
          </w:rPr>
          <w:instrText xml:space="preserve"> PAGE </w:instrText>
        </w:r>
        <w:r w:rsidRPr="00E14358">
          <w:rPr>
            <w:color w:val="2B579A"/>
            <w:sz w:val="20"/>
            <w:szCs w:val="20"/>
          </w:rPr>
          <w:fldChar w:fldCharType="separate"/>
        </w:r>
        <w:r w:rsidRPr="00E14358">
          <w:rPr>
            <w:sz w:val="20"/>
            <w:szCs w:val="20"/>
          </w:rPr>
          <w:t>1</w:t>
        </w:r>
        <w:r w:rsidRPr="00E14358">
          <w:rPr>
            <w:color w:val="2B579A"/>
            <w:sz w:val="20"/>
            <w:szCs w:val="20"/>
          </w:rPr>
          <w:fldChar w:fldCharType="end"/>
        </w:r>
        <w:r w:rsidRPr="00E14358">
          <w:rPr>
            <w:sz w:val="20"/>
            <w:szCs w:val="20"/>
          </w:rPr>
          <w:t xml:space="preserve"> of </w:t>
        </w:r>
        <w:r w:rsidRPr="00E14358">
          <w:rPr>
            <w:color w:val="2B579A"/>
            <w:sz w:val="20"/>
            <w:szCs w:val="20"/>
          </w:rPr>
          <w:fldChar w:fldCharType="begin"/>
        </w:r>
        <w:r w:rsidRPr="00E14358">
          <w:rPr>
            <w:sz w:val="20"/>
            <w:szCs w:val="20"/>
          </w:rPr>
          <w:instrText xml:space="preserve"> NUMPAGES  </w:instrText>
        </w:r>
        <w:r w:rsidRPr="00E14358">
          <w:rPr>
            <w:color w:val="2B579A"/>
            <w:sz w:val="20"/>
            <w:szCs w:val="20"/>
          </w:rPr>
          <w:fldChar w:fldCharType="separate"/>
        </w:r>
        <w:r w:rsidRPr="00E14358">
          <w:rPr>
            <w:sz w:val="20"/>
            <w:szCs w:val="20"/>
          </w:rPr>
          <w:t>71</w:t>
        </w:r>
        <w:r w:rsidRPr="00E14358">
          <w:rPr>
            <w:color w:val="2B579A"/>
            <w:sz w:val="20"/>
            <w:szCs w:val="20"/>
          </w:rPr>
          <w:fldChar w:fldCharType="end"/>
        </w:r>
      </w:p>
    </w:sdtContent>
  </w:sdt>
  <w:p w14:paraId="2B22E7CB" w14:textId="77777777" w:rsidR="008D660D" w:rsidRPr="00E6257A" w:rsidRDefault="008D660D" w:rsidP="00B434CD">
    <w:pPr>
      <w:pStyle w:val="a7"/>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80C25" w14:textId="77777777" w:rsidR="00C430DF" w:rsidRDefault="00C430DF" w:rsidP="00456C61">
      <w:r>
        <w:separator/>
      </w:r>
    </w:p>
    <w:p w14:paraId="54D6A4F5" w14:textId="77777777" w:rsidR="00C430DF" w:rsidRDefault="00C430DF"/>
    <w:p w14:paraId="498329B7" w14:textId="77777777" w:rsidR="00C430DF" w:rsidRDefault="00C430DF"/>
  </w:footnote>
  <w:footnote w:type="continuationSeparator" w:id="0">
    <w:p w14:paraId="1508D55D" w14:textId="77777777" w:rsidR="00C430DF" w:rsidRDefault="00C430DF" w:rsidP="00456C61">
      <w:r>
        <w:continuationSeparator/>
      </w:r>
    </w:p>
    <w:p w14:paraId="0EEE1101" w14:textId="77777777" w:rsidR="00C430DF" w:rsidRDefault="00C430DF"/>
    <w:p w14:paraId="5E0EFA06" w14:textId="77777777" w:rsidR="00C430DF" w:rsidRDefault="00C430DF"/>
  </w:footnote>
  <w:footnote w:type="continuationNotice" w:id="1">
    <w:p w14:paraId="6C0DEB60" w14:textId="77777777" w:rsidR="00C430DF" w:rsidRDefault="00C430DF">
      <w:pPr>
        <w:spacing w:after="0" w:line="240" w:lineRule="auto"/>
      </w:pPr>
    </w:p>
    <w:p w14:paraId="6D0BC346" w14:textId="77777777" w:rsidR="00C430DF" w:rsidRDefault="00C430DF"/>
    <w:p w14:paraId="774F48F1" w14:textId="77777777" w:rsidR="00C430DF" w:rsidRDefault="00C430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67C9F" w14:textId="2026DBC7" w:rsidR="008D660D" w:rsidRPr="008A6DE6" w:rsidRDefault="008D660D" w:rsidP="008A6DE6">
    <w:pPr>
      <w:pStyle w:val="a5"/>
    </w:pPr>
    <w:r w:rsidRPr="008A6DE6">
      <w:ptab w:relativeTo="margin" w:alignment="right" w:leader="none"/>
    </w:r>
    <w:r w:rsidRPr="002A4717">
      <w:t xml:space="preserve"> </w:t>
    </w:r>
    <w:r w:rsidRPr="00EF76B6">
      <w:t>CT103A</w:t>
    </w:r>
  </w:p>
  <w:p w14:paraId="4FF7CA3C" w14:textId="659949DF" w:rsidR="008D660D" w:rsidRPr="003A397B" w:rsidRDefault="008D660D" w:rsidP="008A6DE6">
    <w:pPr>
      <w:pStyle w:val="a5"/>
      <w:pBdr>
        <w:bottom w:val="single" w:sz="4" w:space="1" w:color="auto"/>
      </w:pBdr>
    </w:pPr>
    <w:r w:rsidRPr="006447B5">
      <w:ptab w:relativeTo="margin" w:alignment="right" w:leader="none"/>
    </w:r>
    <w:r>
      <w:t>Version 1.0/</w:t>
    </w:r>
    <w:r>
      <w:rPr>
        <w:lang w:eastAsia="zh-CN"/>
      </w:rPr>
      <w:t>Final</w:t>
    </w:r>
  </w:p>
  <w:p w14:paraId="44058600" w14:textId="77777777" w:rsidR="008D660D" w:rsidRPr="00905BF0" w:rsidRDefault="008D660D" w:rsidP="00FB64D2">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B2ACD" w14:textId="466CB6D2" w:rsidR="008D660D" w:rsidRPr="003A397B" w:rsidRDefault="008D660D" w:rsidP="008A6DE6">
    <w:pPr>
      <w:pStyle w:val="a5"/>
    </w:pPr>
    <w:r w:rsidRPr="003A397B">
      <w:t>[Sponsor Name]</w:t>
    </w:r>
    <w:r>
      <w:ptab w:relativeTo="margin" w:alignment="right" w:leader="none"/>
    </w:r>
    <w:r w:rsidRPr="003A397B">
      <w:t>[Protocol Number]</w:t>
    </w:r>
  </w:p>
  <w:p w14:paraId="3705C687" w14:textId="2A30F36F" w:rsidR="008D660D" w:rsidRPr="003A397B" w:rsidRDefault="008D660D" w:rsidP="008A6DE6">
    <w:pPr>
      <w:pStyle w:val="a5"/>
    </w:pPr>
    <w:r w:rsidRPr="003A397B">
      <w:t>[Name of Product]</w:t>
    </w:r>
    <w:r>
      <w:ptab w:relativeTo="margin" w:alignment="right" w:leader="none"/>
    </w:r>
    <w:r w:rsidRPr="003A397B">
      <w:t>[Version 0.0 Draft X/Final]</w:t>
    </w:r>
  </w:p>
  <w:p w14:paraId="739DEA87" w14:textId="77777777" w:rsidR="008D660D" w:rsidRPr="003A397B" w:rsidRDefault="008D660D" w:rsidP="008A6DE6">
    <w:pPr>
      <w:pStyle w:val="a5"/>
    </w:pPr>
    <w:r w:rsidRPr="003A397B">
      <w:t xml:space="preserve">&lt;Author: Double-click in the header to enter the header information. Keep return here, </w:t>
    </w:r>
    <w:proofErr w:type="spellStart"/>
    <w:r w:rsidRPr="003A397B">
      <w:t>ie</w:t>
    </w:r>
    <w:proofErr w:type="spellEnd"/>
    <w:r w:rsidRPr="003A397B">
      <w:t>, white space, after delete.&gt;</w:t>
    </w:r>
  </w:p>
  <w:p w14:paraId="0C3B33CF" w14:textId="77777777" w:rsidR="008D660D" w:rsidRPr="002F2555" w:rsidRDefault="008D660D" w:rsidP="008A6DE6">
    <w:pPr>
      <w:pStyle w:val="a5"/>
    </w:pPr>
  </w:p>
</w:hdr>
</file>

<file path=word/intelligence2.xml><?xml version="1.0" encoding="utf-8"?>
<int2:intelligence xmlns:int2="http://schemas.microsoft.com/office/intelligence/2020/intelligence" xmlns:oel="http://schemas.microsoft.com/office/2019/extlst">
  <int2:observations>
    <int2:bookmark int2:bookmarkName="_Int_aKOD4OrC" int2:invalidationBookmarkName="" int2:hashCode="bEB9M2ErSTz1B/" int2:id="Ngb3C5nr">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DC3811A"/>
    <w:multiLevelType w:val="singleLevel"/>
    <w:tmpl w:val="EDC3811A"/>
    <w:lvl w:ilvl="0">
      <w:start w:val="1"/>
      <w:numFmt w:val="decimal"/>
      <w:lvlText w:val="%1."/>
      <w:lvlJc w:val="left"/>
      <w:pPr>
        <w:ind w:left="425" w:hanging="425"/>
      </w:pPr>
      <w:rPr>
        <w:rFonts w:hint="default"/>
      </w:rPr>
    </w:lvl>
  </w:abstractNum>
  <w:abstractNum w:abstractNumId="1" w15:restartNumberingAfterBreak="0">
    <w:nsid w:val="FFFFFF82"/>
    <w:multiLevelType w:val="singleLevel"/>
    <w:tmpl w:val="57CC9176"/>
    <w:lvl w:ilvl="0">
      <w:start w:val="1"/>
      <w:numFmt w:val="bullet"/>
      <w:pStyle w:val="3"/>
      <w:lvlText w:val=""/>
      <w:lvlJc w:val="left"/>
      <w:pPr>
        <w:tabs>
          <w:tab w:val="num" w:pos="1080"/>
        </w:tabs>
        <w:ind w:left="1080" w:hanging="360"/>
      </w:pPr>
      <w:rPr>
        <w:rFonts w:ascii="Symbol" w:hAnsi="Symbol" w:hint="default"/>
      </w:rPr>
    </w:lvl>
  </w:abstractNum>
  <w:abstractNum w:abstractNumId="2" w15:restartNumberingAfterBreak="0">
    <w:nsid w:val="FFFFFF83"/>
    <w:multiLevelType w:val="singleLevel"/>
    <w:tmpl w:val="EFF4F3FA"/>
    <w:lvl w:ilvl="0">
      <w:start w:val="1"/>
      <w:numFmt w:val="bullet"/>
      <w:pStyle w:val="2"/>
      <w:lvlText w:val=""/>
      <w:lvlJc w:val="left"/>
      <w:pPr>
        <w:tabs>
          <w:tab w:val="num" w:pos="720"/>
        </w:tabs>
        <w:ind w:left="720" w:hanging="360"/>
      </w:pPr>
      <w:rPr>
        <w:rFonts w:ascii="Symbol" w:hAnsi="Symbol" w:hint="default"/>
      </w:rPr>
    </w:lvl>
  </w:abstractNum>
  <w:abstractNum w:abstractNumId="3" w15:restartNumberingAfterBreak="0">
    <w:nsid w:val="FFFFFF89"/>
    <w:multiLevelType w:val="singleLevel"/>
    <w:tmpl w:val="88AE0F88"/>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C233CD"/>
    <w:multiLevelType w:val="multilevel"/>
    <w:tmpl w:val="00C233CD"/>
    <w:lvl w:ilvl="0">
      <w:start w:val="1"/>
      <w:numFmt w:val="bullet"/>
      <w:lvlText w:val=""/>
      <w:lvlJc w:val="left"/>
      <w:pPr>
        <w:ind w:left="900" w:hanging="420"/>
      </w:pPr>
      <w:rPr>
        <w:rFonts w:ascii="Wingdings" w:hAnsi="Wingdings" w:hint="default"/>
      </w:rPr>
    </w:lvl>
    <w:lvl w:ilvl="1">
      <w:start w:val="1"/>
      <w:numFmt w:val="lowerLetter"/>
      <w:lvlText w:val="%2)"/>
      <w:lvlJc w:val="left"/>
      <w:pPr>
        <w:ind w:left="1320" w:hanging="420"/>
      </w:pPr>
      <w:rPr>
        <w:rFonts w:cs="Times New Roman"/>
      </w:rPr>
    </w:lvl>
    <w:lvl w:ilvl="2">
      <w:start w:val="1"/>
      <w:numFmt w:val="lowerRoman"/>
      <w:lvlText w:val="%3."/>
      <w:lvlJc w:val="right"/>
      <w:pPr>
        <w:ind w:left="1740" w:hanging="420"/>
      </w:pPr>
      <w:rPr>
        <w:rFonts w:cs="Times New Roman"/>
      </w:rPr>
    </w:lvl>
    <w:lvl w:ilvl="3">
      <w:start w:val="1"/>
      <w:numFmt w:val="decimal"/>
      <w:lvlText w:val="%4."/>
      <w:lvlJc w:val="left"/>
      <w:pPr>
        <w:ind w:left="2160" w:hanging="420"/>
      </w:pPr>
      <w:rPr>
        <w:rFonts w:cs="Times New Roman"/>
      </w:rPr>
    </w:lvl>
    <w:lvl w:ilvl="4">
      <w:start w:val="1"/>
      <w:numFmt w:val="lowerLetter"/>
      <w:lvlText w:val="%5)"/>
      <w:lvlJc w:val="left"/>
      <w:pPr>
        <w:ind w:left="2580" w:hanging="420"/>
      </w:pPr>
      <w:rPr>
        <w:rFonts w:cs="Times New Roman"/>
      </w:rPr>
    </w:lvl>
    <w:lvl w:ilvl="5">
      <w:start w:val="1"/>
      <w:numFmt w:val="lowerRoman"/>
      <w:lvlText w:val="%6."/>
      <w:lvlJc w:val="right"/>
      <w:pPr>
        <w:ind w:left="3000" w:hanging="420"/>
      </w:pPr>
      <w:rPr>
        <w:rFonts w:cs="Times New Roman"/>
      </w:rPr>
    </w:lvl>
    <w:lvl w:ilvl="6">
      <w:start w:val="1"/>
      <w:numFmt w:val="decimal"/>
      <w:lvlText w:val="%7."/>
      <w:lvlJc w:val="left"/>
      <w:pPr>
        <w:ind w:left="3420" w:hanging="420"/>
      </w:pPr>
      <w:rPr>
        <w:rFonts w:cs="Times New Roman"/>
      </w:rPr>
    </w:lvl>
    <w:lvl w:ilvl="7">
      <w:start w:val="1"/>
      <w:numFmt w:val="lowerLetter"/>
      <w:lvlText w:val="%8)"/>
      <w:lvlJc w:val="left"/>
      <w:pPr>
        <w:ind w:left="3840" w:hanging="420"/>
      </w:pPr>
      <w:rPr>
        <w:rFonts w:cs="Times New Roman"/>
      </w:rPr>
    </w:lvl>
    <w:lvl w:ilvl="8">
      <w:start w:val="1"/>
      <w:numFmt w:val="lowerRoman"/>
      <w:lvlText w:val="%9."/>
      <w:lvlJc w:val="right"/>
      <w:pPr>
        <w:ind w:left="4260" w:hanging="420"/>
      </w:pPr>
      <w:rPr>
        <w:rFonts w:cs="Times New Roman"/>
      </w:rPr>
    </w:lvl>
  </w:abstractNum>
  <w:abstractNum w:abstractNumId="5" w15:restartNumberingAfterBreak="0">
    <w:nsid w:val="03BA26E1"/>
    <w:multiLevelType w:val="multilevel"/>
    <w:tmpl w:val="03BA26E1"/>
    <w:lvl w:ilvl="0">
      <w:start w:val="1"/>
      <w:numFmt w:val="bullet"/>
      <w:lvlText w:val="•"/>
      <w:lvlJc w:val="left"/>
      <w:pPr>
        <w:ind w:left="420" w:hanging="420"/>
      </w:pPr>
      <w:rPr>
        <w:rFonts w:hint="default"/>
        <w:w w:val="99"/>
        <w:sz w:val="24"/>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Times New Roman" w:eastAsia="宋体" w:hAnsi="Times New Roman" w:hint="default"/>
        <w:b w:val="0"/>
        <w:i w:val="0"/>
        <w:strike w:val="0"/>
        <w:dstrike w:val="0"/>
        <w:color w:val="000000"/>
        <w:sz w:val="21"/>
        <w:szCs w:val="24"/>
        <w:u w:val="none" w:color="000000"/>
        <w:vertAlign w:val="baseline"/>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15:restartNumberingAfterBreak="0">
    <w:nsid w:val="04B67830"/>
    <w:multiLevelType w:val="multilevel"/>
    <w:tmpl w:val="FB30FF5E"/>
    <w:styleLink w:val="CurrentList19"/>
    <w:lvl w:ilvl="0">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0506553D"/>
    <w:multiLevelType w:val="hybridMultilevel"/>
    <w:tmpl w:val="EDC8BB46"/>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69D64DD"/>
    <w:multiLevelType w:val="multilevel"/>
    <w:tmpl w:val="753D7DDD"/>
    <w:lvl w:ilvl="0">
      <w:start w:val="2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06D71397"/>
    <w:multiLevelType w:val="hybridMultilevel"/>
    <w:tmpl w:val="103C200E"/>
    <w:lvl w:ilvl="0" w:tplc="FFEEECF8">
      <w:start w:val="1"/>
      <w:numFmt w:val="decimal"/>
      <w:pStyle w:val="ReferenceList"/>
      <w:lvlText w:val="%1."/>
      <w:lvlJc w:val="left"/>
      <w:pPr>
        <w:ind w:left="1555" w:hanging="360"/>
      </w:pPr>
    </w:lvl>
    <w:lvl w:ilvl="1" w:tplc="04090019" w:tentative="1">
      <w:start w:val="1"/>
      <w:numFmt w:val="lowerLetter"/>
      <w:lvlText w:val="%2."/>
      <w:lvlJc w:val="left"/>
      <w:pPr>
        <w:ind w:left="2275" w:hanging="360"/>
      </w:pPr>
    </w:lvl>
    <w:lvl w:ilvl="2" w:tplc="0409001B" w:tentative="1">
      <w:start w:val="1"/>
      <w:numFmt w:val="lowerRoman"/>
      <w:lvlText w:val="%3."/>
      <w:lvlJc w:val="right"/>
      <w:pPr>
        <w:ind w:left="2995" w:hanging="180"/>
      </w:pPr>
    </w:lvl>
    <w:lvl w:ilvl="3" w:tplc="0409000F" w:tentative="1">
      <w:start w:val="1"/>
      <w:numFmt w:val="decimal"/>
      <w:lvlText w:val="%4."/>
      <w:lvlJc w:val="left"/>
      <w:pPr>
        <w:ind w:left="3715" w:hanging="360"/>
      </w:pPr>
    </w:lvl>
    <w:lvl w:ilvl="4" w:tplc="04090019" w:tentative="1">
      <w:start w:val="1"/>
      <w:numFmt w:val="lowerLetter"/>
      <w:lvlText w:val="%5."/>
      <w:lvlJc w:val="left"/>
      <w:pPr>
        <w:ind w:left="4435" w:hanging="360"/>
      </w:pPr>
    </w:lvl>
    <w:lvl w:ilvl="5" w:tplc="0409001B" w:tentative="1">
      <w:start w:val="1"/>
      <w:numFmt w:val="lowerRoman"/>
      <w:lvlText w:val="%6."/>
      <w:lvlJc w:val="right"/>
      <w:pPr>
        <w:ind w:left="5155" w:hanging="180"/>
      </w:pPr>
    </w:lvl>
    <w:lvl w:ilvl="6" w:tplc="0409000F" w:tentative="1">
      <w:start w:val="1"/>
      <w:numFmt w:val="decimal"/>
      <w:lvlText w:val="%7."/>
      <w:lvlJc w:val="left"/>
      <w:pPr>
        <w:ind w:left="5875" w:hanging="360"/>
      </w:pPr>
    </w:lvl>
    <w:lvl w:ilvl="7" w:tplc="04090019" w:tentative="1">
      <w:start w:val="1"/>
      <w:numFmt w:val="lowerLetter"/>
      <w:lvlText w:val="%8."/>
      <w:lvlJc w:val="left"/>
      <w:pPr>
        <w:ind w:left="6595" w:hanging="360"/>
      </w:pPr>
    </w:lvl>
    <w:lvl w:ilvl="8" w:tplc="0409001B" w:tentative="1">
      <w:start w:val="1"/>
      <w:numFmt w:val="lowerRoman"/>
      <w:lvlText w:val="%9."/>
      <w:lvlJc w:val="right"/>
      <w:pPr>
        <w:ind w:left="7315" w:hanging="180"/>
      </w:pPr>
    </w:lvl>
  </w:abstractNum>
  <w:abstractNum w:abstractNumId="10" w15:restartNumberingAfterBreak="0">
    <w:nsid w:val="071B44F6"/>
    <w:multiLevelType w:val="multilevel"/>
    <w:tmpl w:val="753D7DDD"/>
    <w:lvl w:ilvl="0">
      <w:start w:val="2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084F5D2E"/>
    <w:multiLevelType w:val="hybridMultilevel"/>
    <w:tmpl w:val="E872EA1E"/>
    <w:lvl w:ilvl="0" w:tplc="B6DA658A">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7E353C"/>
    <w:multiLevelType w:val="multilevel"/>
    <w:tmpl w:val="0A7E353C"/>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15:restartNumberingAfterBreak="0">
    <w:nsid w:val="0ABE4364"/>
    <w:multiLevelType w:val="multilevel"/>
    <w:tmpl w:val="0409001D"/>
    <w:styleLink w:val="List-Numbered"/>
    <w:lvl w:ilvl="0">
      <w:start w:val="1"/>
      <w:numFmt w:val="decimal"/>
      <w:lvlText w:val="%1)"/>
      <w:lvlJc w:val="left"/>
      <w:pPr>
        <w:tabs>
          <w:tab w:val="num" w:pos="360"/>
        </w:tabs>
        <w:ind w:left="108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0D860BAF"/>
    <w:multiLevelType w:val="multilevel"/>
    <w:tmpl w:val="17D24D0E"/>
    <w:lvl w:ilvl="0">
      <w:start w:val="1"/>
      <w:numFmt w:val="bullet"/>
      <w:lvlText w:val="o"/>
      <w:lvlJc w:val="left"/>
      <w:pPr>
        <w:ind w:left="1271" w:hanging="420"/>
      </w:pPr>
      <w:rPr>
        <w:rFonts w:ascii="Courier New" w:hAnsi="Courier New" w:cs="Courier New" w:hint="default"/>
      </w:rPr>
    </w:lvl>
    <w:lvl w:ilvl="1">
      <w:start w:val="1"/>
      <w:numFmt w:val="bullet"/>
      <w:lvlText w:val=""/>
      <w:lvlJc w:val="left"/>
      <w:pPr>
        <w:ind w:left="1691" w:hanging="420"/>
      </w:pPr>
      <w:rPr>
        <w:rFonts w:ascii="Wingdings" w:hAnsi="Wingdings" w:hint="default"/>
      </w:rPr>
    </w:lvl>
    <w:lvl w:ilvl="2">
      <w:start w:val="1"/>
      <w:numFmt w:val="bullet"/>
      <w:lvlText w:val=""/>
      <w:lvlJc w:val="left"/>
      <w:pPr>
        <w:ind w:left="2111" w:hanging="420"/>
      </w:pPr>
      <w:rPr>
        <w:rFonts w:ascii="Wingdings" w:hAnsi="Wingdings" w:hint="default"/>
      </w:rPr>
    </w:lvl>
    <w:lvl w:ilvl="3">
      <w:start w:val="1"/>
      <w:numFmt w:val="bullet"/>
      <w:lvlText w:val=""/>
      <w:lvlJc w:val="left"/>
      <w:pPr>
        <w:ind w:left="2531" w:hanging="420"/>
      </w:pPr>
      <w:rPr>
        <w:rFonts w:ascii="Wingdings" w:hAnsi="Wingdings" w:hint="default"/>
      </w:rPr>
    </w:lvl>
    <w:lvl w:ilvl="4">
      <w:start w:val="1"/>
      <w:numFmt w:val="bullet"/>
      <w:lvlText w:val=""/>
      <w:lvlJc w:val="left"/>
      <w:pPr>
        <w:ind w:left="2951" w:hanging="420"/>
      </w:pPr>
      <w:rPr>
        <w:rFonts w:ascii="Wingdings" w:hAnsi="Wingdings" w:hint="default"/>
      </w:rPr>
    </w:lvl>
    <w:lvl w:ilvl="5">
      <w:start w:val="1"/>
      <w:numFmt w:val="bullet"/>
      <w:lvlText w:val=""/>
      <w:lvlJc w:val="left"/>
      <w:pPr>
        <w:ind w:left="3371" w:hanging="420"/>
      </w:pPr>
      <w:rPr>
        <w:rFonts w:ascii="Wingdings" w:hAnsi="Wingdings" w:hint="default"/>
      </w:rPr>
    </w:lvl>
    <w:lvl w:ilvl="6">
      <w:start w:val="1"/>
      <w:numFmt w:val="bullet"/>
      <w:lvlText w:val=""/>
      <w:lvlJc w:val="left"/>
      <w:pPr>
        <w:ind w:left="3791" w:hanging="420"/>
      </w:pPr>
      <w:rPr>
        <w:rFonts w:ascii="Wingdings" w:hAnsi="Wingdings" w:hint="default"/>
      </w:rPr>
    </w:lvl>
    <w:lvl w:ilvl="7">
      <w:start w:val="1"/>
      <w:numFmt w:val="bullet"/>
      <w:lvlText w:val=""/>
      <w:lvlJc w:val="left"/>
      <w:pPr>
        <w:ind w:left="4211" w:hanging="420"/>
      </w:pPr>
      <w:rPr>
        <w:rFonts w:ascii="Wingdings" w:hAnsi="Wingdings" w:hint="default"/>
      </w:rPr>
    </w:lvl>
    <w:lvl w:ilvl="8">
      <w:start w:val="1"/>
      <w:numFmt w:val="bullet"/>
      <w:lvlText w:val=""/>
      <w:lvlJc w:val="left"/>
      <w:pPr>
        <w:ind w:left="4631" w:hanging="420"/>
      </w:pPr>
      <w:rPr>
        <w:rFonts w:ascii="Wingdings" w:hAnsi="Wingdings" w:hint="default"/>
      </w:rPr>
    </w:lvl>
  </w:abstractNum>
  <w:abstractNum w:abstractNumId="15" w15:restartNumberingAfterBreak="0">
    <w:nsid w:val="129760CA"/>
    <w:multiLevelType w:val="multilevel"/>
    <w:tmpl w:val="129760C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15:restartNumberingAfterBreak="0">
    <w:nsid w:val="151743BB"/>
    <w:multiLevelType w:val="multilevel"/>
    <w:tmpl w:val="151743BB"/>
    <w:lvl w:ilvl="0">
      <w:start w:val="1"/>
      <w:numFmt w:val="bullet"/>
      <w:lvlText w:val="•"/>
      <w:lvlJc w:val="left"/>
      <w:pPr>
        <w:ind w:left="900" w:hanging="420"/>
      </w:pPr>
      <w:rPr>
        <w:rFonts w:ascii="Arial" w:eastAsia="Arial" w:hAnsi="Arial" w:cs="Arial"/>
        <w:b w:val="0"/>
        <w:i w:val="0"/>
        <w:strike w:val="0"/>
        <w:dstrike w:val="0"/>
        <w:color w:val="000000"/>
        <w:sz w:val="24"/>
        <w:szCs w:val="24"/>
        <w:u w:val="none" w:color="000000"/>
        <w:shd w:val="clear" w:color="auto" w:fill="auto"/>
        <w:vertAlign w:val="baseline"/>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7" w15:restartNumberingAfterBreak="0">
    <w:nsid w:val="15865C1A"/>
    <w:multiLevelType w:val="multilevel"/>
    <w:tmpl w:val="15865C1A"/>
    <w:lvl w:ilvl="0">
      <w:start w:val="2"/>
      <w:numFmt w:val="bullet"/>
      <w:lvlText w:val="•"/>
      <w:lvlJc w:val="left"/>
      <w:pPr>
        <w:ind w:left="840" w:hanging="420"/>
      </w:pPr>
      <w:rPr>
        <w:rFonts w:ascii="宋体" w:eastAsia="宋体" w:hAnsi="宋体" w:cs="Times New Roman" w:hint="eastAsia"/>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8" w15:restartNumberingAfterBreak="0">
    <w:nsid w:val="15870992"/>
    <w:multiLevelType w:val="multilevel"/>
    <w:tmpl w:val="15870992"/>
    <w:lvl w:ilvl="0">
      <w:start w:val="1"/>
      <w:numFmt w:val="bullet"/>
      <w:lvlText w:val="•"/>
      <w:lvlJc w:val="left"/>
      <w:pPr>
        <w:ind w:left="1320" w:hanging="420"/>
      </w:pPr>
      <w:rPr>
        <w:rFonts w:ascii="Arial" w:eastAsia="Arial" w:hAnsi="Arial" w:cs="Arial" w:hint="default"/>
        <w:b w:val="0"/>
        <w:i w:val="0"/>
        <w:strike w:val="0"/>
        <w:dstrike w:val="0"/>
        <w:color w:val="000000"/>
        <w:sz w:val="24"/>
        <w:szCs w:val="24"/>
        <w:u w:val="none" w:color="000000"/>
        <w:shd w:val="clear" w:color="auto" w:fill="auto"/>
        <w:vertAlign w:val="baseline"/>
      </w:rPr>
    </w:lvl>
    <w:lvl w:ilvl="1">
      <w:start w:val="1"/>
      <w:numFmt w:val="bullet"/>
      <w:lvlText w:val=""/>
      <w:lvlJc w:val="left"/>
      <w:pPr>
        <w:ind w:left="1740" w:hanging="420"/>
      </w:pPr>
      <w:rPr>
        <w:rFonts w:ascii="Wingdings" w:hAnsi="Wingdings" w:hint="default"/>
      </w:rPr>
    </w:lvl>
    <w:lvl w:ilvl="2">
      <w:start w:val="1"/>
      <w:numFmt w:val="bullet"/>
      <w:lvlText w:val=""/>
      <w:lvlJc w:val="left"/>
      <w:pPr>
        <w:ind w:left="2160" w:hanging="420"/>
      </w:pPr>
      <w:rPr>
        <w:rFonts w:ascii="Wingdings" w:hAnsi="Wingdings" w:hint="default"/>
      </w:rPr>
    </w:lvl>
    <w:lvl w:ilvl="3">
      <w:start w:val="1"/>
      <w:numFmt w:val="bullet"/>
      <w:lvlText w:val=""/>
      <w:lvlJc w:val="left"/>
      <w:pPr>
        <w:ind w:left="2580" w:hanging="420"/>
      </w:pPr>
      <w:rPr>
        <w:rFonts w:ascii="Wingdings" w:hAnsi="Wingdings" w:hint="default"/>
      </w:rPr>
    </w:lvl>
    <w:lvl w:ilvl="4">
      <w:start w:val="1"/>
      <w:numFmt w:val="bullet"/>
      <w:lvlText w:val=""/>
      <w:lvlJc w:val="left"/>
      <w:pPr>
        <w:ind w:left="3000" w:hanging="420"/>
      </w:pPr>
      <w:rPr>
        <w:rFonts w:ascii="Wingdings" w:hAnsi="Wingdings" w:hint="default"/>
      </w:rPr>
    </w:lvl>
    <w:lvl w:ilvl="5">
      <w:start w:val="1"/>
      <w:numFmt w:val="bullet"/>
      <w:lvlText w:val=""/>
      <w:lvlJc w:val="left"/>
      <w:pPr>
        <w:ind w:left="3420" w:hanging="420"/>
      </w:pPr>
      <w:rPr>
        <w:rFonts w:ascii="Wingdings" w:hAnsi="Wingdings" w:hint="default"/>
      </w:rPr>
    </w:lvl>
    <w:lvl w:ilvl="6">
      <w:start w:val="1"/>
      <w:numFmt w:val="bullet"/>
      <w:lvlText w:val=""/>
      <w:lvlJc w:val="left"/>
      <w:pPr>
        <w:ind w:left="3840" w:hanging="420"/>
      </w:pPr>
      <w:rPr>
        <w:rFonts w:ascii="Wingdings" w:hAnsi="Wingdings" w:hint="default"/>
      </w:rPr>
    </w:lvl>
    <w:lvl w:ilvl="7">
      <w:start w:val="1"/>
      <w:numFmt w:val="bullet"/>
      <w:lvlText w:val=""/>
      <w:lvlJc w:val="left"/>
      <w:pPr>
        <w:ind w:left="4260" w:hanging="420"/>
      </w:pPr>
      <w:rPr>
        <w:rFonts w:ascii="Wingdings" w:hAnsi="Wingdings" w:hint="default"/>
      </w:rPr>
    </w:lvl>
    <w:lvl w:ilvl="8">
      <w:start w:val="1"/>
      <w:numFmt w:val="bullet"/>
      <w:lvlText w:val=""/>
      <w:lvlJc w:val="left"/>
      <w:pPr>
        <w:ind w:left="4680" w:hanging="420"/>
      </w:pPr>
      <w:rPr>
        <w:rFonts w:ascii="Wingdings" w:hAnsi="Wingdings" w:hint="default"/>
      </w:rPr>
    </w:lvl>
  </w:abstractNum>
  <w:abstractNum w:abstractNumId="19" w15:restartNumberingAfterBreak="0">
    <w:nsid w:val="15A04642"/>
    <w:multiLevelType w:val="hybridMultilevel"/>
    <w:tmpl w:val="54BAD6B0"/>
    <w:lvl w:ilvl="0" w:tplc="C8B6A7C4">
      <w:start w:val="1"/>
      <w:numFmt w:val="bullet"/>
      <w:pStyle w:val="Bullet3"/>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161005B6"/>
    <w:multiLevelType w:val="multilevel"/>
    <w:tmpl w:val="161005B6"/>
    <w:lvl w:ilvl="0">
      <w:start w:val="1"/>
      <w:numFmt w:val="bullet"/>
      <w:lvlText w:val=""/>
      <w:lvlJc w:val="left"/>
      <w:pPr>
        <w:ind w:left="1129" w:hanging="420"/>
      </w:pPr>
      <w:rPr>
        <w:rFonts w:ascii="Symbol" w:hAnsi="Symbol" w:hint="default"/>
        <w:sz w:val="24"/>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21" w15:restartNumberingAfterBreak="0">
    <w:nsid w:val="1661915D"/>
    <w:multiLevelType w:val="singleLevel"/>
    <w:tmpl w:val="1661915D"/>
    <w:lvl w:ilvl="0">
      <w:start w:val="1"/>
      <w:numFmt w:val="bullet"/>
      <w:lvlText w:val=""/>
      <w:lvlJc w:val="left"/>
      <w:pPr>
        <w:ind w:left="420" w:hanging="420"/>
      </w:pPr>
      <w:rPr>
        <w:rFonts w:ascii="Wingdings" w:hAnsi="Wingdings" w:hint="default"/>
      </w:rPr>
    </w:lvl>
  </w:abstractNum>
  <w:abstractNum w:abstractNumId="22" w15:restartNumberingAfterBreak="0">
    <w:nsid w:val="187B5881"/>
    <w:multiLevelType w:val="hybridMultilevel"/>
    <w:tmpl w:val="F6780A2C"/>
    <w:lvl w:ilvl="0" w:tplc="639E1676">
      <w:start w:val="1"/>
      <w:numFmt w:val="bullet"/>
      <w:pStyle w:val="InstructionalTextBulleted"/>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8F75F8A"/>
    <w:multiLevelType w:val="hybridMultilevel"/>
    <w:tmpl w:val="45960664"/>
    <w:lvl w:ilvl="0" w:tplc="6382F77E">
      <w:start w:val="7"/>
      <w:numFmt w:val="bullet"/>
      <w:lvlText w:val="-"/>
      <w:lvlJc w:val="left"/>
      <w:pPr>
        <w:ind w:left="720" w:hanging="360"/>
      </w:pPr>
      <w:rPr>
        <w:rFonts w:ascii="Times New Roman" w:eastAsia="宋体"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9D53F74"/>
    <w:multiLevelType w:val="hybridMultilevel"/>
    <w:tmpl w:val="1088A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A3F1C85"/>
    <w:multiLevelType w:val="multilevel"/>
    <w:tmpl w:val="1F149EBA"/>
    <w:lvl w:ilvl="0">
      <w:start w:val="1"/>
      <w:numFmt w:val="decimal"/>
      <w:lvlText w:val="%1."/>
      <w:lvlJc w:val="left"/>
      <w:pPr>
        <w:ind w:left="900" w:hanging="420"/>
      </w:pPr>
      <w:rPr>
        <w:rFonts w:ascii="Times New Roman" w:eastAsia="宋体" w:hAnsi="Times New Roman" w:cs="Times New Roman"/>
        <w:color w:val="auto"/>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6" w15:restartNumberingAfterBreak="0">
    <w:nsid w:val="1E961709"/>
    <w:multiLevelType w:val="multilevel"/>
    <w:tmpl w:val="753D7DDD"/>
    <w:lvl w:ilvl="0">
      <w:start w:val="2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15:restartNumberingAfterBreak="0">
    <w:nsid w:val="21CD77D0"/>
    <w:multiLevelType w:val="multilevel"/>
    <w:tmpl w:val="21CD77D0"/>
    <w:lvl w:ilvl="0">
      <w:start w:val="1"/>
      <w:numFmt w:val="ideographDigital"/>
      <w:pStyle w:val="a0"/>
      <w:lvlText w:val="附件%1"/>
      <w:lvlJc w:val="left"/>
      <w:pPr>
        <w:tabs>
          <w:tab w:val="left" w:pos="964"/>
        </w:tabs>
        <w:ind w:left="480" w:hanging="480"/>
      </w:pPr>
      <w:rPr>
        <w:rFonts w:hint="default"/>
      </w:rPr>
    </w:lvl>
    <w:lvl w:ilvl="1">
      <w:start w:val="1"/>
      <w:numFmt w:val="aiueoFullWidth"/>
      <w:lvlText w:val="(%2)"/>
      <w:lvlJc w:val="left"/>
      <w:pPr>
        <w:ind w:left="960" w:hanging="480"/>
      </w:pPr>
    </w:lvl>
    <w:lvl w:ilvl="2">
      <w:start w:val="1"/>
      <w:numFmt w:val="decimalEnclosedCircle"/>
      <w:lvlText w:val="%3"/>
      <w:lvlJc w:val="left"/>
      <w:pPr>
        <w:ind w:left="1440" w:hanging="480"/>
      </w:pPr>
    </w:lvl>
    <w:lvl w:ilvl="3">
      <w:start w:val="1"/>
      <w:numFmt w:val="decimal"/>
      <w:lvlText w:val="%4."/>
      <w:lvlJc w:val="left"/>
      <w:pPr>
        <w:ind w:left="1920" w:hanging="480"/>
      </w:pPr>
    </w:lvl>
    <w:lvl w:ilvl="4">
      <w:start w:val="1"/>
      <w:numFmt w:val="aiueoFullWidth"/>
      <w:lvlText w:val="(%5)"/>
      <w:lvlJc w:val="left"/>
      <w:pPr>
        <w:ind w:left="2400" w:hanging="480"/>
      </w:pPr>
    </w:lvl>
    <w:lvl w:ilvl="5">
      <w:start w:val="1"/>
      <w:numFmt w:val="decimalEnclosedCircle"/>
      <w:lvlText w:val="%6"/>
      <w:lvlJc w:val="left"/>
      <w:pPr>
        <w:ind w:left="2880" w:hanging="480"/>
      </w:pPr>
    </w:lvl>
    <w:lvl w:ilvl="6">
      <w:start w:val="1"/>
      <w:numFmt w:val="decimal"/>
      <w:lvlText w:val="%7."/>
      <w:lvlJc w:val="left"/>
      <w:pPr>
        <w:ind w:left="3360" w:hanging="480"/>
      </w:pPr>
    </w:lvl>
    <w:lvl w:ilvl="7">
      <w:start w:val="1"/>
      <w:numFmt w:val="aiueoFullWidth"/>
      <w:lvlText w:val="(%8)"/>
      <w:lvlJc w:val="left"/>
      <w:pPr>
        <w:ind w:left="3840" w:hanging="480"/>
      </w:pPr>
    </w:lvl>
    <w:lvl w:ilvl="8">
      <w:start w:val="1"/>
      <w:numFmt w:val="decimalEnclosedCircle"/>
      <w:lvlText w:val="%9"/>
      <w:lvlJc w:val="left"/>
      <w:pPr>
        <w:ind w:left="4320" w:hanging="480"/>
      </w:pPr>
    </w:lvl>
  </w:abstractNum>
  <w:abstractNum w:abstractNumId="28" w15:restartNumberingAfterBreak="0">
    <w:nsid w:val="2386159A"/>
    <w:multiLevelType w:val="multilevel"/>
    <w:tmpl w:val="2386159A"/>
    <w:lvl w:ilvl="0">
      <w:start w:val="1"/>
      <w:numFmt w:val="bullet"/>
      <w:lvlText w:val=""/>
      <w:lvlJc w:val="left"/>
      <w:pPr>
        <w:ind w:left="1320" w:hanging="420"/>
      </w:pPr>
      <w:rPr>
        <w:rFonts w:ascii="Symbol" w:hAnsi="Symbol" w:hint="default"/>
        <w:sz w:val="24"/>
      </w:rPr>
    </w:lvl>
    <w:lvl w:ilvl="1">
      <w:start w:val="1"/>
      <w:numFmt w:val="bullet"/>
      <w:lvlText w:val=""/>
      <w:lvlJc w:val="left"/>
      <w:pPr>
        <w:ind w:left="1740" w:hanging="420"/>
      </w:pPr>
      <w:rPr>
        <w:rFonts w:ascii="Wingdings" w:hAnsi="Wingdings" w:hint="default"/>
      </w:rPr>
    </w:lvl>
    <w:lvl w:ilvl="2">
      <w:start w:val="1"/>
      <w:numFmt w:val="bullet"/>
      <w:lvlText w:val=""/>
      <w:lvlJc w:val="left"/>
      <w:pPr>
        <w:ind w:left="2160" w:hanging="420"/>
      </w:pPr>
      <w:rPr>
        <w:rFonts w:ascii="Wingdings" w:hAnsi="Wingdings" w:hint="default"/>
      </w:rPr>
    </w:lvl>
    <w:lvl w:ilvl="3">
      <w:start w:val="1"/>
      <w:numFmt w:val="bullet"/>
      <w:lvlText w:val=""/>
      <w:lvlJc w:val="left"/>
      <w:pPr>
        <w:ind w:left="2580" w:hanging="420"/>
      </w:pPr>
      <w:rPr>
        <w:rFonts w:ascii="Wingdings" w:hAnsi="Wingdings" w:hint="default"/>
      </w:rPr>
    </w:lvl>
    <w:lvl w:ilvl="4">
      <w:start w:val="1"/>
      <w:numFmt w:val="bullet"/>
      <w:lvlText w:val=""/>
      <w:lvlJc w:val="left"/>
      <w:pPr>
        <w:ind w:left="3000" w:hanging="420"/>
      </w:pPr>
      <w:rPr>
        <w:rFonts w:ascii="Wingdings" w:hAnsi="Wingdings" w:hint="default"/>
      </w:rPr>
    </w:lvl>
    <w:lvl w:ilvl="5">
      <w:start w:val="1"/>
      <w:numFmt w:val="bullet"/>
      <w:lvlText w:val=""/>
      <w:lvlJc w:val="left"/>
      <w:pPr>
        <w:ind w:left="3420" w:hanging="420"/>
      </w:pPr>
      <w:rPr>
        <w:rFonts w:ascii="Wingdings" w:hAnsi="Wingdings" w:hint="default"/>
      </w:rPr>
    </w:lvl>
    <w:lvl w:ilvl="6">
      <w:start w:val="1"/>
      <w:numFmt w:val="bullet"/>
      <w:lvlText w:val=""/>
      <w:lvlJc w:val="left"/>
      <w:pPr>
        <w:ind w:left="3840" w:hanging="420"/>
      </w:pPr>
      <w:rPr>
        <w:rFonts w:ascii="Wingdings" w:hAnsi="Wingdings" w:hint="default"/>
      </w:rPr>
    </w:lvl>
    <w:lvl w:ilvl="7">
      <w:start w:val="1"/>
      <w:numFmt w:val="bullet"/>
      <w:lvlText w:val=""/>
      <w:lvlJc w:val="left"/>
      <w:pPr>
        <w:ind w:left="4260" w:hanging="420"/>
      </w:pPr>
      <w:rPr>
        <w:rFonts w:ascii="Wingdings" w:hAnsi="Wingdings" w:hint="default"/>
      </w:rPr>
    </w:lvl>
    <w:lvl w:ilvl="8">
      <w:start w:val="1"/>
      <w:numFmt w:val="bullet"/>
      <w:lvlText w:val=""/>
      <w:lvlJc w:val="left"/>
      <w:pPr>
        <w:ind w:left="4680" w:hanging="420"/>
      </w:pPr>
      <w:rPr>
        <w:rFonts w:ascii="Wingdings" w:hAnsi="Wingdings" w:hint="default"/>
      </w:rPr>
    </w:lvl>
  </w:abstractNum>
  <w:abstractNum w:abstractNumId="29" w15:restartNumberingAfterBreak="0">
    <w:nsid w:val="24AE51E8"/>
    <w:multiLevelType w:val="singleLevel"/>
    <w:tmpl w:val="24AE51E8"/>
    <w:lvl w:ilvl="0">
      <w:start w:val="1"/>
      <w:numFmt w:val="bullet"/>
      <w:pStyle w:val="AlphaList"/>
      <w:lvlText w:val=""/>
      <w:lvlJc w:val="left"/>
      <w:pPr>
        <w:ind w:left="360" w:hanging="360"/>
      </w:pPr>
      <w:rPr>
        <w:rFonts w:ascii="Symbol" w:hAnsi="Symbol" w:hint="default"/>
      </w:rPr>
    </w:lvl>
  </w:abstractNum>
  <w:abstractNum w:abstractNumId="30" w15:restartNumberingAfterBreak="0">
    <w:nsid w:val="25475EF6"/>
    <w:multiLevelType w:val="multilevel"/>
    <w:tmpl w:val="F8FEC9C6"/>
    <w:lvl w:ilvl="0">
      <w:start w:val="1"/>
      <w:numFmt w:val="decimal"/>
      <w:pStyle w:val="1"/>
      <w:lvlText w:val="%1"/>
      <w:lvlJc w:val="left"/>
      <w:pPr>
        <w:ind w:left="432" w:hanging="432"/>
      </w:pPr>
      <w:rPr>
        <w:rFonts w:hint="default"/>
      </w:rPr>
    </w:lvl>
    <w:lvl w:ilvl="1">
      <w:start w:val="1"/>
      <w:numFmt w:val="decimal"/>
      <w:pStyle w:val="20"/>
      <w:lvlText w:val="%1.%2"/>
      <w:lvlJc w:val="left"/>
      <w:pPr>
        <w:ind w:left="576" w:hanging="576"/>
      </w:pPr>
      <w:rPr>
        <w:rFonts w:hint="default"/>
        <w:color w:val="auto"/>
      </w:rPr>
    </w:lvl>
    <w:lvl w:ilvl="2">
      <w:start w:val="1"/>
      <w:numFmt w:val="decimal"/>
      <w:pStyle w:val="30"/>
      <w:lvlText w:val="%1.%2.%3"/>
      <w:lvlJc w:val="left"/>
      <w:pPr>
        <w:ind w:left="720" w:hanging="720"/>
      </w:pPr>
      <w:rPr>
        <w:specVanish w:val="0"/>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280EBE22"/>
    <w:multiLevelType w:val="singleLevel"/>
    <w:tmpl w:val="280EBE22"/>
    <w:lvl w:ilvl="0">
      <w:start w:val="1"/>
      <w:numFmt w:val="decimal"/>
      <w:lvlText w:val="%1)"/>
      <w:lvlJc w:val="left"/>
      <w:pPr>
        <w:ind w:left="425" w:hanging="425"/>
      </w:pPr>
      <w:rPr>
        <w:rFonts w:hint="default"/>
        <w:color w:val="auto"/>
      </w:rPr>
    </w:lvl>
  </w:abstractNum>
  <w:abstractNum w:abstractNumId="32" w15:restartNumberingAfterBreak="0">
    <w:nsid w:val="29C35D92"/>
    <w:multiLevelType w:val="hybridMultilevel"/>
    <w:tmpl w:val="EB826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AC179F7"/>
    <w:multiLevelType w:val="hybridMultilevel"/>
    <w:tmpl w:val="EC028AFA"/>
    <w:lvl w:ilvl="0" w:tplc="FFFFFFFF">
      <w:start w:val="1"/>
      <w:numFmt w:val="decimal"/>
      <w:pStyle w:val="NumberedList"/>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D717143"/>
    <w:multiLevelType w:val="hybridMultilevel"/>
    <w:tmpl w:val="EFA41504"/>
    <w:lvl w:ilvl="0" w:tplc="EEFCDDE6">
      <w:start w:val="1"/>
      <w:numFmt w:val="bullet"/>
      <w:lvlText w:val=""/>
      <w:lvlJc w:val="left"/>
      <w:pPr>
        <w:ind w:left="420" w:hanging="420"/>
      </w:pPr>
      <w:rPr>
        <w:rFonts w:ascii="Symbol" w:hAnsi="Symbol" w:hint="default"/>
        <w:sz w:val="24"/>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5" w15:restartNumberingAfterBreak="0">
    <w:nsid w:val="31B35E6F"/>
    <w:multiLevelType w:val="hybridMultilevel"/>
    <w:tmpl w:val="927E9464"/>
    <w:lvl w:ilvl="0" w:tplc="22744070">
      <w:start w:val="7"/>
      <w:numFmt w:val="bullet"/>
      <w:lvlText w:val="-"/>
      <w:lvlJc w:val="left"/>
      <w:pPr>
        <w:ind w:left="720" w:hanging="360"/>
      </w:pPr>
      <w:rPr>
        <w:rFonts w:ascii="Times New Roman" w:eastAsia="宋体"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2B16826"/>
    <w:multiLevelType w:val="multilevel"/>
    <w:tmpl w:val="0409001D"/>
    <w:styleLink w:val="List-Bulleted"/>
    <w:lvl w:ilvl="0">
      <w:start w:val="1"/>
      <w:numFmt w:val="bullet"/>
      <w:lvlText w:val=""/>
      <w:lvlJc w:val="left"/>
      <w:pPr>
        <w:tabs>
          <w:tab w:val="num" w:pos="360"/>
        </w:tabs>
        <w:ind w:left="108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33EA5948"/>
    <w:multiLevelType w:val="hybridMultilevel"/>
    <w:tmpl w:val="4F364D26"/>
    <w:lvl w:ilvl="0" w:tplc="573C0F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4BF4D16"/>
    <w:multiLevelType w:val="multilevel"/>
    <w:tmpl w:val="34BF4D16"/>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9" w15:restartNumberingAfterBreak="0">
    <w:nsid w:val="34D2269D"/>
    <w:multiLevelType w:val="multilevel"/>
    <w:tmpl w:val="34D2269D"/>
    <w:lvl w:ilvl="0">
      <w:start w:val="1"/>
      <w:numFmt w:val="decimal"/>
      <w:lvlText w:val="%1."/>
      <w:lvlJc w:val="left"/>
      <w:pPr>
        <w:ind w:left="420" w:hanging="420"/>
      </w:pPr>
      <w:rPr>
        <w:rFonts w:hint="eastAsia"/>
      </w:rPr>
    </w:lvl>
    <w:lvl w:ilvl="1">
      <w:start w:val="2"/>
      <w:numFmt w:val="decimal"/>
      <w:isLgl/>
      <w:lvlText w:val="%1.%2"/>
      <w:lvlJc w:val="left"/>
      <w:pPr>
        <w:ind w:left="360" w:hanging="360"/>
      </w:pPr>
      <w:rPr>
        <w:rFonts w:hint="default"/>
      </w:rPr>
    </w:lvl>
    <w:lvl w:ilvl="2">
      <w:start w:val="1"/>
      <w:numFmt w:val="decimal"/>
      <w:pStyle w:val="GPRC5D3"/>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0" w15:restartNumberingAfterBreak="0">
    <w:nsid w:val="34F015A0"/>
    <w:multiLevelType w:val="hybridMultilevel"/>
    <w:tmpl w:val="48E86310"/>
    <w:lvl w:ilvl="0" w:tplc="CE321198">
      <w:start w:val="1"/>
      <w:numFmt w:val="bullet"/>
      <w:pStyle w:val="Dash2"/>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35067874"/>
    <w:multiLevelType w:val="multilevel"/>
    <w:tmpl w:val="3506787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2" w15:restartNumberingAfterBreak="0">
    <w:nsid w:val="38AB2C69"/>
    <w:multiLevelType w:val="multilevel"/>
    <w:tmpl w:val="38AB2C69"/>
    <w:lvl w:ilvl="0">
      <w:start w:val="13"/>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3" w15:restartNumberingAfterBreak="0">
    <w:nsid w:val="39036E39"/>
    <w:multiLevelType w:val="multilevel"/>
    <w:tmpl w:val="39036E39"/>
    <w:lvl w:ilvl="0">
      <w:start w:val="1"/>
      <w:numFmt w:val="decimal"/>
      <w:pStyle w:val="10"/>
      <w:isLgl/>
      <w:suff w:val="nothing"/>
      <w:lvlText w:val="%1　"/>
      <w:lvlJc w:val="left"/>
      <w:pPr>
        <w:ind w:left="686" w:hanging="403"/>
      </w:pPr>
      <w:rPr>
        <w:rFonts w:ascii="Times New Roman" w:hAnsi="Times New Roman" w:cs="Times New Roman" w:hint="default"/>
        <w:b/>
        <w:bCs/>
        <w:i w:val="0"/>
        <w:iCs w:val="0"/>
        <w:sz w:val="28"/>
        <w:szCs w:val="28"/>
      </w:rPr>
    </w:lvl>
    <w:lvl w:ilvl="1">
      <w:start w:val="1"/>
      <w:numFmt w:val="decimal"/>
      <w:pStyle w:val="21"/>
      <w:suff w:val="nothing"/>
      <w:lvlText w:val="%1.%2　"/>
      <w:lvlJc w:val="left"/>
      <w:pPr>
        <w:ind w:left="500" w:hanging="500"/>
      </w:pPr>
      <w:rPr>
        <w:rFonts w:ascii="Times New Roman" w:hAnsi="Times New Roman" w:cs="Times New Roman" w:hint="default"/>
        <w:b/>
        <w:bCs/>
        <w:i w:val="0"/>
        <w:iCs w:val="0"/>
        <w:sz w:val="24"/>
        <w:szCs w:val="24"/>
      </w:rPr>
    </w:lvl>
    <w:lvl w:ilvl="2">
      <w:start w:val="1"/>
      <w:numFmt w:val="decimal"/>
      <w:pStyle w:val="31"/>
      <w:suff w:val="nothing"/>
      <w:lvlText w:val="%1.%2.%3　"/>
      <w:lvlJc w:val="left"/>
      <w:pPr>
        <w:ind w:left="800" w:hanging="800"/>
      </w:pPr>
      <w:rPr>
        <w:rFonts w:ascii="Times New Roman" w:hAnsi="Times New Roman" w:cs="Times New Roman" w:hint="default"/>
        <w:b/>
        <w:bCs/>
        <w:i w:val="0"/>
        <w:iCs w:val="0"/>
        <w:sz w:val="24"/>
        <w:szCs w:val="24"/>
      </w:rPr>
    </w:lvl>
    <w:lvl w:ilvl="3">
      <w:start w:val="1"/>
      <w:numFmt w:val="decimal"/>
      <w:lvlText w:val="%1.%2.%3.%4"/>
      <w:lvlJc w:val="left"/>
      <w:pPr>
        <w:ind w:left="1133" w:hanging="708"/>
      </w:pPr>
      <w:rPr>
        <w:rFonts w:hint="default"/>
      </w:rPr>
    </w:lvl>
    <w:lvl w:ilvl="4">
      <w:start w:val="1"/>
      <w:numFmt w:val="decimal"/>
      <w:lvlText w:val="%1.%2.%3.%4.%5"/>
      <w:lvlJc w:val="left"/>
      <w:pPr>
        <w:ind w:left="1700" w:hanging="850"/>
      </w:pPr>
      <w:rPr>
        <w:rFonts w:hint="default"/>
      </w:rPr>
    </w:lvl>
    <w:lvl w:ilvl="5">
      <w:start w:val="1"/>
      <w:numFmt w:val="decimal"/>
      <w:lvlText w:val="%1.%2.%3.%4.%5.%6"/>
      <w:lvlJc w:val="left"/>
      <w:pPr>
        <w:ind w:left="2409" w:hanging="1134"/>
      </w:pPr>
      <w:rPr>
        <w:rFonts w:hint="default"/>
      </w:rPr>
    </w:lvl>
    <w:lvl w:ilvl="6">
      <w:start w:val="1"/>
      <w:numFmt w:val="decimal"/>
      <w:lvlText w:val="%1.%2.%3.%4.%5.%6.%7"/>
      <w:lvlJc w:val="left"/>
      <w:pPr>
        <w:ind w:left="2976" w:hanging="1276"/>
      </w:pPr>
      <w:rPr>
        <w:rFonts w:hint="default"/>
      </w:rPr>
    </w:lvl>
    <w:lvl w:ilvl="7">
      <w:start w:val="1"/>
      <w:numFmt w:val="decimal"/>
      <w:lvlText w:val="%1.%2.%3.%4.%5.%6.%7.%8"/>
      <w:lvlJc w:val="left"/>
      <w:pPr>
        <w:ind w:left="3543" w:hanging="1418"/>
      </w:pPr>
      <w:rPr>
        <w:rFonts w:hint="default"/>
      </w:rPr>
    </w:lvl>
    <w:lvl w:ilvl="8">
      <w:start w:val="1"/>
      <w:numFmt w:val="decimal"/>
      <w:lvlText w:val="%1.%2.%3.%4.%5.%6.%7.%8.%9"/>
      <w:lvlJc w:val="left"/>
      <w:pPr>
        <w:ind w:left="4251" w:hanging="1700"/>
      </w:pPr>
      <w:rPr>
        <w:rFonts w:hint="default"/>
      </w:rPr>
    </w:lvl>
  </w:abstractNum>
  <w:abstractNum w:abstractNumId="44" w15:restartNumberingAfterBreak="0">
    <w:nsid w:val="3C9432B2"/>
    <w:multiLevelType w:val="multilevel"/>
    <w:tmpl w:val="3C9432B2"/>
    <w:lvl w:ilvl="0">
      <w:start w:val="7"/>
      <w:numFmt w:val="decimal"/>
      <w:lvlText w:val="%1"/>
      <w:lvlJc w:val="left"/>
      <w:pPr>
        <w:ind w:left="360" w:hanging="360"/>
      </w:pPr>
      <w:rPr>
        <w:rFonts w:hint="default"/>
      </w:rPr>
    </w:lvl>
    <w:lvl w:ilvl="1">
      <w:start w:val="1"/>
      <w:numFmt w:val="decimal"/>
      <w:lvlText w:val="6.%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45" w15:restartNumberingAfterBreak="0">
    <w:nsid w:val="3ECE2B8F"/>
    <w:multiLevelType w:val="hybridMultilevel"/>
    <w:tmpl w:val="1C041594"/>
    <w:lvl w:ilvl="0" w:tplc="3912F460">
      <w:start w:val="1"/>
      <w:numFmt w:val="bullet"/>
      <w:pStyle w:val="Bullet2"/>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FEE3D6A"/>
    <w:multiLevelType w:val="hybridMultilevel"/>
    <w:tmpl w:val="B6B0F77C"/>
    <w:lvl w:ilvl="0" w:tplc="48EAB75A">
      <w:start w:val="1"/>
      <w:numFmt w:val="decimal"/>
      <w:lvlRestart w:val="0"/>
      <w:pStyle w:val="ListNumbered"/>
      <w:lvlText w:val="%1."/>
      <w:lvlJc w:val="left"/>
      <w:pPr>
        <w:tabs>
          <w:tab w:val="num" w:pos="648"/>
        </w:tabs>
        <w:ind w:left="648" w:hanging="360"/>
      </w:pPr>
      <w:rPr>
        <w:rFonts w:hint="default"/>
      </w:rPr>
    </w:lvl>
    <w:lvl w:ilvl="1" w:tplc="40090019">
      <w:start w:val="1"/>
      <w:numFmt w:val="lowerLetter"/>
      <w:lvlText w:val="%2."/>
      <w:lvlJc w:val="left"/>
      <w:pPr>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426850EF"/>
    <w:multiLevelType w:val="multilevel"/>
    <w:tmpl w:val="426850EF"/>
    <w:lvl w:ilvl="0">
      <w:start w:val="1"/>
      <w:numFmt w:val="decimal"/>
      <w:lvlText w:val="（%1）"/>
      <w:lvlJc w:val="left"/>
      <w:pPr>
        <w:ind w:left="1142" w:hanging="720"/>
      </w:pPr>
      <w:rPr>
        <w:rFonts w:hint="default"/>
      </w:rPr>
    </w:lvl>
    <w:lvl w:ilvl="1">
      <w:start w:val="1"/>
      <w:numFmt w:val="lowerLetter"/>
      <w:lvlText w:val="%2)"/>
      <w:lvlJc w:val="left"/>
      <w:pPr>
        <w:ind w:left="1262" w:hanging="420"/>
      </w:pPr>
    </w:lvl>
    <w:lvl w:ilvl="2">
      <w:start w:val="1"/>
      <w:numFmt w:val="lowerRoman"/>
      <w:lvlText w:val="%3."/>
      <w:lvlJc w:val="right"/>
      <w:pPr>
        <w:ind w:left="1682" w:hanging="420"/>
      </w:pPr>
    </w:lvl>
    <w:lvl w:ilvl="3">
      <w:start w:val="1"/>
      <w:numFmt w:val="decimal"/>
      <w:lvlText w:val="%4."/>
      <w:lvlJc w:val="left"/>
      <w:pPr>
        <w:ind w:left="2102" w:hanging="420"/>
      </w:pPr>
    </w:lvl>
    <w:lvl w:ilvl="4">
      <w:start w:val="1"/>
      <w:numFmt w:val="lowerLetter"/>
      <w:lvlText w:val="%5)"/>
      <w:lvlJc w:val="left"/>
      <w:pPr>
        <w:ind w:left="2522" w:hanging="420"/>
      </w:pPr>
    </w:lvl>
    <w:lvl w:ilvl="5">
      <w:start w:val="1"/>
      <w:numFmt w:val="lowerRoman"/>
      <w:lvlText w:val="%6."/>
      <w:lvlJc w:val="right"/>
      <w:pPr>
        <w:ind w:left="2942" w:hanging="420"/>
      </w:pPr>
    </w:lvl>
    <w:lvl w:ilvl="6">
      <w:start w:val="1"/>
      <w:numFmt w:val="decimal"/>
      <w:lvlText w:val="%7."/>
      <w:lvlJc w:val="left"/>
      <w:pPr>
        <w:ind w:left="3362" w:hanging="420"/>
      </w:pPr>
    </w:lvl>
    <w:lvl w:ilvl="7">
      <w:start w:val="1"/>
      <w:numFmt w:val="lowerLetter"/>
      <w:lvlText w:val="%8)"/>
      <w:lvlJc w:val="left"/>
      <w:pPr>
        <w:ind w:left="3782" w:hanging="420"/>
      </w:pPr>
    </w:lvl>
    <w:lvl w:ilvl="8">
      <w:start w:val="1"/>
      <w:numFmt w:val="lowerRoman"/>
      <w:lvlText w:val="%9."/>
      <w:lvlJc w:val="right"/>
      <w:pPr>
        <w:ind w:left="4202" w:hanging="420"/>
      </w:pPr>
    </w:lvl>
  </w:abstractNum>
  <w:abstractNum w:abstractNumId="48" w15:restartNumberingAfterBreak="0">
    <w:nsid w:val="441C17D6"/>
    <w:multiLevelType w:val="multilevel"/>
    <w:tmpl w:val="441C17D6"/>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9" w15:restartNumberingAfterBreak="0">
    <w:nsid w:val="443E4A93"/>
    <w:multiLevelType w:val="multilevel"/>
    <w:tmpl w:val="753D7DDD"/>
    <w:lvl w:ilvl="0">
      <w:start w:val="2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0" w15:restartNumberingAfterBreak="0">
    <w:nsid w:val="46626863"/>
    <w:multiLevelType w:val="hybridMultilevel"/>
    <w:tmpl w:val="E998E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6F201CC"/>
    <w:multiLevelType w:val="multilevel"/>
    <w:tmpl w:val="F92E1DBE"/>
    <w:styleLink w:val="CurrentList2"/>
    <w:lvl w:ilvl="0">
      <w:start w:val="1"/>
      <w:numFmt w:val="none"/>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4C1341A2"/>
    <w:multiLevelType w:val="hybridMultilevel"/>
    <w:tmpl w:val="6B88C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D1740B8"/>
    <w:multiLevelType w:val="multilevel"/>
    <w:tmpl w:val="4D1740B8"/>
    <w:lvl w:ilvl="0">
      <w:start w:val="6"/>
      <w:numFmt w:val="decimal"/>
      <w:lvlText w:val="%1"/>
      <w:lvlJc w:val="left"/>
      <w:pPr>
        <w:ind w:left="360" w:hanging="360"/>
      </w:pPr>
      <w:rPr>
        <w:rFonts w:hint="default"/>
      </w:rPr>
    </w:lvl>
    <w:lvl w:ilvl="1">
      <w:start w:val="9"/>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4" w15:restartNumberingAfterBreak="0">
    <w:nsid w:val="4E6B1963"/>
    <w:multiLevelType w:val="multilevel"/>
    <w:tmpl w:val="4E6B1963"/>
    <w:lvl w:ilvl="0">
      <w:start w:val="4"/>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5" w15:restartNumberingAfterBreak="0">
    <w:nsid w:val="50B61996"/>
    <w:multiLevelType w:val="hybridMultilevel"/>
    <w:tmpl w:val="99F6D98C"/>
    <w:lvl w:ilvl="0" w:tplc="83281F8E">
      <w:start w:val="1"/>
      <w:numFmt w:val="bullet"/>
      <w:lvlText w:val=""/>
      <w:lvlJc w:val="left"/>
      <w:pPr>
        <w:ind w:left="720" w:hanging="360"/>
      </w:pPr>
      <w:rPr>
        <w:rFonts w:ascii="Symbol" w:hAnsi="Symbol" w:hint="default"/>
        <w:sz w:val="22"/>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1376F0D"/>
    <w:multiLevelType w:val="hybridMultilevel"/>
    <w:tmpl w:val="981E2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2D62C0E"/>
    <w:multiLevelType w:val="multilevel"/>
    <w:tmpl w:val="52D62C0E"/>
    <w:lvl w:ilvl="0">
      <w:start w:val="1"/>
      <w:numFmt w:val="decimal"/>
      <w:lvlText w:val="（%1）"/>
      <w:lvlJc w:val="left"/>
      <w:pPr>
        <w:ind w:left="420" w:hanging="420"/>
      </w:pPr>
      <w:rPr>
        <w:rFonts w:ascii="Times New Roman" w:hAnsi="Times New Roman" w:cs="Times New Roman" w:hint="default"/>
        <w:lang w:val="en-US"/>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58" w15:restartNumberingAfterBreak="0">
    <w:nsid w:val="545766A1"/>
    <w:multiLevelType w:val="multilevel"/>
    <w:tmpl w:val="545766A1"/>
    <w:lvl w:ilvl="0">
      <w:start w:val="1"/>
      <w:numFmt w:val="bullet"/>
      <w:lvlText w:val=""/>
      <w:lvlJc w:val="left"/>
      <w:pPr>
        <w:ind w:left="828" w:hanging="420"/>
      </w:pPr>
      <w:rPr>
        <w:rFonts w:ascii="Wingdings" w:hAnsi="Wingdings" w:hint="default"/>
      </w:rPr>
    </w:lvl>
    <w:lvl w:ilvl="1">
      <w:start w:val="1"/>
      <w:numFmt w:val="bullet"/>
      <w:lvlText w:val=""/>
      <w:lvlJc w:val="left"/>
      <w:pPr>
        <w:ind w:left="1248" w:hanging="420"/>
      </w:pPr>
      <w:rPr>
        <w:rFonts w:ascii="Wingdings" w:hAnsi="Wingdings" w:hint="default"/>
      </w:rPr>
    </w:lvl>
    <w:lvl w:ilvl="2">
      <w:start w:val="1"/>
      <w:numFmt w:val="bullet"/>
      <w:lvlText w:val=""/>
      <w:lvlJc w:val="left"/>
      <w:pPr>
        <w:ind w:left="1668" w:hanging="420"/>
      </w:pPr>
      <w:rPr>
        <w:rFonts w:ascii="Wingdings" w:hAnsi="Wingdings" w:hint="default"/>
      </w:rPr>
    </w:lvl>
    <w:lvl w:ilvl="3">
      <w:start w:val="1"/>
      <w:numFmt w:val="bullet"/>
      <w:lvlText w:val=""/>
      <w:lvlJc w:val="left"/>
      <w:pPr>
        <w:ind w:left="2088" w:hanging="420"/>
      </w:pPr>
      <w:rPr>
        <w:rFonts w:ascii="Wingdings" w:hAnsi="Wingdings" w:hint="default"/>
      </w:rPr>
    </w:lvl>
    <w:lvl w:ilvl="4">
      <w:start w:val="1"/>
      <w:numFmt w:val="bullet"/>
      <w:lvlText w:val=""/>
      <w:lvlJc w:val="left"/>
      <w:pPr>
        <w:ind w:left="2508" w:hanging="420"/>
      </w:pPr>
      <w:rPr>
        <w:rFonts w:ascii="Wingdings" w:hAnsi="Wingdings" w:hint="default"/>
      </w:rPr>
    </w:lvl>
    <w:lvl w:ilvl="5">
      <w:start w:val="1"/>
      <w:numFmt w:val="bullet"/>
      <w:lvlText w:val=""/>
      <w:lvlJc w:val="left"/>
      <w:pPr>
        <w:ind w:left="2928" w:hanging="420"/>
      </w:pPr>
      <w:rPr>
        <w:rFonts w:ascii="Wingdings" w:hAnsi="Wingdings" w:hint="default"/>
      </w:rPr>
    </w:lvl>
    <w:lvl w:ilvl="6">
      <w:start w:val="1"/>
      <w:numFmt w:val="bullet"/>
      <w:lvlText w:val=""/>
      <w:lvlJc w:val="left"/>
      <w:pPr>
        <w:ind w:left="3348" w:hanging="420"/>
      </w:pPr>
      <w:rPr>
        <w:rFonts w:ascii="Wingdings" w:hAnsi="Wingdings" w:hint="default"/>
      </w:rPr>
    </w:lvl>
    <w:lvl w:ilvl="7">
      <w:start w:val="1"/>
      <w:numFmt w:val="bullet"/>
      <w:lvlText w:val=""/>
      <w:lvlJc w:val="left"/>
      <w:pPr>
        <w:ind w:left="3768" w:hanging="420"/>
      </w:pPr>
      <w:rPr>
        <w:rFonts w:ascii="Wingdings" w:hAnsi="Wingdings" w:hint="default"/>
      </w:rPr>
    </w:lvl>
    <w:lvl w:ilvl="8">
      <w:start w:val="1"/>
      <w:numFmt w:val="bullet"/>
      <w:lvlText w:val=""/>
      <w:lvlJc w:val="left"/>
      <w:pPr>
        <w:ind w:left="4188" w:hanging="420"/>
      </w:pPr>
      <w:rPr>
        <w:rFonts w:ascii="Wingdings" w:hAnsi="Wingdings" w:hint="default"/>
      </w:rPr>
    </w:lvl>
  </w:abstractNum>
  <w:abstractNum w:abstractNumId="59" w15:restartNumberingAfterBreak="0">
    <w:nsid w:val="55795A81"/>
    <w:multiLevelType w:val="hybridMultilevel"/>
    <w:tmpl w:val="B82CF344"/>
    <w:lvl w:ilvl="0" w:tplc="B6DA658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562B7FC7"/>
    <w:multiLevelType w:val="multilevel"/>
    <w:tmpl w:val="562B7FC7"/>
    <w:lvl w:ilvl="0">
      <w:numFmt w:val="bullet"/>
      <w:lvlText w:val="•"/>
      <w:lvlJc w:val="left"/>
      <w:pPr>
        <w:ind w:left="420" w:hanging="420"/>
      </w:pPr>
      <w:rPr>
        <w:rFonts w:ascii="Times New Roman" w:eastAsia="Times New Roman" w:hAnsi="Times New Roman"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1" w15:restartNumberingAfterBreak="0">
    <w:nsid w:val="56AD7EB0"/>
    <w:multiLevelType w:val="multilevel"/>
    <w:tmpl w:val="37AC5188"/>
    <w:lvl w:ilvl="0">
      <w:start w:val="1"/>
      <w:numFmt w:val="decimal"/>
      <w:lvlText w:val="%1."/>
      <w:lvlJc w:val="left"/>
      <w:pPr>
        <w:ind w:left="900" w:hanging="420"/>
      </w:pPr>
      <w:rPr>
        <w:rFonts w:ascii="Times New Roman" w:eastAsia="宋体" w:hAnsi="Times New Roman" w:cs="Times New Roman"/>
        <w:color w:val="auto"/>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62" w15:restartNumberingAfterBreak="0">
    <w:nsid w:val="57337734"/>
    <w:multiLevelType w:val="hybridMultilevel"/>
    <w:tmpl w:val="12606DD0"/>
    <w:lvl w:ilvl="0" w:tplc="658E4D4E">
      <w:start w:val="1"/>
      <w:numFmt w:val="bullet"/>
      <w:pStyle w:val="Bullet1"/>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7D830BD"/>
    <w:multiLevelType w:val="multilevel"/>
    <w:tmpl w:val="57D830BD"/>
    <w:lvl w:ilvl="0">
      <w:start w:val="1"/>
      <w:numFmt w:val="decimal"/>
      <w:pStyle w:val="Head6"/>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58CD7646"/>
    <w:multiLevelType w:val="multilevel"/>
    <w:tmpl w:val="1F149EBA"/>
    <w:lvl w:ilvl="0">
      <w:start w:val="1"/>
      <w:numFmt w:val="decimal"/>
      <w:lvlText w:val="%1."/>
      <w:lvlJc w:val="left"/>
      <w:pPr>
        <w:ind w:left="900" w:hanging="420"/>
      </w:pPr>
      <w:rPr>
        <w:rFonts w:ascii="Times New Roman" w:eastAsia="宋体" w:hAnsi="Times New Roman" w:cs="Times New Roman"/>
        <w:color w:val="auto"/>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65" w15:restartNumberingAfterBreak="0">
    <w:nsid w:val="59997DB1"/>
    <w:multiLevelType w:val="multilevel"/>
    <w:tmpl w:val="746CC9DA"/>
    <w:lvl w:ilvl="0">
      <w:start w:val="1"/>
      <w:numFmt w:val="lowerLetter"/>
      <w:lvlText w:val="%1."/>
      <w:lvlJc w:val="left"/>
      <w:pPr>
        <w:tabs>
          <w:tab w:val="num" w:pos="720"/>
        </w:tabs>
        <w:ind w:left="720" w:hanging="360"/>
      </w:pPr>
    </w:lvl>
    <w:lvl w:ilvl="1">
      <w:numFmt w:val="lowerLetter"/>
      <w:lvlText w:val="%2."/>
      <w:lvlJc w:val="left"/>
      <w:pPr>
        <w:tabs>
          <w:tab w:val="num" w:pos="1440"/>
        </w:tabs>
        <w:ind w:left="1440" w:hanging="360"/>
      </w:pPr>
    </w:lvl>
    <w:lvl w:ilvl="2">
      <w:numFmt w:val="lowerLetter"/>
      <w:lvlText w:val="%3."/>
      <w:lvlJc w:val="left"/>
      <w:pPr>
        <w:tabs>
          <w:tab w:val="num" w:pos="2160"/>
        </w:tabs>
        <w:ind w:left="2160" w:hanging="360"/>
      </w:pPr>
    </w:lvl>
    <w:lvl w:ilvl="3">
      <w:numFmt w:val="lowerLetter"/>
      <w:lvlText w:val="%4."/>
      <w:lvlJc w:val="left"/>
      <w:pPr>
        <w:tabs>
          <w:tab w:val="num" w:pos="2880"/>
        </w:tabs>
        <w:ind w:left="2880" w:hanging="360"/>
      </w:pPr>
    </w:lvl>
    <w:lvl w:ilvl="4">
      <w:numFmt w:val="lowerLetter"/>
      <w:lvlText w:val="%5."/>
      <w:lvlJc w:val="left"/>
      <w:pPr>
        <w:tabs>
          <w:tab w:val="num" w:pos="3600"/>
        </w:tabs>
        <w:ind w:left="3600" w:hanging="360"/>
      </w:pPr>
    </w:lvl>
    <w:lvl w:ilvl="5">
      <w:numFmt w:val="lowerLetter"/>
      <w:lvlText w:val="%6."/>
      <w:lvlJc w:val="left"/>
      <w:pPr>
        <w:tabs>
          <w:tab w:val="num" w:pos="4320"/>
        </w:tabs>
        <w:ind w:left="4320" w:hanging="360"/>
      </w:pPr>
    </w:lvl>
    <w:lvl w:ilvl="6">
      <w:numFmt w:val="lowerLetter"/>
      <w:lvlText w:val="%7."/>
      <w:lvlJc w:val="left"/>
      <w:pPr>
        <w:tabs>
          <w:tab w:val="num" w:pos="5040"/>
        </w:tabs>
        <w:ind w:left="5040" w:hanging="360"/>
      </w:pPr>
    </w:lvl>
    <w:lvl w:ilvl="7">
      <w:numFmt w:val="lowerLetter"/>
      <w:lvlText w:val="%8."/>
      <w:lvlJc w:val="left"/>
      <w:pPr>
        <w:tabs>
          <w:tab w:val="num" w:pos="5760"/>
        </w:tabs>
        <w:ind w:left="5760" w:hanging="360"/>
      </w:pPr>
    </w:lvl>
    <w:lvl w:ilvl="8">
      <w:numFmt w:val="lowerLetter"/>
      <w:lvlText w:val="%9."/>
      <w:lvlJc w:val="left"/>
      <w:pPr>
        <w:tabs>
          <w:tab w:val="num" w:pos="6480"/>
        </w:tabs>
        <w:ind w:left="6480" w:hanging="360"/>
      </w:pPr>
    </w:lvl>
  </w:abstractNum>
  <w:abstractNum w:abstractNumId="66" w15:restartNumberingAfterBreak="0">
    <w:nsid w:val="59E90747"/>
    <w:multiLevelType w:val="multilevel"/>
    <w:tmpl w:val="C2BACABE"/>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Symbol" w:hAnsi="Symbol" w:hint="default"/>
        <w:sz w:val="20"/>
      </w:rPr>
    </w:lvl>
    <w:lvl w:ilvl="3">
      <w:numFmt w:val="bullet"/>
      <w:lvlText w:val=""/>
      <w:lvlJc w:val="left"/>
      <w:pPr>
        <w:tabs>
          <w:tab w:val="num" w:pos="2880"/>
        </w:tabs>
        <w:ind w:left="2880" w:hanging="360"/>
      </w:pPr>
      <w:rPr>
        <w:rFonts w:ascii="Symbol" w:hAnsi="Symbol" w:hint="default"/>
        <w:sz w:val="20"/>
      </w:rPr>
    </w:lvl>
    <w:lvl w:ilvl="4">
      <w:numFmt w:val="bullet"/>
      <w:lvlText w:val=""/>
      <w:lvlJc w:val="left"/>
      <w:pPr>
        <w:tabs>
          <w:tab w:val="num" w:pos="3600"/>
        </w:tabs>
        <w:ind w:left="3600" w:hanging="360"/>
      </w:pPr>
      <w:rPr>
        <w:rFonts w:ascii="Symbol" w:hAnsi="Symbol" w:hint="default"/>
        <w:sz w:val="20"/>
      </w:rPr>
    </w:lvl>
    <w:lvl w:ilvl="5">
      <w:numFmt w:val="bullet"/>
      <w:lvlText w:val=""/>
      <w:lvlJc w:val="left"/>
      <w:pPr>
        <w:tabs>
          <w:tab w:val="num" w:pos="4320"/>
        </w:tabs>
        <w:ind w:left="4320" w:hanging="360"/>
      </w:pPr>
      <w:rPr>
        <w:rFonts w:ascii="Symbol" w:hAnsi="Symbol" w:hint="default"/>
        <w:sz w:val="20"/>
      </w:rPr>
    </w:lvl>
    <w:lvl w:ilvl="6">
      <w:numFmt w:val="bullet"/>
      <w:lvlText w:val=""/>
      <w:lvlJc w:val="left"/>
      <w:pPr>
        <w:tabs>
          <w:tab w:val="num" w:pos="5040"/>
        </w:tabs>
        <w:ind w:left="5040" w:hanging="360"/>
      </w:pPr>
      <w:rPr>
        <w:rFonts w:ascii="Symbol" w:hAnsi="Symbol" w:hint="default"/>
        <w:sz w:val="20"/>
      </w:rPr>
    </w:lvl>
    <w:lvl w:ilvl="7">
      <w:numFmt w:val="bullet"/>
      <w:lvlText w:val=""/>
      <w:lvlJc w:val="left"/>
      <w:pPr>
        <w:tabs>
          <w:tab w:val="num" w:pos="5760"/>
        </w:tabs>
        <w:ind w:left="5760" w:hanging="360"/>
      </w:pPr>
      <w:rPr>
        <w:rFonts w:ascii="Symbol" w:hAnsi="Symbol" w:hint="default"/>
        <w:sz w:val="20"/>
      </w:rPr>
    </w:lvl>
    <w:lvl w:ilvl="8">
      <w:numFmt w:val="bullet"/>
      <w:lvlText w:val=""/>
      <w:lvlJc w:val="left"/>
      <w:pPr>
        <w:tabs>
          <w:tab w:val="num" w:pos="6480"/>
        </w:tabs>
        <w:ind w:left="6480" w:hanging="360"/>
      </w:pPr>
      <w:rPr>
        <w:rFonts w:ascii="Symbol" w:hAnsi="Symbol" w:hint="default"/>
        <w:sz w:val="20"/>
      </w:rPr>
    </w:lvl>
  </w:abstractNum>
  <w:abstractNum w:abstractNumId="67" w15:restartNumberingAfterBreak="0">
    <w:nsid w:val="5DA55CB6"/>
    <w:multiLevelType w:val="multilevel"/>
    <w:tmpl w:val="5DA55CB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8" w15:restartNumberingAfterBreak="0">
    <w:nsid w:val="5DCA56F3"/>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5F045E45"/>
    <w:multiLevelType w:val="hybridMultilevel"/>
    <w:tmpl w:val="2DDA7F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0" w15:restartNumberingAfterBreak="0">
    <w:nsid w:val="63340165"/>
    <w:multiLevelType w:val="multilevel"/>
    <w:tmpl w:val="753D7DDD"/>
    <w:lvl w:ilvl="0">
      <w:start w:val="2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1" w15:restartNumberingAfterBreak="0">
    <w:nsid w:val="661B626A"/>
    <w:multiLevelType w:val="multilevel"/>
    <w:tmpl w:val="661B626A"/>
    <w:lvl w:ilvl="0">
      <w:start w:val="1"/>
      <w:numFmt w:val="decimal"/>
      <w:lvlText w:val="%1."/>
      <w:lvlJc w:val="left"/>
      <w:pPr>
        <w:ind w:left="396" w:hanging="396"/>
      </w:pPr>
      <w:rPr>
        <w:rFonts w:hint="default"/>
      </w:rPr>
    </w:lvl>
    <w:lvl w:ilvl="1">
      <w:start w:val="1"/>
      <w:numFmt w:val="decimal"/>
      <w:isLgl/>
      <w:lvlText w:val="%1.%2"/>
      <w:lvlJc w:val="left"/>
      <w:pPr>
        <w:ind w:left="756" w:hanging="360"/>
      </w:pPr>
      <w:rPr>
        <w:rFonts w:hint="default"/>
      </w:rPr>
    </w:lvl>
    <w:lvl w:ilvl="2">
      <w:start w:val="1"/>
      <w:numFmt w:val="decimal"/>
      <w:isLgl/>
      <w:lvlText w:val="%1.%2.%3"/>
      <w:lvlJc w:val="left"/>
      <w:pPr>
        <w:ind w:left="1512" w:hanging="720"/>
      </w:pPr>
      <w:rPr>
        <w:rFonts w:hint="default"/>
      </w:rPr>
    </w:lvl>
    <w:lvl w:ilvl="3">
      <w:start w:val="1"/>
      <w:numFmt w:val="decimal"/>
      <w:isLgl/>
      <w:lvlText w:val="%1.%2.%3.%4"/>
      <w:lvlJc w:val="left"/>
      <w:pPr>
        <w:ind w:left="1908" w:hanging="720"/>
      </w:pPr>
      <w:rPr>
        <w:rFonts w:hint="default"/>
      </w:rPr>
    </w:lvl>
    <w:lvl w:ilvl="4">
      <w:start w:val="1"/>
      <w:numFmt w:val="decimal"/>
      <w:isLgl/>
      <w:lvlText w:val="%1.%2.%3.%4.%5"/>
      <w:lvlJc w:val="left"/>
      <w:pPr>
        <w:ind w:left="2664" w:hanging="1080"/>
      </w:pPr>
      <w:rPr>
        <w:rFonts w:hint="default"/>
      </w:rPr>
    </w:lvl>
    <w:lvl w:ilvl="5">
      <w:start w:val="1"/>
      <w:numFmt w:val="decimal"/>
      <w:isLgl/>
      <w:lvlText w:val="%1.%2.%3.%4.%5.%6"/>
      <w:lvlJc w:val="left"/>
      <w:pPr>
        <w:ind w:left="3060" w:hanging="1080"/>
      </w:pPr>
      <w:rPr>
        <w:rFonts w:hint="default"/>
      </w:rPr>
    </w:lvl>
    <w:lvl w:ilvl="6">
      <w:start w:val="1"/>
      <w:numFmt w:val="decimal"/>
      <w:isLgl/>
      <w:lvlText w:val="%1.%2.%3.%4.%5.%6.%7"/>
      <w:lvlJc w:val="left"/>
      <w:pPr>
        <w:ind w:left="3816" w:hanging="1440"/>
      </w:pPr>
      <w:rPr>
        <w:rFonts w:hint="default"/>
      </w:rPr>
    </w:lvl>
    <w:lvl w:ilvl="7">
      <w:start w:val="1"/>
      <w:numFmt w:val="decimal"/>
      <w:isLgl/>
      <w:lvlText w:val="%1.%2.%3.%4.%5.%6.%7.%8"/>
      <w:lvlJc w:val="left"/>
      <w:pPr>
        <w:ind w:left="4212" w:hanging="1440"/>
      </w:pPr>
      <w:rPr>
        <w:rFonts w:hint="default"/>
      </w:rPr>
    </w:lvl>
    <w:lvl w:ilvl="8">
      <w:start w:val="1"/>
      <w:numFmt w:val="decimal"/>
      <w:isLgl/>
      <w:lvlText w:val="%1.%2.%3.%4.%5.%6.%7.%8.%9"/>
      <w:lvlJc w:val="left"/>
      <w:pPr>
        <w:ind w:left="4608" w:hanging="1440"/>
      </w:pPr>
      <w:rPr>
        <w:rFonts w:hint="default"/>
      </w:rPr>
    </w:lvl>
  </w:abstractNum>
  <w:abstractNum w:abstractNumId="72" w15:restartNumberingAfterBreak="0">
    <w:nsid w:val="683622FC"/>
    <w:multiLevelType w:val="multilevel"/>
    <w:tmpl w:val="753D7DDD"/>
    <w:lvl w:ilvl="0">
      <w:start w:val="2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3" w15:restartNumberingAfterBreak="0">
    <w:nsid w:val="6A94733C"/>
    <w:multiLevelType w:val="multilevel"/>
    <w:tmpl w:val="6A94733C"/>
    <w:lvl w:ilvl="0">
      <w:start w:val="1"/>
      <w:numFmt w:val="decimal"/>
      <w:lvlText w:val="（%1）"/>
      <w:lvlJc w:val="left"/>
      <w:pPr>
        <w:ind w:left="704" w:hanging="420"/>
      </w:pPr>
      <w:rPr>
        <w:rFonts w:ascii="Times New Roman" w:hAnsi="Times New Roman" w:cs="Times New Roman"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4" w15:restartNumberingAfterBreak="0">
    <w:nsid w:val="6B0B5838"/>
    <w:multiLevelType w:val="hybridMultilevel"/>
    <w:tmpl w:val="5BDEF10E"/>
    <w:lvl w:ilvl="0" w:tplc="B6DA658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6B695ED9"/>
    <w:multiLevelType w:val="multilevel"/>
    <w:tmpl w:val="6B695ED9"/>
    <w:lvl w:ilvl="0">
      <w:start w:val="1"/>
      <w:numFmt w:val="decimal"/>
      <w:lvlText w:val="（%1）"/>
      <w:lvlJc w:val="left"/>
      <w:pPr>
        <w:ind w:left="420" w:hanging="420"/>
      </w:pPr>
      <w:rPr>
        <w:rFonts w:ascii="Times New Roman" w:hAnsi="Times New Roman" w:cs="Times New Roman" w:hint="default"/>
        <w:lang w:val="en-US"/>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76" w15:restartNumberingAfterBreak="0">
    <w:nsid w:val="6B9872FC"/>
    <w:multiLevelType w:val="multilevel"/>
    <w:tmpl w:val="1F149EBA"/>
    <w:lvl w:ilvl="0">
      <w:start w:val="1"/>
      <w:numFmt w:val="decimal"/>
      <w:lvlText w:val="%1."/>
      <w:lvlJc w:val="left"/>
      <w:pPr>
        <w:ind w:left="900" w:hanging="420"/>
      </w:pPr>
      <w:rPr>
        <w:rFonts w:ascii="Times New Roman" w:eastAsia="宋体" w:hAnsi="Times New Roman" w:cs="Times New Roman"/>
        <w:color w:val="auto"/>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77" w15:restartNumberingAfterBreak="0">
    <w:nsid w:val="6D2734B6"/>
    <w:multiLevelType w:val="multilevel"/>
    <w:tmpl w:val="6D2734B6"/>
    <w:lvl w:ilvl="0">
      <w:start w:val="1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FFE2935"/>
    <w:multiLevelType w:val="multilevel"/>
    <w:tmpl w:val="6FFE2935"/>
    <w:lvl w:ilvl="0">
      <w:start w:val="1"/>
      <w:numFmt w:val="decimal"/>
      <w:lvlText w:val="（%1）"/>
      <w:lvlJc w:val="left"/>
      <w:pPr>
        <w:ind w:left="420" w:hanging="420"/>
      </w:pPr>
      <w:rPr>
        <w:rFonts w:ascii="Times New Roman" w:hAnsi="Times New Roman" w:cs="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9" w15:restartNumberingAfterBreak="0">
    <w:nsid w:val="71F06215"/>
    <w:multiLevelType w:val="multilevel"/>
    <w:tmpl w:val="71F06215"/>
    <w:lvl w:ilvl="0">
      <w:start w:val="1"/>
      <w:numFmt w:val="bullet"/>
      <w:lvlText w:val=""/>
      <w:lvlJc w:val="left"/>
      <w:pPr>
        <w:ind w:left="1271" w:hanging="420"/>
      </w:pPr>
      <w:rPr>
        <w:rFonts w:ascii="Wingdings" w:hAnsi="Wingdings" w:hint="default"/>
      </w:rPr>
    </w:lvl>
    <w:lvl w:ilvl="1">
      <w:start w:val="1"/>
      <w:numFmt w:val="bullet"/>
      <w:lvlText w:val=""/>
      <w:lvlJc w:val="left"/>
      <w:pPr>
        <w:ind w:left="1691" w:hanging="420"/>
      </w:pPr>
      <w:rPr>
        <w:rFonts w:ascii="Wingdings" w:hAnsi="Wingdings" w:hint="default"/>
      </w:rPr>
    </w:lvl>
    <w:lvl w:ilvl="2">
      <w:start w:val="1"/>
      <w:numFmt w:val="bullet"/>
      <w:lvlText w:val=""/>
      <w:lvlJc w:val="left"/>
      <w:pPr>
        <w:ind w:left="2111" w:hanging="420"/>
      </w:pPr>
      <w:rPr>
        <w:rFonts w:ascii="Wingdings" w:hAnsi="Wingdings" w:hint="default"/>
      </w:rPr>
    </w:lvl>
    <w:lvl w:ilvl="3">
      <w:start w:val="1"/>
      <w:numFmt w:val="bullet"/>
      <w:lvlText w:val=""/>
      <w:lvlJc w:val="left"/>
      <w:pPr>
        <w:ind w:left="2531" w:hanging="420"/>
      </w:pPr>
      <w:rPr>
        <w:rFonts w:ascii="Wingdings" w:hAnsi="Wingdings" w:hint="default"/>
      </w:rPr>
    </w:lvl>
    <w:lvl w:ilvl="4">
      <w:start w:val="1"/>
      <w:numFmt w:val="bullet"/>
      <w:lvlText w:val=""/>
      <w:lvlJc w:val="left"/>
      <w:pPr>
        <w:ind w:left="2951" w:hanging="420"/>
      </w:pPr>
      <w:rPr>
        <w:rFonts w:ascii="Wingdings" w:hAnsi="Wingdings" w:hint="default"/>
      </w:rPr>
    </w:lvl>
    <w:lvl w:ilvl="5">
      <w:start w:val="1"/>
      <w:numFmt w:val="bullet"/>
      <w:lvlText w:val=""/>
      <w:lvlJc w:val="left"/>
      <w:pPr>
        <w:ind w:left="3371" w:hanging="420"/>
      </w:pPr>
      <w:rPr>
        <w:rFonts w:ascii="Wingdings" w:hAnsi="Wingdings" w:hint="default"/>
      </w:rPr>
    </w:lvl>
    <w:lvl w:ilvl="6">
      <w:start w:val="1"/>
      <w:numFmt w:val="bullet"/>
      <w:lvlText w:val=""/>
      <w:lvlJc w:val="left"/>
      <w:pPr>
        <w:ind w:left="3791" w:hanging="420"/>
      </w:pPr>
      <w:rPr>
        <w:rFonts w:ascii="Wingdings" w:hAnsi="Wingdings" w:hint="default"/>
      </w:rPr>
    </w:lvl>
    <w:lvl w:ilvl="7">
      <w:start w:val="1"/>
      <w:numFmt w:val="bullet"/>
      <w:lvlText w:val=""/>
      <w:lvlJc w:val="left"/>
      <w:pPr>
        <w:ind w:left="4211" w:hanging="420"/>
      </w:pPr>
      <w:rPr>
        <w:rFonts w:ascii="Wingdings" w:hAnsi="Wingdings" w:hint="default"/>
      </w:rPr>
    </w:lvl>
    <w:lvl w:ilvl="8">
      <w:start w:val="1"/>
      <w:numFmt w:val="bullet"/>
      <w:lvlText w:val=""/>
      <w:lvlJc w:val="left"/>
      <w:pPr>
        <w:ind w:left="4631" w:hanging="420"/>
      </w:pPr>
      <w:rPr>
        <w:rFonts w:ascii="Wingdings" w:hAnsi="Wingdings" w:hint="default"/>
      </w:rPr>
    </w:lvl>
  </w:abstractNum>
  <w:abstractNum w:abstractNumId="80" w15:restartNumberingAfterBreak="0">
    <w:nsid w:val="74233C97"/>
    <w:multiLevelType w:val="multilevel"/>
    <w:tmpl w:val="74233C97"/>
    <w:lvl w:ilvl="0">
      <w:start w:val="4"/>
      <w:numFmt w:val="decimal"/>
      <w:lvlText w:val="%1)"/>
      <w:lvlJc w:val="left"/>
      <w:pPr>
        <w:ind w:left="560" w:hanging="360"/>
      </w:pPr>
      <w:rPr>
        <w:rFonts w:hint="default"/>
      </w:r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abstractNum w:abstractNumId="81" w15:restartNumberingAfterBreak="0">
    <w:nsid w:val="74900490"/>
    <w:multiLevelType w:val="multilevel"/>
    <w:tmpl w:val="74900490"/>
    <w:lvl w:ilvl="0">
      <w:start w:val="3"/>
      <w:numFmt w:val="decimal"/>
      <w:lvlText w:val="（%1）"/>
      <w:lvlJc w:val="left"/>
      <w:pPr>
        <w:ind w:left="420" w:hanging="420"/>
      </w:pPr>
      <w:rPr>
        <w:rFonts w:hint="eastAsia"/>
        <w:sz w:val="24"/>
        <w:szCs w:val="24"/>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82" w15:restartNumberingAfterBreak="0">
    <w:nsid w:val="753262D0"/>
    <w:multiLevelType w:val="hybridMultilevel"/>
    <w:tmpl w:val="4546F602"/>
    <w:lvl w:ilvl="0" w:tplc="E89E9B0C">
      <w:start w:val="1"/>
      <w:numFmt w:val="bullet"/>
      <w:lvlText w:val=""/>
      <w:lvlJc w:val="left"/>
      <w:pPr>
        <w:ind w:left="1320" w:hanging="420"/>
      </w:pPr>
      <w:rPr>
        <w:rFonts w:ascii="Wingdings" w:hAnsi="Wingdings" w:hint="default"/>
      </w:rPr>
    </w:lvl>
    <w:lvl w:ilvl="1" w:tplc="04090003" w:tentative="1">
      <w:start w:val="1"/>
      <w:numFmt w:val="bullet"/>
      <w:lvlText w:val=""/>
      <w:lvlJc w:val="left"/>
      <w:pPr>
        <w:ind w:left="1740" w:hanging="420"/>
      </w:pPr>
      <w:rPr>
        <w:rFonts w:ascii="Wingdings" w:hAnsi="Wingdings" w:hint="default"/>
      </w:rPr>
    </w:lvl>
    <w:lvl w:ilvl="2" w:tplc="04090005" w:tentative="1">
      <w:start w:val="1"/>
      <w:numFmt w:val="bullet"/>
      <w:lvlText w:val=""/>
      <w:lvlJc w:val="left"/>
      <w:pPr>
        <w:ind w:left="2160" w:hanging="420"/>
      </w:pPr>
      <w:rPr>
        <w:rFonts w:ascii="Wingdings" w:hAnsi="Wingdings" w:hint="default"/>
      </w:rPr>
    </w:lvl>
    <w:lvl w:ilvl="3" w:tplc="04090001" w:tentative="1">
      <w:start w:val="1"/>
      <w:numFmt w:val="bullet"/>
      <w:lvlText w:val=""/>
      <w:lvlJc w:val="left"/>
      <w:pPr>
        <w:ind w:left="2580" w:hanging="420"/>
      </w:pPr>
      <w:rPr>
        <w:rFonts w:ascii="Wingdings" w:hAnsi="Wingdings" w:hint="default"/>
      </w:rPr>
    </w:lvl>
    <w:lvl w:ilvl="4" w:tplc="04090003" w:tentative="1">
      <w:start w:val="1"/>
      <w:numFmt w:val="bullet"/>
      <w:lvlText w:val=""/>
      <w:lvlJc w:val="left"/>
      <w:pPr>
        <w:ind w:left="3000" w:hanging="420"/>
      </w:pPr>
      <w:rPr>
        <w:rFonts w:ascii="Wingdings" w:hAnsi="Wingdings" w:hint="default"/>
      </w:rPr>
    </w:lvl>
    <w:lvl w:ilvl="5" w:tplc="04090005" w:tentative="1">
      <w:start w:val="1"/>
      <w:numFmt w:val="bullet"/>
      <w:lvlText w:val=""/>
      <w:lvlJc w:val="left"/>
      <w:pPr>
        <w:ind w:left="3420" w:hanging="420"/>
      </w:pPr>
      <w:rPr>
        <w:rFonts w:ascii="Wingdings" w:hAnsi="Wingdings" w:hint="default"/>
      </w:rPr>
    </w:lvl>
    <w:lvl w:ilvl="6" w:tplc="04090001" w:tentative="1">
      <w:start w:val="1"/>
      <w:numFmt w:val="bullet"/>
      <w:lvlText w:val=""/>
      <w:lvlJc w:val="left"/>
      <w:pPr>
        <w:ind w:left="3840" w:hanging="420"/>
      </w:pPr>
      <w:rPr>
        <w:rFonts w:ascii="Wingdings" w:hAnsi="Wingdings" w:hint="default"/>
      </w:rPr>
    </w:lvl>
    <w:lvl w:ilvl="7" w:tplc="04090003" w:tentative="1">
      <w:start w:val="1"/>
      <w:numFmt w:val="bullet"/>
      <w:lvlText w:val=""/>
      <w:lvlJc w:val="left"/>
      <w:pPr>
        <w:ind w:left="4260" w:hanging="420"/>
      </w:pPr>
      <w:rPr>
        <w:rFonts w:ascii="Wingdings" w:hAnsi="Wingdings" w:hint="default"/>
      </w:rPr>
    </w:lvl>
    <w:lvl w:ilvl="8" w:tplc="04090005" w:tentative="1">
      <w:start w:val="1"/>
      <w:numFmt w:val="bullet"/>
      <w:lvlText w:val=""/>
      <w:lvlJc w:val="left"/>
      <w:pPr>
        <w:ind w:left="4680" w:hanging="420"/>
      </w:pPr>
      <w:rPr>
        <w:rFonts w:ascii="Wingdings" w:hAnsi="Wingdings" w:hint="default"/>
      </w:rPr>
    </w:lvl>
  </w:abstractNum>
  <w:abstractNum w:abstractNumId="83" w15:restartNumberingAfterBreak="0">
    <w:nsid w:val="753D7DDD"/>
    <w:multiLevelType w:val="multilevel"/>
    <w:tmpl w:val="753D7DDD"/>
    <w:lvl w:ilvl="0">
      <w:start w:val="2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4" w15:restartNumberingAfterBreak="0">
    <w:nsid w:val="76AF677B"/>
    <w:multiLevelType w:val="hybridMultilevel"/>
    <w:tmpl w:val="7E9497A2"/>
    <w:lvl w:ilvl="0" w:tplc="8EF6EDD4">
      <w:start w:val="1"/>
      <w:numFmt w:val="bullet"/>
      <w:pStyle w:val="Dash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7C462C3"/>
    <w:multiLevelType w:val="multilevel"/>
    <w:tmpl w:val="77C462C3"/>
    <w:lvl w:ilvl="0">
      <w:start w:val="1"/>
      <w:numFmt w:val="decimal"/>
      <w:lvlText w:val="（%1）"/>
      <w:lvlJc w:val="left"/>
      <w:pPr>
        <w:ind w:left="420" w:hanging="420"/>
      </w:pPr>
      <w:rPr>
        <w:rFonts w:ascii="Times New Roman" w:hAnsi="Times New Roman" w:cs="Times New Roman" w:hint="default"/>
        <w:lang w:val="en-US"/>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86" w15:restartNumberingAfterBreak="0">
    <w:nsid w:val="7880112F"/>
    <w:multiLevelType w:val="multilevel"/>
    <w:tmpl w:val="5DA55CB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7" w15:restartNumberingAfterBreak="0">
    <w:nsid w:val="79075D66"/>
    <w:multiLevelType w:val="multilevel"/>
    <w:tmpl w:val="753D7DDD"/>
    <w:lvl w:ilvl="0">
      <w:start w:val="2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8" w15:restartNumberingAfterBreak="0">
    <w:nsid w:val="79656212"/>
    <w:multiLevelType w:val="multilevel"/>
    <w:tmpl w:val="753D7DDD"/>
    <w:lvl w:ilvl="0">
      <w:start w:val="2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9" w15:restartNumberingAfterBreak="0">
    <w:nsid w:val="79FD3433"/>
    <w:multiLevelType w:val="hybridMultilevel"/>
    <w:tmpl w:val="FFF29546"/>
    <w:lvl w:ilvl="0" w:tplc="44943276">
      <w:start w:val="1"/>
      <w:numFmt w:val="bullet"/>
      <w:pStyle w:val="Bullet4"/>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0" w15:restartNumberingAfterBreak="0">
    <w:nsid w:val="7A097D7B"/>
    <w:multiLevelType w:val="multilevel"/>
    <w:tmpl w:val="7A097D7B"/>
    <w:lvl w:ilvl="0">
      <w:start w:val="1"/>
      <w:numFmt w:val="decimal"/>
      <w:lvlText w:val="%1."/>
      <w:lvlJc w:val="left"/>
      <w:pPr>
        <w:ind w:left="420" w:hanging="420"/>
      </w:pPr>
    </w:lvl>
    <w:lvl w:ilvl="1">
      <w:start w:val="1"/>
      <w:numFmt w:val="decimal"/>
      <w:lvlText w:val="%2."/>
      <w:lvlJc w:val="left"/>
      <w:pPr>
        <w:ind w:left="780" w:hanging="36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1" w15:restartNumberingAfterBreak="0">
    <w:nsid w:val="7B0D02A4"/>
    <w:multiLevelType w:val="multilevel"/>
    <w:tmpl w:val="7B0D02A4"/>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2" w15:restartNumberingAfterBreak="0">
    <w:nsid w:val="7C843156"/>
    <w:multiLevelType w:val="hybridMultilevel"/>
    <w:tmpl w:val="BF4E84EE"/>
    <w:lvl w:ilvl="0" w:tplc="3B36D784">
      <w:start w:val="1"/>
      <w:numFmt w:val="bullet"/>
      <w:pStyle w:val="Dash3"/>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3" w15:restartNumberingAfterBreak="0">
    <w:nsid w:val="7DD36E6D"/>
    <w:multiLevelType w:val="multilevel"/>
    <w:tmpl w:val="37AC5188"/>
    <w:lvl w:ilvl="0">
      <w:start w:val="1"/>
      <w:numFmt w:val="decimal"/>
      <w:lvlText w:val="%1."/>
      <w:lvlJc w:val="left"/>
      <w:pPr>
        <w:ind w:left="900" w:hanging="420"/>
      </w:pPr>
      <w:rPr>
        <w:rFonts w:ascii="Times New Roman" w:eastAsia="宋体" w:hAnsi="Times New Roman" w:cs="Times New Roman"/>
        <w:color w:val="auto"/>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13"/>
  </w:num>
  <w:num w:numId="2">
    <w:abstractNumId w:val="36"/>
  </w:num>
  <w:num w:numId="3">
    <w:abstractNumId w:val="3"/>
  </w:num>
  <w:num w:numId="4">
    <w:abstractNumId w:val="1"/>
  </w:num>
  <w:num w:numId="5">
    <w:abstractNumId w:val="30"/>
  </w:num>
  <w:num w:numId="6">
    <w:abstractNumId w:val="33"/>
  </w:num>
  <w:num w:numId="7">
    <w:abstractNumId w:val="68"/>
  </w:num>
  <w:num w:numId="8">
    <w:abstractNumId w:val="45"/>
  </w:num>
  <w:num w:numId="9">
    <w:abstractNumId w:val="62"/>
  </w:num>
  <w:num w:numId="10">
    <w:abstractNumId w:val="19"/>
  </w:num>
  <w:num w:numId="11">
    <w:abstractNumId w:val="89"/>
  </w:num>
  <w:num w:numId="12">
    <w:abstractNumId w:val="9"/>
  </w:num>
  <w:num w:numId="13">
    <w:abstractNumId w:val="84"/>
  </w:num>
  <w:num w:numId="14">
    <w:abstractNumId w:val="40"/>
  </w:num>
  <w:num w:numId="15">
    <w:abstractNumId w:val="92"/>
  </w:num>
  <w:num w:numId="16">
    <w:abstractNumId w:val="56"/>
  </w:num>
  <w:num w:numId="17">
    <w:abstractNumId w:val="51"/>
  </w:num>
  <w:num w:numId="18">
    <w:abstractNumId w:val="6"/>
  </w:num>
  <w:num w:numId="19">
    <w:abstractNumId w:val="22"/>
  </w:num>
  <w:num w:numId="20">
    <w:abstractNumId w:val="33"/>
    <w:lvlOverride w:ilvl="0">
      <w:startOverride w:val="1"/>
    </w:lvlOverride>
  </w:num>
  <w:num w:numId="21">
    <w:abstractNumId w:val="69"/>
  </w:num>
  <w:num w:numId="22">
    <w:abstractNumId w:val="2"/>
  </w:num>
  <w:num w:numId="23">
    <w:abstractNumId w:val="46"/>
  </w:num>
  <w:num w:numId="24">
    <w:abstractNumId w:val="33"/>
    <w:lvlOverride w:ilvl="0">
      <w:startOverride w:val="1"/>
    </w:lvlOverride>
  </w:num>
  <w:num w:numId="25">
    <w:abstractNumId w:val="74"/>
  </w:num>
  <w:num w:numId="26">
    <w:abstractNumId w:val="11"/>
  </w:num>
  <w:num w:numId="27">
    <w:abstractNumId w:val="59"/>
  </w:num>
  <w:num w:numId="28">
    <w:abstractNumId w:val="33"/>
    <w:lvlOverride w:ilvl="0">
      <w:startOverride w:val="1"/>
    </w:lvlOverride>
  </w:num>
  <w:num w:numId="29">
    <w:abstractNumId w:val="32"/>
  </w:num>
  <w:num w:numId="30">
    <w:abstractNumId w:val="55"/>
  </w:num>
  <w:num w:numId="31">
    <w:abstractNumId w:val="33"/>
  </w:num>
  <w:num w:numId="32">
    <w:abstractNumId w:val="62"/>
  </w:num>
  <w:num w:numId="33">
    <w:abstractNumId w:val="24"/>
  </w:num>
  <w:num w:numId="34">
    <w:abstractNumId w:val="52"/>
  </w:num>
  <w:num w:numId="35">
    <w:abstractNumId w:val="50"/>
  </w:num>
  <w:num w:numId="36">
    <w:abstractNumId w:val="66"/>
  </w:num>
  <w:num w:numId="37">
    <w:abstractNumId w:val="65"/>
    <w:lvlOverride w:ilvl="0">
      <w:startOverride w:val="1"/>
    </w:lvlOverride>
    <w:lvlOverride w:ilvl="1"/>
    <w:lvlOverride w:ilvl="2"/>
    <w:lvlOverride w:ilvl="3"/>
    <w:lvlOverride w:ilvl="4"/>
    <w:lvlOverride w:ilvl="5"/>
    <w:lvlOverride w:ilvl="6"/>
    <w:lvlOverride w:ilvl="7"/>
    <w:lvlOverride w:ilvl="8"/>
  </w:num>
  <w:num w:numId="38">
    <w:abstractNumId w:val="37"/>
  </w:num>
  <w:num w:numId="39">
    <w:abstractNumId w:val="23"/>
  </w:num>
  <w:num w:numId="40">
    <w:abstractNumId w:val="35"/>
  </w:num>
  <w:num w:numId="41">
    <w:abstractNumId w:val="4"/>
  </w:num>
  <w:num w:numId="42">
    <w:abstractNumId w:val="83"/>
  </w:num>
  <w:num w:numId="43">
    <w:abstractNumId w:val="20"/>
  </w:num>
  <w:num w:numId="44">
    <w:abstractNumId w:val="93"/>
  </w:num>
  <w:num w:numId="45">
    <w:abstractNumId w:val="28"/>
  </w:num>
  <w:num w:numId="46">
    <w:abstractNumId w:val="25"/>
  </w:num>
  <w:num w:numId="47">
    <w:abstractNumId w:val="30"/>
  </w:num>
  <w:num w:numId="48">
    <w:abstractNumId w:val="30"/>
  </w:num>
  <w:num w:numId="49">
    <w:abstractNumId w:val="80"/>
  </w:num>
  <w:num w:numId="50">
    <w:abstractNumId w:val="18"/>
  </w:num>
  <w:num w:numId="51">
    <w:abstractNumId w:val="7"/>
  </w:num>
  <w:num w:numId="52">
    <w:abstractNumId w:val="61"/>
  </w:num>
  <w:num w:numId="53">
    <w:abstractNumId w:val="64"/>
  </w:num>
  <w:num w:numId="54">
    <w:abstractNumId w:val="30"/>
  </w:num>
  <w:num w:numId="55">
    <w:abstractNumId w:val="62"/>
  </w:num>
  <w:num w:numId="56">
    <w:abstractNumId w:val="62"/>
  </w:num>
  <w:num w:numId="57">
    <w:abstractNumId w:val="62"/>
  </w:num>
  <w:num w:numId="58">
    <w:abstractNumId w:val="30"/>
  </w:num>
  <w:num w:numId="59">
    <w:abstractNumId w:val="30"/>
  </w:num>
  <w:num w:numId="60">
    <w:abstractNumId w:val="30"/>
  </w:num>
  <w:num w:numId="61">
    <w:abstractNumId w:val="30"/>
  </w:num>
  <w:num w:numId="62">
    <w:abstractNumId w:val="30"/>
  </w:num>
  <w:num w:numId="63">
    <w:abstractNumId w:val="30"/>
  </w:num>
  <w:num w:numId="64">
    <w:abstractNumId w:val="44"/>
  </w:num>
  <w:num w:numId="65">
    <w:abstractNumId w:val="43"/>
  </w:num>
  <w:num w:numId="66">
    <w:abstractNumId w:val="29"/>
  </w:num>
  <w:num w:numId="67">
    <w:abstractNumId w:val="27"/>
  </w:num>
  <w:num w:numId="68">
    <w:abstractNumId w:val="63"/>
  </w:num>
  <w:num w:numId="69">
    <w:abstractNumId w:val="39"/>
  </w:num>
  <w:num w:numId="70">
    <w:abstractNumId w:val="90"/>
  </w:num>
  <w:num w:numId="71">
    <w:abstractNumId w:val="31"/>
  </w:num>
  <w:num w:numId="72">
    <w:abstractNumId w:val="67"/>
  </w:num>
  <w:num w:numId="73">
    <w:abstractNumId w:val="54"/>
  </w:num>
  <w:num w:numId="74">
    <w:abstractNumId w:val="42"/>
  </w:num>
  <w:num w:numId="75">
    <w:abstractNumId w:val="41"/>
  </w:num>
  <w:num w:numId="76">
    <w:abstractNumId w:val="71"/>
  </w:num>
  <w:num w:numId="77">
    <w:abstractNumId w:val="17"/>
  </w:num>
  <w:num w:numId="78">
    <w:abstractNumId w:val="5"/>
  </w:num>
  <w:num w:numId="79">
    <w:abstractNumId w:val="16"/>
  </w:num>
  <w:num w:numId="80">
    <w:abstractNumId w:val="57"/>
  </w:num>
  <w:num w:numId="81">
    <w:abstractNumId w:val="85"/>
  </w:num>
  <w:num w:numId="82">
    <w:abstractNumId w:val="48"/>
  </w:num>
  <w:num w:numId="83">
    <w:abstractNumId w:val="75"/>
  </w:num>
  <w:num w:numId="84">
    <w:abstractNumId w:val="81"/>
  </w:num>
  <w:num w:numId="85">
    <w:abstractNumId w:val="91"/>
  </w:num>
  <w:num w:numId="86">
    <w:abstractNumId w:val="73"/>
  </w:num>
  <w:num w:numId="87">
    <w:abstractNumId w:val="78"/>
  </w:num>
  <w:num w:numId="88">
    <w:abstractNumId w:val="53"/>
  </w:num>
  <w:num w:numId="89">
    <w:abstractNumId w:val="12"/>
  </w:num>
  <w:num w:numId="90">
    <w:abstractNumId w:val="58"/>
  </w:num>
  <w:num w:numId="91">
    <w:abstractNumId w:val="79"/>
  </w:num>
  <w:num w:numId="92">
    <w:abstractNumId w:val="60"/>
  </w:num>
  <w:num w:numId="93">
    <w:abstractNumId w:val="38"/>
  </w:num>
  <w:num w:numId="94">
    <w:abstractNumId w:val="47"/>
  </w:num>
  <w:num w:numId="95">
    <w:abstractNumId w:val="21"/>
  </w:num>
  <w:num w:numId="96">
    <w:abstractNumId w:val="0"/>
  </w:num>
  <w:num w:numId="97">
    <w:abstractNumId w:val="77"/>
  </w:num>
  <w:num w:numId="98">
    <w:abstractNumId w:val="15"/>
  </w:num>
  <w:num w:numId="99">
    <w:abstractNumId w:val="82"/>
  </w:num>
  <w:num w:numId="100">
    <w:abstractNumId w:val="30"/>
  </w:num>
  <w:num w:numId="101">
    <w:abstractNumId w:val="30"/>
  </w:num>
  <w:num w:numId="102">
    <w:abstractNumId w:val="30"/>
  </w:num>
  <w:num w:numId="103">
    <w:abstractNumId w:val="30"/>
  </w:num>
  <w:num w:numId="104">
    <w:abstractNumId w:val="30"/>
  </w:num>
  <w:num w:numId="105">
    <w:abstractNumId w:val="30"/>
  </w:num>
  <w:num w:numId="106">
    <w:abstractNumId w:val="30"/>
  </w:num>
  <w:num w:numId="107">
    <w:abstractNumId w:val="30"/>
  </w:num>
  <w:num w:numId="108">
    <w:abstractNumId w:val="30"/>
  </w:num>
  <w:num w:numId="109">
    <w:abstractNumId w:val="30"/>
  </w:num>
  <w:num w:numId="110">
    <w:abstractNumId w:val="30"/>
  </w:num>
  <w:num w:numId="111">
    <w:abstractNumId w:val="30"/>
  </w:num>
  <w:num w:numId="112">
    <w:abstractNumId w:val="76"/>
  </w:num>
  <w:num w:numId="113">
    <w:abstractNumId w:val="62"/>
  </w:num>
  <w:num w:numId="114">
    <w:abstractNumId w:val="62"/>
  </w:num>
  <w:num w:numId="115">
    <w:abstractNumId w:val="62"/>
  </w:num>
  <w:num w:numId="116">
    <w:abstractNumId w:val="62"/>
  </w:num>
  <w:num w:numId="117">
    <w:abstractNumId w:val="62"/>
  </w:num>
  <w:num w:numId="118">
    <w:abstractNumId w:val="62"/>
  </w:num>
  <w:num w:numId="119">
    <w:abstractNumId w:val="62"/>
  </w:num>
  <w:num w:numId="120">
    <w:abstractNumId w:val="62"/>
  </w:num>
  <w:num w:numId="121">
    <w:abstractNumId w:val="62"/>
  </w:num>
  <w:num w:numId="122">
    <w:abstractNumId w:val="62"/>
  </w:num>
  <w:num w:numId="123">
    <w:abstractNumId w:val="62"/>
  </w:num>
  <w:num w:numId="124">
    <w:abstractNumId w:val="62"/>
  </w:num>
  <w:num w:numId="125">
    <w:abstractNumId w:val="10"/>
  </w:num>
  <w:num w:numId="126">
    <w:abstractNumId w:val="62"/>
  </w:num>
  <w:num w:numId="127">
    <w:abstractNumId w:val="88"/>
  </w:num>
  <w:num w:numId="128">
    <w:abstractNumId w:val="8"/>
  </w:num>
  <w:num w:numId="129">
    <w:abstractNumId w:val="26"/>
  </w:num>
  <w:num w:numId="130">
    <w:abstractNumId w:val="72"/>
  </w:num>
  <w:num w:numId="131">
    <w:abstractNumId w:val="70"/>
  </w:num>
  <w:num w:numId="132">
    <w:abstractNumId w:val="87"/>
  </w:num>
  <w:num w:numId="133">
    <w:abstractNumId w:val="49"/>
  </w:num>
  <w:num w:numId="134">
    <w:abstractNumId w:val="62"/>
  </w:num>
  <w:num w:numId="135">
    <w:abstractNumId w:val="62"/>
  </w:num>
  <w:num w:numId="136">
    <w:abstractNumId w:val="62"/>
  </w:num>
  <w:num w:numId="137">
    <w:abstractNumId w:val="62"/>
  </w:num>
  <w:num w:numId="138">
    <w:abstractNumId w:val="14"/>
  </w:num>
  <w:num w:numId="139">
    <w:abstractNumId w:val="62"/>
  </w:num>
  <w:num w:numId="140">
    <w:abstractNumId w:val="62"/>
  </w:num>
  <w:num w:numId="141">
    <w:abstractNumId w:val="62"/>
  </w:num>
  <w:num w:numId="142">
    <w:abstractNumId w:val="62"/>
  </w:num>
  <w:num w:numId="143">
    <w:abstractNumId w:val="62"/>
  </w:num>
  <w:num w:numId="144">
    <w:abstractNumId w:val="30"/>
  </w:num>
  <w:num w:numId="145">
    <w:abstractNumId w:val="30"/>
  </w:num>
  <w:num w:numId="146">
    <w:abstractNumId w:val="34"/>
  </w:num>
  <w:num w:numId="147">
    <w:abstractNumId w:val="86"/>
  </w:num>
  <w:numIdMacAtCleanup w:val="1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activeWritingStyle w:appName="MSWord" w:lang="en-GB" w:vendorID="64" w:dllVersion="0" w:nlCheck="1" w:checkStyle="0"/>
  <w:activeWritingStyle w:appName="MSWord" w:lang="en-US" w:vendorID="64" w:dllVersion="0" w:nlCheck="1" w:checkStyle="0"/>
  <w:activeWritingStyle w:appName="MSWord" w:lang="en-US" w:vendorID="64" w:dllVersion="4096" w:nlCheck="1" w:checkStyle="0"/>
  <w:activeWritingStyle w:appName="MSWord" w:lang="zh-CN" w:vendorID="64" w:dllVersion="0" w:nlCheck="1" w:checkStyle="1"/>
  <w:activeWritingStyle w:appName="MSWord" w:lang="en-GB" w:vendorID="64" w:dllVersion="4096" w:nlCheck="1" w:checkStyle="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oNotTrackFormatting/>
  <w:defaultTabStop w:val="144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awMLEwMLEwMbIwN7VQ0lEKTi0uzszPAykwqQUA79RftiwAAAA="/>
  </w:docVars>
  <w:rsids>
    <w:rsidRoot w:val="00F24D81"/>
    <w:rsid w:val="000003A6"/>
    <w:rsid w:val="0000076F"/>
    <w:rsid w:val="000012B1"/>
    <w:rsid w:val="00001ADE"/>
    <w:rsid w:val="00002455"/>
    <w:rsid w:val="00002887"/>
    <w:rsid w:val="00002F58"/>
    <w:rsid w:val="00003691"/>
    <w:rsid w:val="00003F4C"/>
    <w:rsid w:val="00003FB5"/>
    <w:rsid w:val="000041D1"/>
    <w:rsid w:val="0000432A"/>
    <w:rsid w:val="000045D9"/>
    <w:rsid w:val="000047F4"/>
    <w:rsid w:val="00004881"/>
    <w:rsid w:val="00004B30"/>
    <w:rsid w:val="00004B7D"/>
    <w:rsid w:val="00004DF4"/>
    <w:rsid w:val="00005642"/>
    <w:rsid w:val="00006CD5"/>
    <w:rsid w:val="0000702A"/>
    <w:rsid w:val="00007770"/>
    <w:rsid w:val="000078B3"/>
    <w:rsid w:val="00007944"/>
    <w:rsid w:val="00010211"/>
    <w:rsid w:val="000103AC"/>
    <w:rsid w:val="00010A91"/>
    <w:rsid w:val="00010C13"/>
    <w:rsid w:val="00010D9C"/>
    <w:rsid w:val="00011011"/>
    <w:rsid w:val="00011025"/>
    <w:rsid w:val="000111E2"/>
    <w:rsid w:val="00011609"/>
    <w:rsid w:val="000117EF"/>
    <w:rsid w:val="00011A1E"/>
    <w:rsid w:val="00011A30"/>
    <w:rsid w:val="00011DC6"/>
    <w:rsid w:val="00012448"/>
    <w:rsid w:val="00012519"/>
    <w:rsid w:val="00012533"/>
    <w:rsid w:val="00012AC9"/>
    <w:rsid w:val="00012F2B"/>
    <w:rsid w:val="00013402"/>
    <w:rsid w:val="00013479"/>
    <w:rsid w:val="00013884"/>
    <w:rsid w:val="000138B9"/>
    <w:rsid w:val="000139E4"/>
    <w:rsid w:val="00013A8A"/>
    <w:rsid w:val="00013AA7"/>
    <w:rsid w:val="00013DB8"/>
    <w:rsid w:val="00014284"/>
    <w:rsid w:val="0001433E"/>
    <w:rsid w:val="00014392"/>
    <w:rsid w:val="00014553"/>
    <w:rsid w:val="000146B2"/>
    <w:rsid w:val="0001478A"/>
    <w:rsid w:val="000149F8"/>
    <w:rsid w:val="00014EC7"/>
    <w:rsid w:val="00016630"/>
    <w:rsid w:val="00016869"/>
    <w:rsid w:val="00016CB0"/>
    <w:rsid w:val="00016CE6"/>
    <w:rsid w:val="00016EC7"/>
    <w:rsid w:val="00016F0B"/>
    <w:rsid w:val="00017BA4"/>
    <w:rsid w:val="0002036F"/>
    <w:rsid w:val="000203BB"/>
    <w:rsid w:val="00020549"/>
    <w:rsid w:val="000205B1"/>
    <w:rsid w:val="00020D28"/>
    <w:rsid w:val="00020D71"/>
    <w:rsid w:val="000216FF"/>
    <w:rsid w:val="0002181F"/>
    <w:rsid w:val="00021BF2"/>
    <w:rsid w:val="0002278A"/>
    <w:rsid w:val="0002297F"/>
    <w:rsid w:val="00022ED1"/>
    <w:rsid w:val="00022F6B"/>
    <w:rsid w:val="00023591"/>
    <w:rsid w:val="000235E7"/>
    <w:rsid w:val="00023A4E"/>
    <w:rsid w:val="00023BFA"/>
    <w:rsid w:val="00024A9E"/>
    <w:rsid w:val="00024DE7"/>
    <w:rsid w:val="00024FB9"/>
    <w:rsid w:val="000253F0"/>
    <w:rsid w:val="00025723"/>
    <w:rsid w:val="00025738"/>
    <w:rsid w:val="00025A4C"/>
    <w:rsid w:val="00025BBD"/>
    <w:rsid w:val="00025D0C"/>
    <w:rsid w:val="000266BB"/>
    <w:rsid w:val="00026C80"/>
    <w:rsid w:val="00026CBA"/>
    <w:rsid w:val="00026F99"/>
    <w:rsid w:val="00027105"/>
    <w:rsid w:val="00027140"/>
    <w:rsid w:val="000271AA"/>
    <w:rsid w:val="00027494"/>
    <w:rsid w:val="000276C2"/>
    <w:rsid w:val="00027E84"/>
    <w:rsid w:val="000302CF"/>
    <w:rsid w:val="00030471"/>
    <w:rsid w:val="000307AC"/>
    <w:rsid w:val="000309AC"/>
    <w:rsid w:val="00030DE8"/>
    <w:rsid w:val="000312FE"/>
    <w:rsid w:val="00031A50"/>
    <w:rsid w:val="00031AC0"/>
    <w:rsid w:val="00032414"/>
    <w:rsid w:val="000326DD"/>
    <w:rsid w:val="000326DE"/>
    <w:rsid w:val="000329DE"/>
    <w:rsid w:val="00032B24"/>
    <w:rsid w:val="00032B4B"/>
    <w:rsid w:val="000332AC"/>
    <w:rsid w:val="000339F2"/>
    <w:rsid w:val="00033D49"/>
    <w:rsid w:val="00033F58"/>
    <w:rsid w:val="00034109"/>
    <w:rsid w:val="0003417F"/>
    <w:rsid w:val="00034690"/>
    <w:rsid w:val="0003481B"/>
    <w:rsid w:val="000349F5"/>
    <w:rsid w:val="00034A80"/>
    <w:rsid w:val="00034B3D"/>
    <w:rsid w:val="00034CCB"/>
    <w:rsid w:val="000351EE"/>
    <w:rsid w:val="00035D65"/>
    <w:rsid w:val="00036085"/>
    <w:rsid w:val="000361D6"/>
    <w:rsid w:val="00036AB1"/>
    <w:rsid w:val="00037055"/>
    <w:rsid w:val="0003718D"/>
    <w:rsid w:val="000373BC"/>
    <w:rsid w:val="00037597"/>
    <w:rsid w:val="00037D18"/>
    <w:rsid w:val="00037DE9"/>
    <w:rsid w:val="00037DF0"/>
    <w:rsid w:val="0004006A"/>
    <w:rsid w:val="0004052A"/>
    <w:rsid w:val="000410D8"/>
    <w:rsid w:val="0004110D"/>
    <w:rsid w:val="000414CA"/>
    <w:rsid w:val="00041758"/>
    <w:rsid w:val="00041A9D"/>
    <w:rsid w:val="00041BC3"/>
    <w:rsid w:val="00042F31"/>
    <w:rsid w:val="000432FF"/>
    <w:rsid w:val="000433C7"/>
    <w:rsid w:val="0004346F"/>
    <w:rsid w:val="00043573"/>
    <w:rsid w:val="00043719"/>
    <w:rsid w:val="0004390A"/>
    <w:rsid w:val="000439E6"/>
    <w:rsid w:val="00043DB5"/>
    <w:rsid w:val="00044131"/>
    <w:rsid w:val="00044572"/>
    <w:rsid w:val="00044AFA"/>
    <w:rsid w:val="000451A2"/>
    <w:rsid w:val="00045885"/>
    <w:rsid w:val="0004590C"/>
    <w:rsid w:val="000459CE"/>
    <w:rsid w:val="00045ECD"/>
    <w:rsid w:val="000467F4"/>
    <w:rsid w:val="00046A15"/>
    <w:rsid w:val="00046D46"/>
    <w:rsid w:val="00047165"/>
    <w:rsid w:val="0004755D"/>
    <w:rsid w:val="0004756F"/>
    <w:rsid w:val="00047689"/>
    <w:rsid w:val="00047BD7"/>
    <w:rsid w:val="00047E63"/>
    <w:rsid w:val="000501B1"/>
    <w:rsid w:val="00050685"/>
    <w:rsid w:val="0005098A"/>
    <w:rsid w:val="000509D6"/>
    <w:rsid w:val="00050F66"/>
    <w:rsid w:val="0005195D"/>
    <w:rsid w:val="00053A24"/>
    <w:rsid w:val="00053EE0"/>
    <w:rsid w:val="00053EF3"/>
    <w:rsid w:val="000541C8"/>
    <w:rsid w:val="000546CE"/>
    <w:rsid w:val="00054D8B"/>
    <w:rsid w:val="00055066"/>
    <w:rsid w:val="000551F3"/>
    <w:rsid w:val="0005596F"/>
    <w:rsid w:val="000559D5"/>
    <w:rsid w:val="00055C09"/>
    <w:rsid w:val="0005701B"/>
    <w:rsid w:val="00057671"/>
    <w:rsid w:val="00057B8F"/>
    <w:rsid w:val="0006051E"/>
    <w:rsid w:val="000605B0"/>
    <w:rsid w:val="0006077E"/>
    <w:rsid w:val="0006091C"/>
    <w:rsid w:val="00060AB1"/>
    <w:rsid w:val="000610F0"/>
    <w:rsid w:val="000613A4"/>
    <w:rsid w:val="0006166F"/>
    <w:rsid w:val="00061D28"/>
    <w:rsid w:val="000621A9"/>
    <w:rsid w:val="000626CC"/>
    <w:rsid w:val="00062880"/>
    <w:rsid w:val="00062A75"/>
    <w:rsid w:val="0006340B"/>
    <w:rsid w:val="00063AA8"/>
    <w:rsid w:val="00063ACF"/>
    <w:rsid w:val="00063D4D"/>
    <w:rsid w:val="00064371"/>
    <w:rsid w:val="00064615"/>
    <w:rsid w:val="00064616"/>
    <w:rsid w:val="00064707"/>
    <w:rsid w:val="00064E87"/>
    <w:rsid w:val="00064EF8"/>
    <w:rsid w:val="000652FA"/>
    <w:rsid w:val="00065C93"/>
    <w:rsid w:val="00065E79"/>
    <w:rsid w:val="00065FCD"/>
    <w:rsid w:val="00066979"/>
    <w:rsid w:val="00067A83"/>
    <w:rsid w:val="00067DF4"/>
    <w:rsid w:val="00070334"/>
    <w:rsid w:val="000703E2"/>
    <w:rsid w:val="00070417"/>
    <w:rsid w:val="00070C28"/>
    <w:rsid w:val="00071074"/>
    <w:rsid w:val="000714E9"/>
    <w:rsid w:val="000715A3"/>
    <w:rsid w:val="000716D1"/>
    <w:rsid w:val="000717F2"/>
    <w:rsid w:val="00072673"/>
    <w:rsid w:val="00072BBD"/>
    <w:rsid w:val="00072BF3"/>
    <w:rsid w:val="00072CFC"/>
    <w:rsid w:val="00072E83"/>
    <w:rsid w:val="0007341F"/>
    <w:rsid w:val="000737E6"/>
    <w:rsid w:val="000737E7"/>
    <w:rsid w:val="00073EA4"/>
    <w:rsid w:val="0007419C"/>
    <w:rsid w:val="00074E42"/>
    <w:rsid w:val="00075C86"/>
    <w:rsid w:val="000763FE"/>
    <w:rsid w:val="0007651C"/>
    <w:rsid w:val="000767EE"/>
    <w:rsid w:val="00076823"/>
    <w:rsid w:val="00076BDC"/>
    <w:rsid w:val="00076BEB"/>
    <w:rsid w:val="0007701D"/>
    <w:rsid w:val="00077216"/>
    <w:rsid w:val="00077882"/>
    <w:rsid w:val="0007788F"/>
    <w:rsid w:val="00077DB4"/>
    <w:rsid w:val="00080A20"/>
    <w:rsid w:val="00080D32"/>
    <w:rsid w:val="000813F1"/>
    <w:rsid w:val="0008153D"/>
    <w:rsid w:val="0008177B"/>
    <w:rsid w:val="000818B5"/>
    <w:rsid w:val="00081A6C"/>
    <w:rsid w:val="00081E6F"/>
    <w:rsid w:val="000824D7"/>
    <w:rsid w:val="00082E54"/>
    <w:rsid w:val="00083289"/>
    <w:rsid w:val="00083A36"/>
    <w:rsid w:val="00083A97"/>
    <w:rsid w:val="0008450A"/>
    <w:rsid w:val="00084A01"/>
    <w:rsid w:val="00084A5A"/>
    <w:rsid w:val="00084EBC"/>
    <w:rsid w:val="00085700"/>
    <w:rsid w:val="00085F4F"/>
    <w:rsid w:val="00085FCD"/>
    <w:rsid w:val="00086085"/>
    <w:rsid w:val="000860CA"/>
    <w:rsid w:val="0008618D"/>
    <w:rsid w:val="000863AF"/>
    <w:rsid w:val="00086606"/>
    <w:rsid w:val="00087027"/>
    <w:rsid w:val="000870A6"/>
    <w:rsid w:val="00087235"/>
    <w:rsid w:val="00087AF2"/>
    <w:rsid w:val="000903BE"/>
    <w:rsid w:val="0009040A"/>
    <w:rsid w:val="000904F7"/>
    <w:rsid w:val="0009058B"/>
    <w:rsid w:val="00090EED"/>
    <w:rsid w:val="000910F5"/>
    <w:rsid w:val="000911F6"/>
    <w:rsid w:val="000919C9"/>
    <w:rsid w:val="000922A4"/>
    <w:rsid w:val="0009287E"/>
    <w:rsid w:val="000929E5"/>
    <w:rsid w:val="00092B1D"/>
    <w:rsid w:val="00092D94"/>
    <w:rsid w:val="00093B07"/>
    <w:rsid w:val="00093EB9"/>
    <w:rsid w:val="000943E5"/>
    <w:rsid w:val="000948D9"/>
    <w:rsid w:val="00094B1C"/>
    <w:rsid w:val="00095248"/>
    <w:rsid w:val="00095E3C"/>
    <w:rsid w:val="00096077"/>
    <w:rsid w:val="0009617E"/>
    <w:rsid w:val="00096F9B"/>
    <w:rsid w:val="0009727C"/>
    <w:rsid w:val="0009767E"/>
    <w:rsid w:val="00097DB8"/>
    <w:rsid w:val="00097EC2"/>
    <w:rsid w:val="000A00EC"/>
    <w:rsid w:val="000A0CD0"/>
    <w:rsid w:val="000A0EAF"/>
    <w:rsid w:val="000A0EB6"/>
    <w:rsid w:val="000A17AA"/>
    <w:rsid w:val="000A19EC"/>
    <w:rsid w:val="000A1E59"/>
    <w:rsid w:val="000A2038"/>
    <w:rsid w:val="000A2130"/>
    <w:rsid w:val="000A225E"/>
    <w:rsid w:val="000A2346"/>
    <w:rsid w:val="000A28AC"/>
    <w:rsid w:val="000A2940"/>
    <w:rsid w:val="000A2FA9"/>
    <w:rsid w:val="000A35DD"/>
    <w:rsid w:val="000A36C4"/>
    <w:rsid w:val="000A3723"/>
    <w:rsid w:val="000A380B"/>
    <w:rsid w:val="000A39FF"/>
    <w:rsid w:val="000A3E0B"/>
    <w:rsid w:val="000A47E0"/>
    <w:rsid w:val="000A4A1F"/>
    <w:rsid w:val="000A4E26"/>
    <w:rsid w:val="000A52B4"/>
    <w:rsid w:val="000A5462"/>
    <w:rsid w:val="000A5E28"/>
    <w:rsid w:val="000A5FC3"/>
    <w:rsid w:val="000A62CA"/>
    <w:rsid w:val="000A64C0"/>
    <w:rsid w:val="000A665C"/>
    <w:rsid w:val="000A666C"/>
    <w:rsid w:val="000A68F7"/>
    <w:rsid w:val="000A6CD5"/>
    <w:rsid w:val="000A6FE7"/>
    <w:rsid w:val="000A7059"/>
    <w:rsid w:val="000A7482"/>
    <w:rsid w:val="000A753C"/>
    <w:rsid w:val="000A7FF9"/>
    <w:rsid w:val="000B0071"/>
    <w:rsid w:val="000B0159"/>
    <w:rsid w:val="000B028C"/>
    <w:rsid w:val="000B02C8"/>
    <w:rsid w:val="000B02F4"/>
    <w:rsid w:val="000B09DA"/>
    <w:rsid w:val="000B0BBA"/>
    <w:rsid w:val="000B0D7E"/>
    <w:rsid w:val="000B13E3"/>
    <w:rsid w:val="000B1778"/>
    <w:rsid w:val="000B208A"/>
    <w:rsid w:val="000B23BF"/>
    <w:rsid w:val="000B2A20"/>
    <w:rsid w:val="000B2B4D"/>
    <w:rsid w:val="000B2FEB"/>
    <w:rsid w:val="000B311C"/>
    <w:rsid w:val="000B33C9"/>
    <w:rsid w:val="000B35E7"/>
    <w:rsid w:val="000B3B57"/>
    <w:rsid w:val="000B4324"/>
    <w:rsid w:val="000B436D"/>
    <w:rsid w:val="000B4D9F"/>
    <w:rsid w:val="000B4EB8"/>
    <w:rsid w:val="000B5300"/>
    <w:rsid w:val="000B55E3"/>
    <w:rsid w:val="000B58D4"/>
    <w:rsid w:val="000B5BCA"/>
    <w:rsid w:val="000B6321"/>
    <w:rsid w:val="000B6567"/>
    <w:rsid w:val="000B70D5"/>
    <w:rsid w:val="000B73F2"/>
    <w:rsid w:val="000B7BAD"/>
    <w:rsid w:val="000B7BF3"/>
    <w:rsid w:val="000B7DD2"/>
    <w:rsid w:val="000C00EE"/>
    <w:rsid w:val="000C02C2"/>
    <w:rsid w:val="000C0339"/>
    <w:rsid w:val="000C09CB"/>
    <w:rsid w:val="000C0B0E"/>
    <w:rsid w:val="000C0BE3"/>
    <w:rsid w:val="000C1602"/>
    <w:rsid w:val="000C17D7"/>
    <w:rsid w:val="000C18B3"/>
    <w:rsid w:val="000C2DE1"/>
    <w:rsid w:val="000C30C4"/>
    <w:rsid w:val="000C349F"/>
    <w:rsid w:val="000C35F9"/>
    <w:rsid w:val="000C363E"/>
    <w:rsid w:val="000C4682"/>
    <w:rsid w:val="000C4805"/>
    <w:rsid w:val="000C4820"/>
    <w:rsid w:val="000C491B"/>
    <w:rsid w:val="000C4CCF"/>
    <w:rsid w:val="000C4F77"/>
    <w:rsid w:val="000C507E"/>
    <w:rsid w:val="000C53A3"/>
    <w:rsid w:val="000C6110"/>
    <w:rsid w:val="000C6F1D"/>
    <w:rsid w:val="000C6FA8"/>
    <w:rsid w:val="000C6FF0"/>
    <w:rsid w:val="000C72A4"/>
    <w:rsid w:val="000C7498"/>
    <w:rsid w:val="000C7E48"/>
    <w:rsid w:val="000D02AA"/>
    <w:rsid w:val="000D046C"/>
    <w:rsid w:val="000D0CA9"/>
    <w:rsid w:val="000D20F1"/>
    <w:rsid w:val="000D21B1"/>
    <w:rsid w:val="000D25BC"/>
    <w:rsid w:val="000D27B3"/>
    <w:rsid w:val="000D28A0"/>
    <w:rsid w:val="000D29A3"/>
    <w:rsid w:val="000D2A04"/>
    <w:rsid w:val="000D2B97"/>
    <w:rsid w:val="000D2F2E"/>
    <w:rsid w:val="000D2FD9"/>
    <w:rsid w:val="000D32A7"/>
    <w:rsid w:val="000D4014"/>
    <w:rsid w:val="000D50E4"/>
    <w:rsid w:val="000D532F"/>
    <w:rsid w:val="000D54CF"/>
    <w:rsid w:val="000D562C"/>
    <w:rsid w:val="000D5675"/>
    <w:rsid w:val="000D59DC"/>
    <w:rsid w:val="000D5CD1"/>
    <w:rsid w:val="000D60CF"/>
    <w:rsid w:val="000D64D8"/>
    <w:rsid w:val="000D64DD"/>
    <w:rsid w:val="000D664F"/>
    <w:rsid w:val="000D67C5"/>
    <w:rsid w:val="000E0D9A"/>
    <w:rsid w:val="000E1102"/>
    <w:rsid w:val="000E15CE"/>
    <w:rsid w:val="000E18DF"/>
    <w:rsid w:val="000E1E29"/>
    <w:rsid w:val="000E2437"/>
    <w:rsid w:val="000E268F"/>
    <w:rsid w:val="000E310E"/>
    <w:rsid w:val="000E313F"/>
    <w:rsid w:val="000E31DD"/>
    <w:rsid w:val="000E328C"/>
    <w:rsid w:val="000E3862"/>
    <w:rsid w:val="000E4778"/>
    <w:rsid w:val="000E4802"/>
    <w:rsid w:val="000E4B12"/>
    <w:rsid w:val="000E4CD5"/>
    <w:rsid w:val="000E5736"/>
    <w:rsid w:val="000E5AE2"/>
    <w:rsid w:val="000E63D3"/>
    <w:rsid w:val="000E68CC"/>
    <w:rsid w:val="000E6B32"/>
    <w:rsid w:val="000E6C1A"/>
    <w:rsid w:val="000E6E43"/>
    <w:rsid w:val="000E6F96"/>
    <w:rsid w:val="000E7821"/>
    <w:rsid w:val="000E7C78"/>
    <w:rsid w:val="000E7CCD"/>
    <w:rsid w:val="000E7CD2"/>
    <w:rsid w:val="000F00EC"/>
    <w:rsid w:val="000F0876"/>
    <w:rsid w:val="000F09DD"/>
    <w:rsid w:val="000F110B"/>
    <w:rsid w:val="000F16B7"/>
    <w:rsid w:val="000F2095"/>
    <w:rsid w:val="000F21EB"/>
    <w:rsid w:val="000F225A"/>
    <w:rsid w:val="000F2752"/>
    <w:rsid w:val="000F2939"/>
    <w:rsid w:val="000F2B28"/>
    <w:rsid w:val="000F2F34"/>
    <w:rsid w:val="000F3BE5"/>
    <w:rsid w:val="000F3DBD"/>
    <w:rsid w:val="000F4349"/>
    <w:rsid w:val="000F43B9"/>
    <w:rsid w:val="000F45B6"/>
    <w:rsid w:val="000F487D"/>
    <w:rsid w:val="000F4A5B"/>
    <w:rsid w:val="000F4CBD"/>
    <w:rsid w:val="000F52BA"/>
    <w:rsid w:val="000F5A19"/>
    <w:rsid w:val="000F66BE"/>
    <w:rsid w:val="000F718B"/>
    <w:rsid w:val="000F719C"/>
    <w:rsid w:val="000F7542"/>
    <w:rsid w:val="000F77EB"/>
    <w:rsid w:val="000F7DCF"/>
    <w:rsid w:val="000F7E16"/>
    <w:rsid w:val="000F7EF5"/>
    <w:rsid w:val="001003C9"/>
    <w:rsid w:val="001003FD"/>
    <w:rsid w:val="001004AD"/>
    <w:rsid w:val="00100500"/>
    <w:rsid w:val="001009BF"/>
    <w:rsid w:val="00100FFE"/>
    <w:rsid w:val="0010165D"/>
    <w:rsid w:val="00101D19"/>
    <w:rsid w:val="00101D6E"/>
    <w:rsid w:val="00101EF7"/>
    <w:rsid w:val="00102503"/>
    <w:rsid w:val="00104461"/>
    <w:rsid w:val="00104E72"/>
    <w:rsid w:val="00105283"/>
    <w:rsid w:val="001055C1"/>
    <w:rsid w:val="00105CDF"/>
    <w:rsid w:val="0010661E"/>
    <w:rsid w:val="00106E05"/>
    <w:rsid w:val="00106F89"/>
    <w:rsid w:val="001071E0"/>
    <w:rsid w:val="00107B02"/>
    <w:rsid w:val="00107C91"/>
    <w:rsid w:val="00110290"/>
    <w:rsid w:val="001106DA"/>
    <w:rsid w:val="001106FF"/>
    <w:rsid w:val="00111122"/>
    <w:rsid w:val="0011172C"/>
    <w:rsid w:val="00111D09"/>
    <w:rsid w:val="001123F2"/>
    <w:rsid w:val="00112631"/>
    <w:rsid w:val="00112BA6"/>
    <w:rsid w:val="00113007"/>
    <w:rsid w:val="0011355E"/>
    <w:rsid w:val="001135D2"/>
    <w:rsid w:val="00113791"/>
    <w:rsid w:val="001138EB"/>
    <w:rsid w:val="00114036"/>
    <w:rsid w:val="00114CA7"/>
    <w:rsid w:val="00115250"/>
    <w:rsid w:val="001157CA"/>
    <w:rsid w:val="00115E84"/>
    <w:rsid w:val="001161F1"/>
    <w:rsid w:val="0011648E"/>
    <w:rsid w:val="00116A45"/>
    <w:rsid w:val="00116AE9"/>
    <w:rsid w:val="00116C6F"/>
    <w:rsid w:val="00117388"/>
    <w:rsid w:val="00117683"/>
    <w:rsid w:val="0011775F"/>
    <w:rsid w:val="0012014C"/>
    <w:rsid w:val="0012019C"/>
    <w:rsid w:val="0012022E"/>
    <w:rsid w:val="0012039C"/>
    <w:rsid w:val="001207DF"/>
    <w:rsid w:val="00120B9F"/>
    <w:rsid w:val="00121538"/>
    <w:rsid w:val="0012153F"/>
    <w:rsid w:val="00121D7D"/>
    <w:rsid w:val="00121EB2"/>
    <w:rsid w:val="00122A1F"/>
    <w:rsid w:val="00122C1C"/>
    <w:rsid w:val="00122D65"/>
    <w:rsid w:val="00122FE1"/>
    <w:rsid w:val="00123665"/>
    <w:rsid w:val="00123694"/>
    <w:rsid w:val="001236BE"/>
    <w:rsid w:val="00123C34"/>
    <w:rsid w:val="00123C44"/>
    <w:rsid w:val="00123CCE"/>
    <w:rsid w:val="001245BE"/>
    <w:rsid w:val="00124739"/>
    <w:rsid w:val="00124D66"/>
    <w:rsid w:val="001253ED"/>
    <w:rsid w:val="00126FCD"/>
    <w:rsid w:val="001271F5"/>
    <w:rsid w:val="0012738B"/>
    <w:rsid w:val="00127841"/>
    <w:rsid w:val="00127B0E"/>
    <w:rsid w:val="00127CCA"/>
    <w:rsid w:val="00130426"/>
    <w:rsid w:val="00130474"/>
    <w:rsid w:val="00130CDF"/>
    <w:rsid w:val="00131395"/>
    <w:rsid w:val="001314C2"/>
    <w:rsid w:val="00131BA3"/>
    <w:rsid w:val="00131E1B"/>
    <w:rsid w:val="00131F6B"/>
    <w:rsid w:val="001320DB"/>
    <w:rsid w:val="00133A5B"/>
    <w:rsid w:val="00133D2A"/>
    <w:rsid w:val="001340CD"/>
    <w:rsid w:val="0013410B"/>
    <w:rsid w:val="00134A59"/>
    <w:rsid w:val="00134B0A"/>
    <w:rsid w:val="00134B1D"/>
    <w:rsid w:val="00134C1C"/>
    <w:rsid w:val="0013564B"/>
    <w:rsid w:val="00135E65"/>
    <w:rsid w:val="001363BE"/>
    <w:rsid w:val="001364A9"/>
    <w:rsid w:val="0013650D"/>
    <w:rsid w:val="00136999"/>
    <w:rsid w:val="00136CC3"/>
    <w:rsid w:val="00137313"/>
    <w:rsid w:val="001373AC"/>
    <w:rsid w:val="0013778B"/>
    <w:rsid w:val="0013784E"/>
    <w:rsid w:val="00137B3C"/>
    <w:rsid w:val="00137B65"/>
    <w:rsid w:val="00140877"/>
    <w:rsid w:val="00140A7A"/>
    <w:rsid w:val="00141C54"/>
    <w:rsid w:val="0014228C"/>
    <w:rsid w:val="00142464"/>
    <w:rsid w:val="00142989"/>
    <w:rsid w:val="00142CAE"/>
    <w:rsid w:val="00142D60"/>
    <w:rsid w:val="001430DA"/>
    <w:rsid w:val="00143243"/>
    <w:rsid w:val="0014369F"/>
    <w:rsid w:val="001439FC"/>
    <w:rsid w:val="00143C65"/>
    <w:rsid w:val="001449C0"/>
    <w:rsid w:val="00144E72"/>
    <w:rsid w:val="00144F67"/>
    <w:rsid w:val="00145312"/>
    <w:rsid w:val="00145442"/>
    <w:rsid w:val="00145562"/>
    <w:rsid w:val="00145595"/>
    <w:rsid w:val="001460CA"/>
    <w:rsid w:val="0014613B"/>
    <w:rsid w:val="001463D3"/>
    <w:rsid w:val="001463E1"/>
    <w:rsid w:val="00146430"/>
    <w:rsid w:val="00146A29"/>
    <w:rsid w:val="00146A79"/>
    <w:rsid w:val="001470A5"/>
    <w:rsid w:val="001476FB"/>
    <w:rsid w:val="00147AE6"/>
    <w:rsid w:val="00150187"/>
    <w:rsid w:val="001501FB"/>
    <w:rsid w:val="001506EF"/>
    <w:rsid w:val="0015083B"/>
    <w:rsid w:val="00150A08"/>
    <w:rsid w:val="001512AC"/>
    <w:rsid w:val="00151305"/>
    <w:rsid w:val="001513AD"/>
    <w:rsid w:val="00151683"/>
    <w:rsid w:val="001516DC"/>
    <w:rsid w:val="00151781"/>
    <w:rsid w:val="001517DD"/>
    <w:rsid w:val="00151A36"/>
    <w:rsid w:val="00151AC2"/>
    <w:rsid w:val="00151B12"/>
    <w:rsid w:val="001521A3"/>
    <w:rsid w:val="00152217"/>
    <w:rsid w:val="0015247D"/>
    <w:rsid w:val="001527D2"/>
    <w:rsid w:val="00152B55"/>
    <w:rsid w:val="00152DFC"/>
    <w:rsid w:val="00152FE4"/>
    <w:rsid w:val="001536DE"/>
    <w:rsid w:val="00153881"/>
    <w:rsid w:val="001539BE"/>
    <w:rsid w:val="00153BF0"/>
    <w:rsid w:val="00153C3D"/>
    <w:rsid w:val="0015433D"/>
    <w:rsid w:val="001544D9"/>
    <w:rsid w:val="00154723"/>
    <w:rsid w:val="00154DC4"/>
    <w:rsid w:val="00154E36"/>
    <w:rsid w:val="00154F8A"/>
    <w:rsid w:val="00155072"/>
    <w:rsid w:val="00155140"/>
    <w:rsid w:val="00155192"/>
    <w:rsid w:val="00155F85"/>
    <w:rsid w:val="00156249"/>
    <w:rsid w:val="00156965"/>
    <w:rsid w:val="00156ABD"/>
    <w:rsid w:val="00157970"/>
    <w:rsid w:val="00157D16"/>
    <w:rsid w:val="001602C0"/>
    <w:rsid w:val="00160B76"/>
    <w:rsid w:val="00161558"/>
    <w:rsid w:val="00161693"/>
    <w:rsid w:val="00161A35"/>
    <w:rsid w:val="00162751"/>
    <w:rsid w:val="00162DB1"/>
    <w:rsid w:val="00162FCD"/>
    <w:rsid w:val="001630A0"/>
    <w:rsid w:val="00163156"/>
    <w:rsid w:val="00163478"/>
    <w:rsid w:val="001634B3"/>
    <w:rsid w:val="00163874"/>
    <w:rsid w:val="00163B66"/>
    <w:rsid w:val="0016404F"/>
    <w:rsid w:val="00164E58"/>
    <w:rsid w:val="00165478"/>
    <w:rsid w:val="001655AB"/>
    <w:rsid w:val="001659CA"/>
    <w:rsid w:val="00165DAF"/>
    <w:rsid w:val="001664FF"/>
    <w:rsid w:val="001666BD"/>
    <w:rsid w:val="00166A09"/>
    <w:rsid w:val="00166C45"/>
    <w:rsid w:val="001676CD"/>
    <w:rsid w:val="00167DD4"/>
    <w:rsid w:val="00167E24"/>
    <w:rsid w:val="0017069D"/>
    <w:rsid w:val="001707EF"/>
    <w:rsid w:val="00170A90"/>
    <w:rsid w:val="001710CE"/>
    <w:rsid w:val="001712BE"/>
    <w:rsid w:val="00171879"/>
    <w:rsid w:val="00171E6B"/>
    <w:rsid w:val="00171F65"/>
    <w:rsid w:val="0017258F"/>
    <w:rsid w:val="001726A5"/>
    <w:rsid w:val="001726B2"/>
    <w:rsid w:val="001726BF"/>
    <w:rsid w:val="00172A5B"/>
    <w:rsid w:val="00172CDF"/>
    <w:rsid w:val="00172D62"/>
    <w:rsid w:val="00173718"/>
    <w:rsid w:val="001737ED"/>
    <w:rsid w:val="00174102"/>
    <w:rsid w:val="00174A56"/>
    <w:rsid w:val="00174BAF"/>
    <w:rsid w:val="001751EB"/>
    <w:rsid w:val="001755D0"/>
    <w:rsid w:val="00175933"/>
    <w:rsid w:val="0017654D"/>
    <w:rsid w:val="001768E7"/>
    <w:rsid w:val="0017697F"/>
    <w:rsid w:val="00176B81"/>
    <w:rsid w:val="00176EC3"/>
    <w:rsid w:val="00176EE0"/>
    <w:rsid w:val="001806F3"/>
    <w:rsid w:val="00181024"/>
    <w:rsid w:val="00181929"/>
    <w:rsid w:val="00181BD0"/>
    <w:rsid w:val="00181CED"/>
    <w:rsid w:val="00181D29"/>
    <w:rsid w:val="00181E54"/>
    <w:rsid w:val="00181E85"/>
    <w:rsid w:val="001822A0"/>
    <w:rsid w:val="001830A9"/>
    <w:rsid w:val="00183314"/>
    <w:rsid w:val="00183B6E"/>
    <w:rsid w:val="00183EDB"/>
    <w:rsid w:val="00183FC0"/>
    <w:rsid w:val="00184295"/>
    <w:rsid w:val="00184342"/>
    <w:rsid w:val="00184943"/>
    <w:rsid w:val="00185227"/>
    <w:rsid w:val="00185781"/>
    <w:rsid w:val="00185E5F"/>
    <w:rsid w:val="00186489"/>
    <w:rsid w:val="001867D2"/>
    <w:rsid w:val="00186953"/>
    <w:rsid w:val="001870B1"/>
    <w:rsid w:val="00187518"/>
    <w:rsid w:val="00187521"/>
    <w:rsid w:val="00187CF7"/>
    <w:rsid w:val="00187D2B"/>
    <w:rsid w:val="00187DD0"/>
    <w:rsid w:val="00190AC8"/>
    <w:rsid w:val="00191039"/>
    <w:rsid w:val="001912E3"/>
    <w:rsid w:val="00191404"/>
    <w:rsid w:val="0019181C"/>
    <w:rsid w:val="00191C35"/>
    <w:rsid w:val="00191DD1"/>
    <w:rsid w:val="00191E1B"/>
    <w:rsid w:val="00192957"/>
    <w:rsid w:val="00192A4A"/>
    <w:rsid w:val="00192AE7"/>
    <w:rsid w:val="00192EC0"/>
    <w:rsid w:val="001932EB"/>
    <w:rsid w:val="00193676"/>
    <w:rsid w:val="00193CB4"/>
    <w:rsid w:val="00193FCC"/>
    <w:rsid w:val="0019441A"/>
    <w:rsid w:val="00194708"/>
    <w:rsid w:val="00195121"/>
    <w:rsid w:val="001955D0"/>
    <w:rsid w:val="00195B4F"/>
    <w:rsid w:val="00195DE8"/>
    <w:rsid w:val="00195ED8"/>
    <w:rsid w:val="0019704A"/>
    <w:rsid w:val="00197405"/>
    <w:rsid w:val="001974D3"/>
    <w:rsid w:val="001977B5"/>
    <w:rsid w:val="00197910"/>
    <w:rsid w:val="001A0123"/>
    <w:rsid w:val="001A0B0F"/>
    <w:rsid w:val="001A10B1"/>
    <w:rsid w:val="001A1109"/>
    <w:rsid w:val="001A1686"/>
    <w:rsid w:val="001A2539"/>
    <w:rsid w:val="001A2567"/>
    <w:rsid w:val="001A293C"/>
    <w:rsid w:val="001A2991"/>
    <w:rsid w:val="001A2C57"/>
    <w:rsid w:val="001A2E5A"/>
    <w:rsid w:val="001A304B"/>
    <w:rsid w:val="001A3600"/>
    <w:rsid w:val="001A3661"/>
    <w:rsid w:val="001A38D6"/>
    <w:rsid w:val="001A4419"/>
    <w:rsid w:val="001A44B3"/>
    <w:rsid w:val="001A4847"/>
    <w:rsid w:val="001A48D4"/>
    <w:rsid w:val="001A4954"/>
    <w:rsid w:val="001A4C11"/>
    <w:rsid w:val="001A4CA9"/>
    <w:rsid w:val="001A51CC"/>
    <w:rsid w:val="001A532E"/>
    <w:rsid w:val="001A567C"/>
    <w:rsid w:val="001A5CE8"/>
    <w:rsid w:val="001A6B2C"/>
    <w:rsid w:val="001A6B69"/>
    <w:rsid w:val="001A6C79"/>
    <w:rsid w:val="001A7AA7"/>
    <w:rsid w:val="001A7D59"/>
    <w:rsid w:val="001A7E0E"/>
    <w:rsid w:val="001B0038"/>
    <w:rsid w:val="001B0544"/>
    <w:rsid w:val="001B08D2"/>
    <w:rsid w:val="001B129E"/>
    <w:rsid w:val="001B1C97"/>
    <w:rsid w:val="001B1CC6"/>
    <w:rsid w:val="001B1D94"/>
    <w:rsid w:val="001B23BA"/>
    <w:rsid w:val="001B27B0"/>
    <w:rsid w:val="001B2DCA"/>
    <w:rsid w:val="001B317F"/>
    <w:rsid w:val="001B36A3"/>
    <w:rsid w:val="001B3787"/>
    <w:rsid w:val="001B3B1E"/>
    <w:rsid w:val="001B3F9D"/>
    <w:rsid w:val="001B4137"/>
    <w:rsid w:val="001B4A8C"/>
    <w:rsid w:val="001B4BDD"/>
    <w:rsid w:val="001B5013"/>
    <w:rsid w:val="001B5B83"/>
    <w:rsid w:val="001B5C10"/>
    <w:rsid w:val="001B62FC"/>
    <w:rsid w:val="001B6494"/>
    <w:rsid w:val="001B669A"/>
    <w:rsid w:val="001B67BB"/>
    <w:rsid w:val="001B6D6B"/>
    <w:rsid w:val="001B7363"/>
    <w:rsid w:val="001C007E"/>
    <w:rsid w:val="001C08BB"/>
    <w:rsid w:val="001C131C"/>
    <w:rsid w:val="001C1558"/>
    <w:rsid w:val="001C17C2"/>
    <w:rsid w:val="001C17C5"/>
    <w:rsid w:val="001C199C"/>
    <w:rsid w:val="001C19CE"/>
    <w:rsid w:val="001C1B61"/>
    <w:rsid w:val="001C21DB"/>
    <w:rsid w:val="001C2521"/>
    <w:rsid w:val="001C2722"/>
    <w:rsid w:val="001C2CE8"/>
    <w:rsid w:val="001C2FA4"/>
    <w:rsid w:val="001C32F7"/>
    <w:rsid w:val="001C35E8"/>
    <w:rsid w:val="001C4621"/>
    <w:rsid w:val="001C46F4"/>
    <w:rsid w:val="001C47B0"/>
    <w:rsid w:val="001C496A"/>
    <w:rsid w:val="001C4E31"/>
    <w:rsid w:val="001C4E64"/>
    <w:rsid w:val="001C5555"/>
    <w:rsid w:val="001C5CF0"/>
    <w:rsid w:val="001C61F0"/>
    <w:rsid w:val="001C6814"/>
    <w:rsid w:val="001C6851"/>
    <w:rsid w:val="001C6860"/>
    <w:rsid w:val="001C6876"/>
    <w:rsid w:val="001C6AA7"/>
    <w:rsid w:val="001C7166"/>
    <w:rsid w:val="001C716C"/>
    <w:rsid w:val="001C722F"/>
    <w:rsid w:val="001C739B"/>
    <w:rsid w:val="001C78C3"/>
    <w:rsid w:val="001C7FBE"/>
    <w:rsid w:val="001CF09B"/>
    <w:rsid w:val="001D0A94"/>
    <w:rsid w:val="001D1536"/>
    <w:rsid w:val="001D175D"/>
    <w:rsid w:val="001D1FAF"/>
    <w:rsid w:val="001D20A7"/>
    <w:rsid w:val="001D27DC"/>
    <w:rsid w:val="001D2941"/>
    <w:rsid w:val="001D309D"/>
    <w:rsid w:val="001D30C3"/>
    <w:rsid w:val="001D30EE"/>
    <w:rsid w:val="001D32D1"/>
    <w:rsid w:val="001D3AD5"/>
    <w:rsid w:val="001D43B8"/>
    <w:rsid w:val="001D4ABE"/>
    <w:rsid w:val="001D50E5"/>
    <w:rsid w:val="001D6D10"/>
    <w:rsid w:val="001D7094"/>
    <w:rsid w:val="001D74C5"/>
    <w:rsid w:val="001D7C1C"/>
    <w:rsid w:val="001D7D8C"/>
    <w:rsid w:val="001E0108"/>
    <w:rsid w:val="001E04B1"/>
    <w:rsid w:val="001E056A"/>
    <w:rsid w:val="001E128C"/>
    <w:rsid w:val="001E149D"/>
    <w:rsid w:val="001E14FE"/>
    <w:rsid w:val="001E1A1A"/>
    <w:rsid w:val="001E1F0A"/>
    <w:rsid w:val="001E2193"/>
    <w:rsid w:val="001E2253"/>
    <w:rsid w:val="001E24A7"/>
    <w:rsid w:val="001E2557"/>
    <w:rsid w:val="001E2CEB"/>
    <w:rsid w:val="001E350D"/>
    <w:rsid w:val="001E392A"/>
    <w:rsid w:val="001E4AA5"/>
    <w:rsid w:val="001E5511"/>
    <w:rsid w:val="001E6129"/>
    <w:rsid w:val="001E66C4"/>
    <w:rsid w:val="001E7C0E"/>
    <w:rsid w:val="001F096A"/>
    <w:rsid w:val="001F0E1B"/>
    <w:rsid w:val="001F1CDC"/>
    <w:rsid w:val="001F21C9"/>
    <w:rsid w:val="001F23CD"/>
    <w:rsid w:val="001F2C66"/>
    <w:rsid w:val="001F2D2C"/>
    <w:rsid w:val="001F2D6E"/>
    <w:rsid w:val="001F3726"/>
    <w:rsid w:val="001F3FB1"/>
    <w:rsid w:val="001F40B7"/>
    <w:rsid w:val="001F4326"/>
    <w:rsid w:val="001F4799"/>
    <w:rsid w:val="001F4B0E"/>
    <w:rsid w:val="001F5471"/>
    <w:rsid w:val="001F5542"/>
    <w:rsid w:val="001F5593"/>
    <w:rsid w:val="001F5705"/>
    <w:rsid w:val="001F5DF9"/>
    <w:rsid w:val="001F607B"/>
    <w:rsid w:val="001F6765"/>
    <w:rsid w:val="001F6C4E"/>
    <w:rsid w:val="001F6E39"/>
    <w:rsid w:val="001F6E8F"/>
    <w:rsid w:val="001F72F5"/>
    <w:rsid w:val="001F74F6"/>
    <w:rsid w:val="001F7D6E"/>
    <w:rsid w:val="001F7FF8"/>
    <w:rsid w:val="002006F9"/>
    <w:rsid w:val="00200A29"/>
    <w:rsid w:val="00200B3F"/>
    <w:rsid w:val="00200F79"/>
    <w:rsid w:val="00201712"/>
    <w:rsid w:val="0020218E"/>
    <w:rsid w:val="00202516"/>
    <w:rsid w:val="002027F5"/>
    <w:rsid w:val="00202A27"/>
    <w:rsid w:val="00202A7D"/>
    <w:rsid w:val="00202F28"/>
    <w:rsid w:val="002032CF"/>
    <w:rsid w:val="00203512"/>
    <w:rsid w:val="00203643"/>
    <w:rsid w:val="0020389C"/>
    <w:rsid w:val="002038AA"/>
    <w:rsid w:val="00203B68"/>
    <w:rsid w:val="00203C3A"/>
    <w:rsid w:val="00204208"/>
    <w:rsid w:val="0020425A"/>
    <w:rsid w:val="00204399"/>
    <w:rsid w:val="00204742"/>
    <w:rsid w:val="00204994"/>
    <w:rsid w:val="00204C19"/>
    <w:rsid w:val="00204E37"/>
    <w:rsid w:val="002057A7"/>
    <w:rsid w:val="00205AC4"/>
    <w:rsid w:val="00206268"/>
    <w:rsid w:val="00206697"/>
    <w:rsid w:val="002067E3"/>
    <w:rsid w:val="00206BC6"/>
    <w:rsid w:val="00206C70"/>
    <w:rsid w:val="00206D29"/>
    <w:rsid w:val="002076FB"/>
    <w:rsid w:val="00207D0F"/>
    <w:rsid w:val="00207E15"/>
    <w:rsid w:val="00207F8F"/>
    <w:rsid w:val="002101CB"/>
    <w:rsid w:val="00210210"/>
    <w:rsid w:val="00210963"/>
    <w:rsid w:val="00210B85"/>
    <w:rsid w:val="00210F03"/>
    <w:rsid w:val="00210F3A"/>
    <w:rsid w:val="002116CD"/>
    <w:rsid w:val="00211F12"/>
    <w:rsid w:val="00212C3F"/>
    <w:rsid w:val="00212E22"/>
    <w:rsid w:val="00212E27"/>
    <w:rsid w:val="002131B9"/>
    <w:rsid w:val="0021333D"/>
    <w:rsid w:val="0021372D"/>
    <w:rsid w:val="0021378F"/>
    <w:rsid w:val="002139D2"/>
    <w:rsid w:val="00213A2E"/>
    <w:rsid w:val="00213CCA"/>
    <w:rsid w:val="00213D34"/>
    <w:rsid w:val="00213DF3"/>
    <w:rsid w:val="00213E1D"/>
    <w:rsid w:val="00213E5E"/>
    <w:rsid w:val="0021449E"/>
    <w:rsid w:val="00214648"/>
    <w:rsid w:val="00214833"/>
    <w:rsid w:val="00214CB7"/>
    <w:rsid w:val="00214F8F"/>
    <w:rsid w:val="00214F90"/>
    <w:rsid w:val="00215203"/>
    <w:rsid w:val="0021534B"/>
    <w:rsid w:val="002154C3"/>
    <w:rsid w:val="00215A3F"/>
    <w:rsid w:val="00215B8D"/>
    <w:rsid w:val="00215E32"/>
    <w:rsid w:val="002161F2"/>
    <w:rsid w:val="0021633D"/>
    <w:rsid w:val="002163B5"/>
    <w:rsid w:val="0021647C"/>
    <w:rsid w:val="00216615"/>
    <w:rsid w:val="00216749"/>
    <w:rsid w:val="00216D94"/>
    <w:rsid w:val="00216E10"/>
    <w:rsid w:val="00216E67"/>
    <w:rsid w:val="002179F9"/>
    <w:rsid w:val="00217ABC"/>
    <w:rsid w:val="00217D0B"/>
    <w:rsid w:val="002201AB"/>
    <w:rsid w:val="002203C8"/>
    <w:rsid w:val="002204B4"/>
    <w:rsid w:val="002205B9"/>
    <w:rsid w:val="0022125E"/>
    <w:rsid w:val="002212B2"/>
    <w:rsid w:val="002213CF"/>
    <w:rsid w:val="0022199D"/>
    <w:rsid w:val="002219FE"/>
    <w:rsid w:val="002220DE"/>
    <w:rsid w:val="0022282B"/>
    <w:rsid w:val="00223553"/>
    <w:rsid w:val="002238E7"/>
    <w:rsid w:val="00223A1B"/>
    <w:rsid w:val="00223A8E"/>
    <w:rsid w:val="00223DA2"/>
    <w:rsid w:val="00224117"/>
    <w:rsid w:val="0022435A"/>
    <w:rsid w:val="002244A4"/>
    <w:rsid w:val="002244A7"/>
    <w:rsid w:val="00224D47"/>
    <w:rsid w:val="00224D69"/>
    <w:rsid w:val="00224FBE"/>
    <w:rsid w:val="00226147"/>
    <w:rsid w:val="0022674C"/>
    <w:rsid w:val="00226817"/>
    <w:rsid w:val="00226FC3"/>
    <w:rsid w:val="0022769A"/>
    <w:rsid w:val="002277F6"/>
    <w:rsid w:val="00227B17"/>
    <w:rsid w:val="0023012C"/>
    <w:rsid w:val="00230776"/>
    <w:rsid w:val="00230BC6"/>
    <w:rsid w:val="00230E87"/>
    <w:rsid w:val="0023109C"/>
    <w:rsid w:val="0023137D"/>
    <w:rsid w:val="00231440"/>
    <w:rsid w:val="00231CE2"/>
    <w:rsid w:val="00232438"/>
    <w:rsid w:val="00232499"/>
    <w:rsid w:val="00232905"/>
    <w:rsid w:val="00233905"/>
    <w:rsid w:val="00233B10"/>
    <w:rsid w:val="002340B9"/>
    <w:rsid w:val="00234498"/>
    <w:rsid w:val="00234856"/>
    <w:rsid w:val="0023486A"/>
    <w:rsid w:val="002348A1"/>
    <w:rsid w:val="002351EB"/>
    <w:rsid w:val="00235614"/>
    <w:rsid w:val="00235938"/>
    <w:rsid w:val="00235BB0"/>
    <w:rsid w:val="00235D2A"/>
    <w:rsid w:val="002360C6"/>
    <w:rsid w:val="00236902"/>
    <w:rsid w:val="00236D88"/>
    <w:rsid w:val="00236DB9"/>
    <w:rsid w:val="00237109"/>
    <w:rsid w:val="00237612"/>
    <w:rsid w:val="00237C43"/>
    <w:rsid w:val="00237E72"/>
    <w:rsid w:val="00240064"/>
    <w:rsid w:val="00240592"/>
    <w:rsid w:val="002412C6"/>
    <w:rsid w:val="002414FD"/>
    <w:rsid w:val="00241DF7"/>
    <w:rsid w:val="00241F76"/>
    <w:rsid w:val="00241FA8"/>
    <w:rsid w:val="00242391"/>
    <w:rsid w:val="0024247B"/>
    <w:rsid w:val="002429BE"/>
    <w:rsid w:val="00243077"/>
    <w:rsid w:val="00243E24"/>
    <w:rsid w:val="00243FC9"/>
    <w:rsid w:val="0024441F"/>
    <w:rsid w:val="00244B90"/>
    <w:rsid w:val="00244E49"/>
    <w:rsid w:val="00245740"/>
    <w:rsid w:val="00245767"/>
    <w:rsid w:val="00245873"/>
    <w:rsid w:val="00245D89"/>
    <w:rsid w:val="00245E53"/>
    <w:rsid w:val="00245FBA"/>
    <w:rsid w:val="0024601B"/>
    <w:rsid w:val="00246395"/>
    <w:rsid w:val="00246C29"/>
    <w:rsid w:val="00246DCD"/>
    <w:rsid w:val="00247075"/>
    <w:rsid w:val="002473FA"/>
    <w:rsid w:val="0024744A"/>
    <w:rsid w:val="00247FDB"/>
    <w:rsid w:val="00250BD5"/>
    <w:rsid w:val="0025121D"/>
    <w:rsid w:val="00253F29"/>
    <w:rsid w:val="00254196"/>
    <w:rsid w:val="002548B8"/>
    <w:rsid w:val="00254A8F"/>
    <w:rsid w:val="00254DAA"/>
    <w:rsid w:val="00254F06"/>
    <w:rsid w:val="0025521A"/>
    <w:rsid w:val="0025530A"/>
    <w:rsid w:val="002555D3"/>
    <w:rsid w:val="0025640B"/>
    <w:rsid w:val="002565B6"/>
    <w:rsid w:val="00256CC8"/>
    <w:rsid w:val="0025766D"/>
    <w:rsid w:val="002578A9"/>
    <w:rsid w:val="00257C71"/>
    <w:rsid w:val="0026078D"/>
    <w:rsid w:val="00260D9C"/>
    <w:rsid w:val="0026124B"/>
    <w:rsid w:val="002615D1"/>
    <w:rsid w:val="00261B5B"/>
    <w:rsid w:val="00261F97"/>
    <w:rsid w:val="0026258A"/>
    <w:rsid w:val="0026263D"/>
    <w:rsid w:val="00262AB8"/>
    <w:rsid w:val="00263163"/>
    <w:rsid w:val="00263A80"/>
    <w:rsid w:val="00263D3D"/>
    <w:rsid w:val="00263DB9"/>
    <w:rsid w:val="002640CF"/>
    <w:rsid w:val="002642EC"/>
    <w:rsid w:val="002643D3"/>
    <w:rsid w:val="00264573"/>
    <w:rsid w:val="00264DD2"/>
    <w:rsid w:val="00264FDB"/>
    <w:rsid w:val="002654E5"/>
    <w:rsid w:val="00265512"/>
    <w:rsid w:val="0026563E"/>
    <w:rsid w:val="00265CE9"/>
    <w:rsid w:val="00265E1A"/>
    <w:rsid w:val="0026633E"/>
    <w:rsid w:val="002664F5"/>
    <w:rsid w:val="00266B8F"/>
    <w:rsid w:val="00266FA6"/>
    <w:rsid w:val="0026740C"/>
    <w:rsid w:val="00267FDD"/>
    <w:rsid w:val="00270106"/>
    <w:rsid w:val="0027079A"/>
    <w:rsid w:val="00270921"/>
    <w:rsid w:val="00270C9D"/>
    <w:rsid w:val="00270D7B"/>
    <w:rsid w:val="002713B4"/>
    <w:rsid w:val="002713CA"/>
    <w:rsid w:val="002714D6"/>
    <w:rsid w:val="002716ED"/>
    <w:rsid w:val="00271F16"/>
    <w:rsid w:val="002721EE"/>
    <w:rsid w:val="002728AA"/>
    <w:rsid w:val="00272D3B"/>
    <w:rsid w:val="00272E21"/>
    <w:rsid w:val="00272E9E"/>
    <w:rsid w:val="0027330A"/>
    <w:rsid w:val="00273405"/>
    <w:rsid w:val="002737B9"/>
    <w:rsid w:val="00273A1A"/>
    <w:rsid w:val="00274128"/>
    <w:rsid w:val="002749B9"/>
    <w:rsid w:val="002749F1"/>
    <w:rsid w:val="0027517F"/>
    <w:rsid w:val="00275383"/>
    <w:rsid w:val="00275517"/>
    <w:rsid w:val="00275562"/>
    <w:rsid w:val="0027572C"/>
    <w:rsid w:val="002760E3"/>
    <w:rsid w:val="00276100"/>
    <w:rsid w:val="00276584"/>
    <w:rsid w:val="00276A7D"/>
    <w:rsid w:val="00276DB1"/>
    <w:rsid w:val="00276E39"/>
    <w:rsid w:val="0027739B"/>
    <w:rsid w:val="002775DE"/>
    <w:rsid w:val="00277712"/>
    <w:rsid w:val="002777A5"/>
    <w:rsid w:val="00277991"/>
    <w:rsid w:val="00277CAD"/>
    <w:rsid w:val="00277EA6"/>
    <w:rsid w:val="002800D8"/>
    <w:rsid w:val="002801CD"/>
    <w:rsid w:val="00280246"/>
    <w:rsid w:val="00280A55"/>
    <w:rsid w:val="00280FC8"/>
    <w:rsid w:val="00281034"/>
    <w:rsid w:val="00281063"/>
    <w:rsid w:val="00281917"/>
    <w:rsid w:val="002819A1"/>
    <w:rsid w:val="00281DDE"/>
    <w:rsid w:val="00281FAA"/>
    <w:rsid w:val="00282142"/>
    <w:rsid w:val="0028284A"/>
    <w:rsid w:val="0028315C"/>
    <w:rsid w:val="00283561"/>
    <w:rsid w:val="00283AF9"/>
    <w:rsid w:val="00283BE7"/>
    <w:rsid w:val="002844E5"/>
    <w:rsid w:val="002850D8"/>
    <w:rsid w:val="0028572D"/>
    <w:rsid w:val="002857CB"/>
    <w:rsid w:val="00285E9B"/>
    <w:rsid w:val="002863E5"/>
    <w:rsid w:val="002873DD"/>
    <w:rsid w:val="00287EFA"/>
    <w:rsid w:val="00290159"/>
    <w:rsid w:val="00290700"/>
    <w:rsid w:val="002907FC"/>
    <w:rsid w:val="00290BF1"/>
    <w:rsid w:val="002911FE"/>
    <w:rsid w:val="0029189F"/>
    <w:rsid w:val="002920BA"/>
    <w:rsid w:val="00292121"/>
    <w:rsid w:val="00292912"/>
    <w:rsid w:val="00292F23"/>
    <w:rsid w:val="0029347B"/>
    <w:rsid w:val="0029377A"/>
    <w:rsid w:val="00293E27"/>
    <w:rsid w:val="00293EEE"/>
    <w:rsid w:val="00293F97"/>
    <w:rsid w:val="0029400F"/>
    <w:rsid w:val="00294114"/>
    <w:rsid w:val="00294143"/>
    <w:rsid w:val="00294E00"/>
    <w:rsid w:val="0029562A"/>
    <w:rsid w:val="00295729"/>
    <w:rsid w:val="00295744"/>
    <w:rsid w:val="0029583C"/>
    <w:rsid w:val="00295A58"/>
    <w:rsid w:val="00295B0C"/>
    <w:rsid w:val="00295C70"/>
    <w:rsid w:val="0029601E"/>
    <w:rsid w:val="0029649C"/>
    <w:rsid w:val="00296D2B"/>
    <w:rsid w:val="00296DB2"/>
    <w:rsid w:val="00296E99"/>
    <w:rsid w:val="00297950"/>
    <w:rsid w:val="00297EB6"/>
    <w:rsid w:val="0029F8ED"/>
    <w:rsid w:val="002A0302"/>
    <w:rsid w:val="002A0454"/>
    <w:rsid w:val="002A076C"/>
    <w:rsid w:val="002A096D"/>
    <w:rsid w:val="002A0B57"/>
    <w:rsid w:val="002A16D0"/>
    <w:rsid w:val="002A1EE0"/>
    <w:rsid w:val="002A2D08"/>
    <w:rsid w:val="002A2F9B"/>
    <w:rsid w:val="002A3957"/>
    <w:rsid w:val="002A3AA2"/>
    <w:rsid w:val="002A3B00"/>
    <w:rsid w:val="002A43B3"/>
    <w:rsid w:val="002A4717"/>
    <w:rsid w:val="002A4945"/>
    <w:rsid w:val="002A49B2"/>
    <w:rsid w:val="002A4E26"/>
    <w:rsid w:val="002A4EC6"/>
    <w:rsid w:val="002A5518"/>
    <w:rsid w:val="002A5765"/>
    <w:rsid w:val="002A5AA5"/>
    <w:rsid w:val="002A5CA2"/>
    <w:rsid w:val="002A5DBC"/>
    <w:rsid w:val="002A6055"/>
    <w:rsid w:val="002A64D1"/>
    <w:rsid w:val="002A6545"/>
    <w:rsid w:val="002A6A40"/>
    <w:rsid w:val="002A6B09"/>
    <w:rsid w:val="002A73FB"/>
    <w:rsid w:val="002A7EC0"/>
    <w:rsid w:val="002B08B8"/>
    <w:rsid w:val="002B0955"/>
    <w:rsid w:val="002B096E"/>
    <w:rsid w:val="002B0D4D"/>
    <w:rsid w:val="002B1081"/>
    <w:rsid w:val="002B18F7"/>
    <w:rsid w:val="002B21E7"/>
    <w:rsid w:val="002B227E"/>
    <w:rsid w:val="002B22F2"/>
    <w:rsid w:val="002B2425"/>
    <w:rsid w:val="002B24D9"/>
    <w:rsid w:val="002B25EB"/>
    <w:rsid w:val="002B2C8F"/>
    <w:rsid w:val="002B35D6"/>
    <w:rsid w:val="002B35FE"/>
    <w:rsid w:val="002B3951"/>
    <w:rsid w:val="002B39E9"/>
    <w:rsid w:val="002B3F76"/>
    <w:rsid w:val="002B4059"/>
    <w:rsid w:val="002B412A"/>
    <w:rsid w:val="002B43E9"/>
    <w:rsid w:val="002B452D"/>
    <w:rsid w:val="002B4B3B"/>
    <w:rsid w:val="002B4FEC"/>
    <w:rsid w:val="002B52A1"/>
    <w:rsid w:val="002B52B6"/>
    <w:rsid w:val="002B558B"/>
    <w:rsid w:val="002B58B0"/>
    <w:rsid w:val="002B5915"/>
    <w:rsid w:val="002B5A0E"/>
    <w:rsid w:val="002B5FAC"/>
    <w:rsid w:val="002B657B"/>
    <w:rsid w:val="002B6CF5"/>
    <w:rsid w:val="002B6CFE"/>
    <w:rsid w:val="002B7AB8"/>
    <w:rsid w:val="002C0087"/>
    <w:rsid w:val="002C0503"/>
    <w:rsid w:val="002C088D"/>
    <w:rsid w:val="002C0FE7"/>
    <w:rsid w:val="002C1170"/>
    <w:rsid w:val="002C1B7A"/>
    <w:rsid w:val="002C20F9"/>
    <w:rsid w:val="002C21FB"/>
    <w:rsid w:val="002C22F2"/>
    <w:rsid w:val="002C2307"/>
    <w:rsid w:val="002C2431"/>
    <w:rsid w:val="002C2FB8"/>
    <w:rsid w:val="002C3152"/>
    <w:rsid w:val="002C325D"/>
    <w:rsid w:val="002C3AF1"/>
    <w:rsid w:val="002C3D50"/>
    <w:rsid w:val="002C3D6D"/>
    <w:rsid w:val="002C438E"/>
    <w:rsid w:val="002C4C82"/>
    <w:rsid w:val="002C4F96"/>
    <w:rsid w:val="002C5172"/>
    <w:rsid w:val="002C55CD"/>
    <w:rsid w:val="002C5788"/>
    <w:rsid w:val="002C5A1F"/>
    <w:rsid w:val="002C5B2C"/>
    <w:rsid w:val="002C5CDA"/>
    <w:rsid w:val="002C5D42"/>
    <w:rsid w:val="002C6241"/>
    <w:rsid w:val="002C64C2"/>
    <w:rsid w:val="002C671E"/>
    <w:rsid w:val="002C71D3"/>
    <w:rsid w:val="002D0533"/>
    <w:rsid w:val="002D09AE"/>
    <w:rsid w:val="002D0A59"/>
    <w:rsid w:val="002D0DBB"/>
    <w:rsid w:val="002D1CF1"/>
    <w:rsid w:val="002D1DF2"/>
    <w:rsid w:val="002D1F97"/>
    <w:rsid w:val="002D2577"/>
    <w:rsid w:val="002D26DC"/>
    <w:rsid w:val="002D2711"/>
    <w:rsid w:val="002D301A"/>
    <w:rsid w:val="002D32B6"/>
    <w:rsid w:val="002D359C"/>
    <w:rsid w:val="002D39E7"/>
    <w:rsid w:val="002D4382"/>
    <w:rsid w:val="002D48C0"/>
    <w:rsid w:val="002D4AF5"/>
    <w:rsid w:val="002D51C4"/>
    <w:rsid w:val="002D5747"/>
    <w:rsid w:val="002D5B09"/>
    <w:rsid w:val="002D5DA2"/>
    <w:rsid w:val="002D61F2"/>
    <w:rsid w:val="002D63C5"/>
    <w:rsid w:val="002D6417"/>
    <w:rsid w:val="002D64A4"/>
    <w:rsid w:val="002D6541"/>
    <w:rsid w:val="002D6E72"/>
    <w:rsid w:val="002D70B7"/>
    <w:rsid w:val="002D72FA"/>
    <w:rsid w:val="002D7570"/>
    <w:rsid w:val="002D7AAC"/>
    <w:rsid w:val="002E0067"/>
    <w:rsid w:val="002E00F6"/>
    <w:rsid w:val="002E0695"/>
    <w:rsid w:val="002E0B5B"/>
    <w:rsid w:val="002E0DD1"/>
    <w:rsid w:val="002E0E2D"/>
    <w:rsid w:val="002E12B9"/>
    <w:rsid w:val="002E16B9"/>
    <w:rsid w:val="002E1AE8"/>
    <w:rsid w:val="002E2335"/>
    <w:rsid w:val="002E2809"/>
    <w:rsid w:val="002E2F4B"/>
    <w:rsid w:val="002E2FC0"/>
    <w:rsid w:val="002E3114"/>
    <w:rsid w:val="002E31DD"/>
    <w:rsid w:val="002E3799"/>
    <w:rsid w:val="002E3EB7"/>
    <w:rsid w:val="002E3F24"/>
    <w:rsid w:val="002E4B48"/>
    <w:rsid w:val="002E4E1B"/>
    <w:rsid w:val="002E512E"/>
    <w:rsid w:val="002E51B5"/>
    <w:rsid w:val="002E557B"/>
    <w:rsid w:val="002E571B"/>
    <w:rsid w:val="002E5ACD"/>
    <w:rsid w:val="002E5E70"/>
    <w:rsid w:val="002E6447"/>
    <w:rsid w:val="002E715D"/>
    <w:rsid w:val="002E7291"/>
    <w:rsid w:val="002E73E4"/>
    <w:rsid w:val="002E7B53"/>
    <w:rsid w:val="002E7BEE"/>
    <w:rsid w:val="002E7CE2"/>
    <w:rsid w:val="002E7F84"/>
    <w:rsid w:val="002F0215"/>
    <w:rsid w:val="002F04F4"/>
    <w:rsid w:val="002F0633"/>
    <w:rsid w:val="002F06B6"/>
    <w:rsid w:val="002F074C"/>
    <w:rsid w:val="002F0788"/>
    <w:rsid w:val="002F07A8"/>
    <w:rsid w:val="002F0A56"/>
    <w:rsid w:val="002F0ACA"/>
    <w:rsid w:val="002F0D9A"/>
    <w:rsid w:val="002F0FED"/>
    <w:rsid w:val="002F1901"/>
    <w:rsid w:val="002F19D1"/>
    <w:rsid w:val="002F1ACB"/>
    <w:rsid w:val="002F2310"/>
    <w:rsid w:val="002F2555"/>
    <w:rsid w:val="002F27F7"/>
    <w:rsid w:val="002F291A"/>
    <w:rsid w:val="002F2B58"/>
    <w:rsid w:val="002F2EE7"/>
    <w:rsid w:val="002F397B"/>
    <w:rsid w:val="002F3D5F"/>
    <w:rsid w:val="002F407A"/>
    <w:rsid w:val="002F4223"/>
    <w:rsid w:val="002F4C2C"/>
    <w:rsid w:val="002F55AB"/>
    <w:rsid w:val="002F5715"/>
    <w:rsid w:val="002F5871"/>
    <w:rsid w:val="002F58C3"/>
    <w:rsid w:val="002F5945"/>
    <w:rsid w:val="002F5A3A"/>
    <w:rsid w:val="002F5BF0"/>
    <w:rsid w:val="002F5CAE"/>
    <w:rsid w:val="002F6998"/>
    <w:rsid w:val="002F69DC"/>
    <w:rsid w:val="002F74AD"/>
    <w:rsid w:val="002F7655"/>
    <w:rsid w:val="002F7A6A"/>
    <w:rsid w:val="002F7B6C"/>
    <w:rsid w:val="0030017B"/>
    <w:rsid w:val="0030052E"/>
    <w:rsid w:val="00300A6A"/>
    <w:rsid w:val="0030142B"/>
    <w:rsid w:val="003014B7"/>
    <w:rsid w:val="00301754"/>
    <w:rsid w:val="00301C31"/>
    <w:rsid w:val="00302203"/>
    <w:rsid w:val="00302317"/>
    <w:rsid w:val="003024DE"/>
    <w:rsid w:val="00302C08"/>
    <w:rsid w:val="00302EC4"/>
    <w:rsid w:val="00302FB0"/>
    <w:rsid w:val="00303221"/>
    <w:rsid w:val="003037DE"/>
    <w:rsid w:val="00303C97"/>
    <w:rsid w:val="00303FB3"/>
    <w:rsid w:val="003044F6"/>
    <w:rsid w:val="00304514"/>
    <w:rsid w:val="00304BCD"/>
    <w:rsid w:val="00304BFB"/>
    <w:rsid w:val="003051C9"/>
    <w:rsid w:val="003051D5"/>
    <w:rsid w:val="0030581E"/>
    <w:rsid w:val="00306B16"/>
    <w:rsid w:val="00307031"/>
    <w:rsid w:val="00307391"/>
    <w:rsid w:val="003100D5"/>
    <w:rsid w:val="0031079A"/>
    <w:rsid w:val="00310C9D"/>
    <w:rsid w:val="00310D96"/>
    <w:rsid w:val="003111BA"/>
    <w:rsid w:val="00311DE4"/>
    <w:rsid w:val="0031204B"/>
    <w:rsid w:val="003121B0"/>
    <w:rsid w:val="00312698"/>
    <w:rsid w:val="00312FFE"/>
    <w:rsid w:val="00313544"/>
    <w:rsid w:val="00313950"/>
    <w:rsid w:val="00313B05"/>
    <w:rsid w:val="00313B6A"/>
    <w:rsid w:val="00313BCF"/>
    <w:rsid w:val="00313CAE"/>
    <w:rsid w:val="00314914"/>
    <w:rsid w:val="00314F85"/>
    <w:rsid w:val="00314FA6"/>
    <w:rsid w:val="003150E8"/>
    <w:rsid w:val="00315E8C"/>
    <w:rsid w:val="003160EE"/>
    <w:rsid w:val="0031679A"/>
    <w:rsid w:val="00316CFD"/>
    <w:rsid w:val="003175A4"/>
    <w:rsid w:val="00317C8B"/>
    <w:rsid w:val="00317F00"/>
    <w:rsid w:val="003204A0"/>
    <w:rsid w:val="00320B2E"/>
    <w:rsid w:val="00320CBD"/>
    <w:rsid w:val="00320E74"/>
    <w:rsid w:val="0032103A"/>
    <w:rsid w:val="0032109D"/>
    <w:rsid w:val="00321733"/>
    <w:rsid w:val="00321E8E"/>
    <w:rsid w:val="00321FF3"/>
    <w:rsid w:val="0032224E"/>
    <w:rsid w:val="00322675"/>
    <w:rsid w:val="00322730"/>
    <w:rsid w:val="00322A29"/>
    <w:rsid w:val="00323395"/>
    <w:rsid w:val="00323589"/>
    <w:rsid w:val="00323726"/>
    <w:rsid w:val="003237C3"/>
    <w:rsid w:val="00323C8D"/>
    <w:rsid w:val="00323E74"/>
    <w:rsid w:val="003244B5"/>
    <w:rsid w:val="00324875"/>
    <w:rsid w:val="00324919"/>
    <w:rsid w:val="00325098"/>
    <w:rsid w:val="00325506"/>
    <w:rsid w:val="00325BD3"/>
    <w:rsid w:val="003261FA"/>
    <w:rsid w:val="0032620B"/>
    <w:rsid w:val="00326E4C"/>
    <w:rsid w:val="00327346"/>
    <w:rsid w:val="003300B6"/>
    <w:rsid w:val="00330148"/>
    <w:rsid w:val="003301A3"/>
    <w:rsid w:val="003302DF"/>
    <w:rsid w:val="003304E7"/>
    <w:rsid w:val="0033083B"/>
    <w:rsid w:val="00330A7E"/>
    <w:rsid w:val="00330DCF"/>
    <w:rsid w:val="0033100F"/>
    <w:rsid w:val="0033113B"/>
    <w:rsid w:val="00331B82"/>
    <w:rsid w:val="00331F34"/>
    <w:rsid w:val="0033282F"/>
    <w:rsid w:val="003328DB"/>
    <w:rsid w:val="003331A5"/>
    <w:rsid w:val="003333B4"/>
    <w:rsid w:val="0033341F"/>
    <w:rsid w:val="003337CC"/>
    <w:rsid w:val="00333E8C"/>
    <w:rsid w:val="0033447D"/>
    <w:rsid w:val="00334B78"/>
    <w:rsid w:val="00334CA2"/>
    <w:rsid w:val="00334D85"/>
    <w:rsid w:val="00334F04"/>
    <w:rsid w:val="00335064"/>
    <w:rsid w:val="0033560F"/>
    <w:rsid w:val="003359E6"/>
    <w:rsid w:val="00335E3E"/>
    <w:rsid w:val="00336279"/>
    <w:rsid w:val="00336360"/>
    <w:rsid w:val="00336560"/>
    <w:rsid w:val="0033687C"/>
    <w:rsid w:val="00336B8C"/>
    <w:rsid w:val="00336D61"/>
    <w:rsid w:val="00336DE9"/>
    <w:rsid w:val="00336E14"/>
    <w:rsid w:val="00336EA9"/>
    <w:rsid w:val="00337061"/>
    <w:rsid w:val="00337646"/>
    <w:rsid w:val="00337760"/>
    <w:rsid w:val="003379D2"/>
    <w:rsid w:val="00337E4A"/>
    <w:rsid w:val="003403CE"/>
    <w:rsid w:val="003405C8"/>
    <w:rsid w:val="0034069F"/>
    <w:rsid w:val="00340C5D"/>
    <w:rsid w:val="00341D39"/>
    <w:rsid w:val="00341F59"/>
    <w:rsid w:val="0034201C"/>
    <w:rsid w:val="0034285A"/>
    <w:rsid w:val="003429A6"/>
    <w:rsid w:val="003429E6"/>
    <w:rsid w:val="00342CCD"/>
    <w:rsid w:val="003436F3"/>
    <w:rsid w:val="00343765"/>
    <w:rsid w:val="00343927"/>
    <w:rsid w:val="003439C0"/>
    <w:rsid w:val="00343FEE"/>
    <w:rsid w:val="003443A1"/>
    <w:rsid w:val="00344A0E"/>
    <w:rsid w:val="00344A60"/>
    <w:rsid w:val="00344E06"/>
    <w:rsid w:val="00344E5A"/>
    <w:rsid w:val="00345389"/>
    <w:rsid w:val="0034590F"/>
    <w:rsid w:val="00345DA7"/>
    <w:rsid w:val="0034646F"/>
    <w:rsid w:val="00346536"/>
    <w:rsid w:val="003465DA"/>
    <w:rsid w:val="00346724"/>
    <w:rsid w:val="003467D8"/>
    <w:rsid w:val="00346F28"/>
    <w:rsid w:val="00347034"/>
    <w:rsid w:val="00347323"/>
    <w:rsid w:val="003474D9"/>
    <w:rsid w:val="003476B8"/>
    <w:rsid w:val="00347C87"/>
    <w:rsid w:val="00347F60"/>
    <w:rsid w:val="0035037D"/>
    <w:rsid w:val="00350608"/>
    <w:rsid w:val="00350C92"/>
    <w:rsid w:val="00351247"/>
    <w:rsid w:val="0035155C"/>
    <w:rsid w:val="00351A2B"/>
    <w:rsid w:val="00351EF3"/>
    <w:rsid w:val="0035287F"/>
    <w:rsid w:val="00352BAF"/>
    <w:rsid w:val="00352E1D"/>
    <w:rsid w:val="00352E80"/>
    <w:rsid w:val="00353145"/>
    <w:rsid w:val="003533D5"/>
    <w:rsid w:val="00353987"/>
    <w:rsid w:val="00354513"/>
    <w:rsid w:val="00354559"/>
    <w:rsid w:val="00354922"/>
    <w:rsid w:val="0035543E"/>
    <w:rsid w:val="00355637"/>
    <w:rsid w:val="00355714"/>
    <w:rsid w:val="003558A0"/>
    <w:rsid w:val="00355A75"/>
    <w:rsid w:val="00355DC0"/>
    <w:rsid w:val="00355E7F"/>
    <w:rsid w:val="00356067"/>
    <w:rsid w:val="00356108"/>
    <w:rsid w:val="00356377"/>
    <w:rsid w:val="00356395"/>
    <w:rsid w:val="0035658D"/>
    <w:rsid w:val="003566D9"/>
    <w:rsid w:val="0035670E"/>
    <w:rsid w:val="00356C7B"/>
    <w:rsid w:val="00356F48"/>
    <w:rsid w:val="00357131"/>
    <w:rsid w:val="003579BF"/>
    <w:rsid w:val="00357BC5"/>
    <w:rsid w:val="003603D3"/>
    <w:rsid w:val="00360B48"/>
    <w:rsid w:val="00360CD2"/>
    <w:rsid w:val="00361275"/>
    <w:rsid w:val="003618B8"/>
    <w:rsid w:val="00362BB5"/>
    <w:rsid w:val="00362CFD"/>
    <w:rsid w:val="00362DB8"/>
    <w:rsid w:val="003636EA"/>
    <w:rsid w:val="0036377B"/>
    <w:rsid w:val="003640B6"/>
    <w:rsid w:val="0036442F"/>
    <w:rsid w:val="003644DA"/>
    <w:rsid w:val="00364B0E"/>
    <w:rsid w:val="00364BE6"/>
    <w:rsid w:val="00364FC3"/>
    <w:rsid w:val="003667F4"/>
    <w:rsid w:val="0036695A"/>
    <w:rsid w:val="00366EB5"/>
    <w:rsid w:val="00366F84"/>
    <w:rsid w:val="003670F0"/>
    <w:rsid w:val="0036741C"/>
    <w:rsid w:val="00367BC9"/>
    <w:rsid w:val="00367F1C"/>
    <w:rsid w:val="00370EC8"/>
    <w:rsid w:val="00371262"/>
    <w:rsid w:val="00371513"/>
    <w:rsid w:val="00371572"/>
    <w:rsid w:val="00371B8B"/>
    <w:rsid w:val="00371D22"/>
    <w:rsid w:val="00371F0A"/>
    <w:rsid w:val="00373003"/>
    <w:rsid w:val="003734EE"/>
    <w:rsid w:val="0037368B"/>
    <w:rsid w:val="00373B7F"/>
    <w:rsid w:val="00374621"/>
    <w:rsid w:val="00374736"/>
    <w:rsid w:val="00374E3F"/>
    <w:rsid w:val="003756A8"/>
    <w:rsid w:val="0037579B"/>
    <w:rsid w:val="003758B0"/>
    <w:rsid w:val="00375A23"/>
    <w:rsid w:val="00375B3B"/>
    <w:rsid w:val="003765F6"/>
    <w:rsid w:val="00376855"/>
    <w:rsid w:val="00376EB3"/>
    <w:rsid w:val="00377032"/>
    <w:rsid w:val="00377E76"/>
    <w:rsid w:val="00377F5B"/>
    <w:rsid w:val="00377F83"/>
    <w:rsid w:val="00380035"/>
    <w:rsid w:val="00380056"/>
    <w:rsid w:val="00380164"/>
    <w:rsid w:val="00380243"/>
    <w:rsid w:val="003804D8"/>
    <w:rsid w:val="00380541"/>
    <w:rsid w:val="003809CD"/>
    <w:rsid w:val="00380CDF"/>
    <w:rsid w:val="00381840"/>
    <w:rsid w:val="00382264"/>
    <w:rsid w:val="003826B4"/>
    <w:rsid w:val="00382E50"/>
    <w:rsid w:val="00382FA2"/>
    <w:rsid w:val="00382FD3"/>
    <w:rsid w:val="003835FC"/>
    <w:rsid w:val="00383854"/>
    <w:rsid w:val="00383DDD"/>
    <w:rsid w:val="003841F0"/>
    <w:rsid w:val="003844E5"/>
    <w:rsid w:val="003844F6"/>
    <w:rsid w:val="003849B8"/>
    <w:rsid w:val="003857EE"/>
    <w:rsid w:val="00385E8B"/>
    <w:rsid w:val="0038610D"/>
    <w:rsid w:val="003862AB"/>
    <w:rsid w:val="00386635"/>
    <w:rsid w:val="00387087"/>
    <w:rsid w:val="00387560"/>
    <w:rsid w:val="0038791C"/>
    <w:rsid w:val="00387B51"/>
    <w:rsid w:val="00387E96"/>
    <w:rsid w:val="003906CF"/>
    <w:rsid w:val="00390D2C"/>
    <w:rsid w:val="00390D36"/>
    <w:rsid w:val="00390D78"/>
    <w:rsid w:val="00391313"/>
    <w:rsid w:val="003913A1"/>
    <w:rsid w:val="00391861"/>
    <w:rsid w:val="00392103"/>
    <w:rsid w:val="00392150"/>
    <w:rsid w:val="00392497"/>
    <w:rsid w:val="003924EE"/>
    <w:rsid w:val="00392809"/>
    <w:rsid w:val="00392834"/>
    <w:rsid w:val="0039289E"/>
    <w:rsid w:val="00392B35"/>
    <w:rsid w:val="00392C00"/>
    <w:rsid w:val="003938FE"/>
    <w:rsid w:val="00393ADD"/>
    <w:rsid w:val="00393E17"/>
    <w:rsid w:val="0039402C"/>
    <w:rsid w:val="003941C4"/>
    <w:rsid w:val="003943B2"/>
    <w:rsid w:val="00394439"/>
    <w:rsid w:val="00394578"/>
    <w:rsid w:val="00394A06"/>
    <w:rsid w:val="003951B3"/>
    <w:rsid w:val="00395B1A"/>
    <w:rsid w:val="003964BD"/>
    <w:rsid w:val="003964BE"/>
    <w:rsid w:val="00396742"/>
    <w:rsid w:val="0039676F"/>
    <w:rsid w:val="00396BA7"/>
    <w:rsid w:val="00397077"/>
    <w:rsid w:val="003976BF"/>
    <w:rsid w:val="00397B21"/>
    <w:rsid w:val="003A0234"/>
    <w:rsid w:val="003A055C"/>
    <w:rsid w:val="003A0962"/>
    <w:rsid w:val="003A1112"/>
    <w:rsid w:val="003A11AB"/>
    <w:rsid w:val="003A1206"/>
    <w:rsid w:val="003A1A1B"/>
    <w:rsid w:val="003A1D04"/>
    <w:rsid w:val="003A284A"/>
    <w:rsid w:val="003A2C4E"/>
    <w:rsid w:val="003A2E1A"/>
    <w:rsid w:val="003A32B9"/>
    <w:rsid w:val="003A34C7"/>
    <w:rsid w:val="003A3867"/>
    <w:rsid w:val="003A397B"/>
    <w:rsid w:val="003A3ADF"/>
    <w:rsid w:val="003A3B87"/>
    <w:rsid w:val="003A449B"/>
    <w:rsid w:val="003A54D9"/>
    <w:rsid w:val="003A5E0B"/>
    <w:rsid w:val="003A5FD0"/>
    <w:rsid w:val="003A6B2B"/>
    <w:rsid w:val="003A6D8E"/>
    <w:rsid w:val="003A77F6"/>
    <w:rsid w:val="003A7CBB"/>
    <w:rsid w:val="003A7FB6"/>
    <w:rsid w:val="003B04B0"/>
    <w:rsid w:val="003B0B2C"/>
    <w:rsid w:val="003B0E0B"/>
    <w:rsid w:val="003B0FFA"/>
    <w:rsid w:val="003B11B0"/>
    <w:rsid w:val="003B1C53"/>
    <w:rsid w:val="003B1CB7"/>
    <w:rsid w:val="003B1EE4"/>
    <w:rsid w:val="003B22C2"/>
    <w:rsid w:val="003B2DD9"/>
    <w:rsid w:val="003B36BB"/>
    <w:rsid w:val="003B3885"/>
    <w:rsid w:val="003B477C"/>
    <w:rsid w:val="003B495B"/>
    <w:rsid w:val="003B4B0D"/>
    <w:rsid w:val="003B51A9"/>
    <w:rsid w:val="003B55C9"/>
    <w:rsid w:val="003B5A56"/>
    <w:rsid w:val="003B5C9E"/>
    <w:rsid w:val="003B5D9D"/>
    <w:rsid w:val="003B6084"/>
    <w:rsid w:val="003B60F6"/>
    <w:rsid w:val="003B6AF0"/>
    <w:rsid w:val="003B6F64"/>
    <w:rsid w:val="003B6F79"/>
    <w:rsid w:val="003B73B4"/>
    <w:rsid w:val="003B7401"/>
    <w:rsid w:val="003C0022"/>
    <w:rsid w:val="003C09A6"/>
    <w:rsid w:val="003C1118"/>
    <w:rsid w:val="003C1B1E"/>
    <w:rsid w:val="003C1E5E"/>
    <w:rsid w:val="003C2257"/>
    <w:rsid w:val="003C239D"/>
    <w:rsid w:val="003C26BF"/>
    <w:rsid w:val="003C26CD"/>
    <w:rsid w:val="003C26D2"/>
    <w:rsid w:val="003C2831"/>
    <w:rsid w:val="003C3849"/>
    <w:rsid w:val="003C3A56"/>
    <w:rsid w:val="003C3E88"/>
    <w:rsid w:val="003C4002"/>
    <w:rsid w:val="003C416C"/>
    <w:rsid w:val="003C4BD1"/>
    <w:rsid w:val="003C4C98"/>
    <w:rsid w:val="003C4EB0"/>
    <w:rsid w:val="003C5733"/>
    <w:rsid w:val="003C5AA3"/>
    <w:rsid w:val="003C66A5"/>
    <w:rsid w:val="003C6A23"/>
    <w:rsid w:val="003C6A45"/>
    <w:rsid w:val="003C6A46"/>
    <w:rsid w:val="003C6CA8"/>
    <w:rsid w:val="003C779B"/>
    <w:rsid w:val="003C7FE2"/>
    <w:rsid w:val="003D007A"/>
    <w:rsid w:val="003D00C6"/>
    <w:rsid w:val="003D054D"/>
    <w:rsid w:val="003D1101"/>
    <w:rsid w:val="003D16DC"/>
    <w:rsid w:val="003D17A1"/>
    <w:rsid w:val="003D19DF"/>
    <w:rsid w:val="003D1A0F"/>
    <w:rsid w:val="003D1B14"/>
    <w:rsid w:val="003D209A"/>
    <w:rsid w:val="003D2A6F"/>
    <w:rsid w:val="003D2D38"/>
    <w:rsid w:val="003D3059"/>
    <w:rsid w:val="003D31C0"/>
    <w:rsid w:val="003D32EA"/>
    <w:rsid w:val="003D343B"/>
    <w:rsid w:val="003D36EA"/>
    <w:rsid w:val="003D3B64"/>
    <w:rsid w:val="003D3F57"/>
    <w:rsid w:val="003D4606"/>
    <w:rsid w:val="003D48A3"/>
    <w:rsid w:val="003D49EC"/>
    <w:rsid w:val="003D4C5A"/>
    <w:rsid w:val="003D50AC"/>
    <w:rsid w:val="003D56DB"/>
    <w:rsid w:val="003D5767"/>
    <w:rsid w:val="003D5CBD"/>
    <w:rsid w:val="003D5EFE"/>
    <w:rsid w:val="003D679F"/>
    <w:rsid w:val="003D6D5D"/>
    <w:rsid w:val="003D7ED9"/>
    <w:rsid w:val="003D7FDA"/>
    <w:rsid w:val="003E01E7"/>
    <w:rsid w:val="003E022E"/>
    <w:rsid w:val="003E06ED"/>
    <w:rsid w:val="003E0A54"/>
    <w:rsid w:val="003E0AE9"/>
    <w:rsid w:val="003E0B8D"/>
    <w:rsid w:val="003E15E8"/>
    <w:rsid w:val="003E17D7"/>
    <w:rsid w:val="003E1D10"/>
    <w:rsid w:val="003E2B1E"/>
    <w:rsid w:val="003E2F68"/>
    <w:rsid w:val="003E304E"/>
    <w:rsid w:val="003E3109"/>
    <w:rsid w:val="003E320B"/>
    <w:rsid w:val="003E3581"/>
    <w:rsid w:val="003E3589"/>
    <w:rsid w:val="003E371D"/>
    <w:rsid w:val="003E5412"/>
    <w:rsid w:val="003E5836"/>
    <w:rsid w:val="003E5946"/>
    <w:rsid w:val="003E5BE7"/>
    <w:rsid w:val="003E616A"/>
    <w:rsid w:val="003E6D44"/>
    <w:rsid w:val="003E7F16"/>
    <w:rsid w:val="003F0145"/>
    <w:rsid w:val="003F0807"/>
    <w:rsid w:val="003F091E"/>
    <w:rsid w:val="003F09DF"/>
    <w:rsid w:val="003F0E9F"/>
    <w:rsid w:val="003F0EAC"/>
    <w:rsid w:val="003F0EB7"/>
    <w:rsid w:val="003F10FE"/>
    <w:rsid w:val="003F1108"/>
    <w:rsid w:val="003F13F3"/>
    <w:rsid w:val="003F1CEF"/>
    <w:rsid w:val="003F23EF"/>
    <w:rsid w:val="003F2B3E"/>
    <w:rsid w:val="003F3472"/>
    <w:rsid w:val="003F3983"/>
    <w:rsid w:val="003F3F12"/>
    <w:rsid w:val="003F43C9"/>
    <w:rsid w:val="003F4B84"/>
    <w:rsid w:val="003F4ED6"/>
    <w:rsid w:val="003F5065"/>
    <w:rsid w:val="003F542E"/>
    <w:rsid w:val="003F56BC"/>
    <w:rsid w:val="003F5B8C"/>
    <w:rsid w:val="003F5CA8"/>
    <w:rsid w:val="003F5CF9"/>
    <w:rsid w:val="003F5FF3"/>
    <w:rsid w:val="003F728B"/>
    <w:rsid w:val="003F731F"/>
    <w:rsid w:val="003F7658"/>
    <w:rsid w:val="003F7B72"/>
    <w:rsid w:val="003F7C70"/>
    <w:rsid w:val="003F7D7F"/>
    <w:rsid w:val="0040003A"/>
    <w:rsid w:val="00400570"/>
    <w:rsid w:val="00400596"/>
    <w:rsid w:val="0040068C"/>
    <w:rsid w:val="004010EE"/>
    <w:rsid w:val="0040126A"/>
    <w:rsid w:val="0040153A"/>
    <w:rsid w:val="00401806"/>
    <w:rsid w:val="00401CF7"/>
    <w:rsid w:val="00402087"/>
    <w:rsid w:val="00402F0E"/>
    <w:rsid w:val="00402FEA"/>
    <w:rsid w:val="00403346"/>
    <w:rsid w:val="00403C41"/>
    <w:rsid w:val="00403F42"/>
    <w:rsid w:val="00403FD7"/>
    <w:rsid w:val="00403FD8"/>
    <w:rsid w:val="004047BA"/>
    <w:rsid w:val="00404A92"/>
    <w:rsid w:val="00404C19"/>
    <w:rsid w:val="00404F2C"/>
    <w:rsid w:val="004055AC"/>
    <w:rsid w:val="004075AD"/>
    <w:rsid w:val="00407633"/>
    <w:rsid w:val="00407791"/>
    <w:rsid w:val="00407C7D"/>
    <w:rsid w:val="0040FCDB"/>
    <w:rsid w:val="00410426"/>
    <w:rsid w:val="004106A2"/>
    <w:rsid w:val="004108A9"/>
    <w:rsid w:val="00410B0B"/>
    <w:rsid w:val="00410B63"/>
    <w:rsid w:val="004123A1"/>
    <w:rsid w:val="004126C0"/>
    <w:rsid w:val="00412894"/>
    <w:rsid w:val="00412A3C"/>
    <w:rsid w:val="00413305"/>
    <w:rsid w:val="0041416C"/>
    <w:rsid w:val="00414CEB"/>
    <w:rsid w:val="00414E7D"/>
    <w:rsid w:val="0041506C"/>
    <w:rsid w:val="00415305"/>
    <w:rsid w:val="0041530C"/>
    <w:rsid w:val="00415BC4"/>
    <w:rsid w:val="004165DB"/>
    <w:rsid w:val="00416B91"/>
    <w:rsid w:val="00416C29"/>
    <w:rsid w:val="004170B6"/>
    <w:rsid w:val="00417201"/>
    <w:rsid w:val="00417478"/>
    <w:rsid w:val="00417945"/>
    <w:rsid w:val="00417C5C"/>
    <w:rsid w:val="00417DD3"/>
    <w:rsid w:val="00420055"/>
    <w:rsid w:val="0042055F"/>
    <w:rsid w:val="0042083E"/>
    <w:rsid w:val="00420B4A"/>
    <w:rsid w:val="0042101C"/>
    <w:rsid w:val="0042119B"/>
    <w:rsid w:val="00421879"/>
    <w:rsid w:val="0042190B"/>
    <w:rsid w:val="00421F7C"/>
    <w:rsid w:val="004222F4"/>
    <w:rsid w:val="00422332"/>
    <w:rsid w:val="0042269C"/>
    <w:rsid w:val="00423432"/>
    <w:rsid w:val="004236F8"/>
    <w:rsid w:val="00423D36"/>
    <w:rsid w:val="00423E8C"/>
    <w:rsid w:val="0042430F"/>
    <w:rsid w:val="00424759"/>
    <w:rsid w:val="004248AA"/>
    <w:rsid w:val="00424987"/>
    <w:rsid w:val="00424A2E"/>
    <w:rsid w:val="00424DF5"/>
    <w:rsid w:val="0042572E"/>
    <w:rsid w:val="004257CD"/>
    <w:rsid w:val="00425CF3"/>
    <w:rsid w:val="00426AF5"/>
    <w:rsid w:val="0042788C"/>
    <w:rsid w:val="0043019F"/>
    <w:rsid w:val="00430313"/>
    <w:rsid w:val="00430D90"/>
    <w:rsid w:val="00431D7C"/>
    <w:rsid w:val="00431EDC"/>
    <w:rsid w:val="004320E9"/>
    <w:rsid w:val="004322E6"/>
    <w:rsid w:val="00432A01"/>
    <w:rsid w:val="004330CB"/>
    <w:rsid w:val="0043312D"/>
    <w:rsid w:val="0043338A"/>
    <w:rsid w:val="004337ED"/>
    <w:rsid w:val="00433D68"/>
    <w:rsid w:val="00434114"/>
    <w:rsid w:val="00434236"/>
    <w:rsid w:val="004342BD"/>
    <w:rsid w:val="004343E5"/>
    <w:rsid w:val="00434743"/>
    <w:rsid w:val="00434E3C"/>
    <w:rsid w:val="0043552B"/>
    <w:rsid w:val="0043564A"/>
    <w:rsid w:val="00435C35"/>
    <w:rsid w:val="00436212"/>
    <w:rsid w:val="00436295"/>
    <w:rsid w:val="00436B04"/>
    <w:rsid w:val="00436DAB"/>
    <w:rsid w:val="00437301"/>
    <w:rsid w:val="00437348"/>
    <w:rsid w:val="00437409"/>
    <w:rsid w:val="00437568"/>
    <w:rsid w:val="00437B34"/>
    <w:rsid w:val="0044076E"/>
    <w:rsid w:val="004408DD"/>
    <w:rsid w:val="00440BB4"/>
    <w:rsid w:val="00440C78"/>
    <w:rsid w:val="00440F2C"/>
    <w:rsid w:val="0044106B"/>
    <w:rsid w:val="0044106E"/>
    <w:rsid w:val="00442173"/>
    <w:rsid w:val="00442291"/>
    <w:rsid w:val="00442998"/>
    <w:rsid w:val="0044322B"/>
    <w:rsid w:val="00443A89"/>
    <w:rsid w:val="00444BF4"/>
    <w:rsid w:val="004451AD"/>
    <w:rsid w:val="004453AF"/>
    <w:rsid w:val="00445B37"/>
    <w:rsid w:val="00445FDE"/>
    <w:rsid w:val="00446123"/>
    <w:rsid w:val="00446B7C"/>
    <w:rsid w:val="004472FD"/>
    <w:rsid w:val="004479E5"/>
    <w:rsid w:val="00447B1F"/>
    <w:rsid w:val="00447E33"/>
    <w:rsid w:val="0045000E"/>
    <w:rsid w:val="00450294"/>
    <w:rsid w:val="004503A6"/>
    <w:rsid w:val="0045064A"/>
    <w:rsid w:val="00450A9F"/>
    <w:rsid w:val="00450E15"/>
    <w:rsid w:val="004514AF"/>
    <w:rsid w:val="00451900"/>
    <w:rsid w:val="00451C68"/>
    <w:rsid w:val="00451F64"/>
    <w:rsid w:val="00452569"/>
    <w:rsid w:val="0045283A"/>
    <w:rsid w:val="00452905"/>
    <w:rsid w:val="00452A49"/>
    <w:rsid w:val="00452B43"/>
    <w:rsid w:val="00452F4A"/>
    <w:rsid w:val="0045321C"/>
    <w:rsid w:val="00453C51"/>
    <w:rsid w:val="00453E34"/>
    <w:rsid w:val="004540E8"/>
    <w:rsid w:val="0045430D"/>
    <w:rsid w:val="004543E3"/>
    <w:rsid w:val="00454FF2"/>
    <w:rsid w:val="00455037"/>
    <w:rsid w:val="004551A2"/>
    <w:rsid w:val="00455627"/>
    <w:rsid w:val="00455B9B"/>
    <w:rsid w:val="00455CFF"/>
    <w:rsid w:val="00455EF6"/>
    <w:rsid w:val="0045666C"/>
    <w:rsid w:val="00456AA9"/>
    <w:rsid w:val="00456C61"/>
    <w:rsid w:val="00456E3A"/>
    <w:rsid w:val="0045760B"/>
    <w:rsid w:val="0045784E"/>
    <w:rsid w:val="0045788C"/>
    <w:rsid w:val="00460873"/>
    <w:rsid w:val="00460B16"/>
    <w:rsid w:val="00461170"/>
    <w:rsid w:val="004614BD"/>
    <w:rsid w:val="00461B53"/>
    <w:rsid w:val="0046227E"/>
    <w:rsid w:val="00462634"/>
    <w:rsid w:val="004628FA"/>
    <w:rsid w:val="00462B79"/>
    <w:rsid w:val="00462C1C"/>
    <w:rsid w:val="0046351E"/>
    <w:rsid w:val="00463AD1"/>
    <w:rsid w:val="0046402F"/>
    <w:rsid w:val="004642B1"/>
    <w:rsid w:val="004647E3"/>
    <w:rsid w:val="00464FD9"/>
    <w:rsid w:val="004655E0"/>
    <w:rsid w:val="00465665"/>
    <w:rsid w:val="00465AF4"/>
    <w:rsid w:val="00466BE0"/>
    <w:rsid w:val="00466F4C"/>
    <w:rsid w:val="00466F79"/>
    <w:rsid w:val="00467247"/>
    <w:rsid w:val="00467640"/>
    <w:rsid w:val="00467786"/>
    <w:rsid w:val="004679D9"/>
    <w:rsid w:val="00467C56"/>
    <w:rsid w:val="00467D58"/>
    <w:rsid w:val="0047008A"/>
    <w:rsid w:val="004700DA"/>
    <w:rsid w:val="0047011E"/>
    <w:rsid w:val="00470662"/>
    <w:rsid w:val="0047076E"/>
    <w:rsid w:val="00470A5F"/>
    <w:rsid w:val="00470D31"/>
    <w:rsid w:val="004712A0"/>
    <w:rsid w:val="00471C0A"/>
    <w:rsid w:val="00471C75"/>
    <w:rsid w:val="00471EDD"/>
    <w:rsid w:val="0047213B"/>
    <w:rsid w:val="00472433"/>
    <w:rsid w:val="00472459"/>
    <w:rsid w:val="0047283F"/>
    <w:rsid w:val="004729BB"/>
    <w:rsid w:val="00472EFF"/>
    <w:rsid w:val="00473520"/>
    <w:rsid w:val="00473606"/>
    <w:rsid w:val="0047361F"/>
    <w:rsid w:val="00473696"/>
    <w:rsid w:val="00473C79"/>
    <w:rsid w:val="0047407B"/>
    <w:rsid w:val="004743FA"/>
    <w:rsid w:val="00475D00"/>
    <w:rsid w:val="00476B86"/>
    <w:rsid w:val="00477413"/>
    <w:rsid w:val="0047746B"/>
    <w:rsid w:val="004778A5"/>
    <w:rsid w:val="00477A68"/>
    <w:rsid w:val="00477DA8"/>
    <w:rsid w:val="00480522"/>
    <w:rsid w:val="004805B8"/>
    <w:rsid w:val="00480C7A"/>
    <w:rsid w:val="00480DE8"/>
    <w:rsid w:val="004817BD"/>
    <w:rsid w:val="00481A89"/>
    <w:rsid w:val="00482229"/>
    <w:rsid w:val="00482590"/>
    <w:rsid w:val="004828FB"/>
    <w:rsid w:val="00482FDC"/>
    <w:rsid w:val="00483068"/>
    <w:rsid w:val="004834D3"/>
    <w:rsid w:val="00483B67"/>
    <w:rsid w:val="00483E43"/>
    <w:rsid w:val="00484692"/>
    <w:rsid w:val="004847E0"/>
    <w:rsid w:val="004848B9"/>
    <w:rsid w:val="0048556E"/>
    <w:rsid w:val="00485B65"/>
    <w:rsid w:val="00485F19"/>
    <w:rsid w:val="00485F8E"/>
    <w:rsid w:val="00486191"/>
    <w:rsid w:val="00486246"/>
    <w:rsid w:val="0048628B"/>
    <w:rsid w:val="004866A6"/>
    <w:rsid w:val="004877FB"/>
    <w:rsid w:val="00487CEA"/>
    <w:rsid w:val="00487D4D"/>
    <w:rsid w:val="00487D78"/>
    <w:rsid w:val="00490441"/>
    <w:rsid w:val="00490453"/>
    <w:rsid w:val="004906F0"/>
    <w:rsid w:val="00491767"/>
    <w:rsid w:val="00491817"/>
    <w:rsid w:val="00491B27"/>
    <w:rsid w:val="00491DB0"/>
    <w:rsid w:val="00491E35"/>
    <w:rsid w:val="00491F0C"/>
    <w:rsid w:val="004925F5"/>
    <w:rsid w:val="00492E56"/>
    <w:rsid w:val="00492E9E"/>
    <w:rsid w:val="00493747"/>
    <w:rsid w:val="00493768"/>
    <w:rsid w:val="00493C96"/>
    <w:rsid w:val="004949CE"/>
    <w:rsid w:val="00494D89"/>
    <w:rsid w:val="00495160"/>
    <w:rsid w:val="0049539F"/>
    <w:rsid w:val="00495406"/>
    <w:rsid w:val="004958DE"/>
    <w:rsid w:val="00495B76"/>
    <w:rsid w:val="004962E3"/>
    <w:rsid w:val="00496411"/>
    <w:rsid w:val="00496622"/>
    <w:rsid w:val="00497087"/>
    <w:rsid w:val="004970ED"/>
    <w:rsid w:val="004A0662"/>
    <w:rsid w:val="004A1033"/>
    <w:rsid w:val="004A2008"/>
    <w:rsid w:val="004A23A6"/>
    <w:rsid w:val="004A279D"/>
    <w:rsid w:val="004A2C26"/>
    <w:rsid w:val="004A2F7D"/>
    <w:rsid w:val="004A34D1"/>
    <w:rsid w:val="004A39C4"/>
    <w:rsid w:val="004A3B37"/>
    <w:rsid w:val="004A3EC8"/>
    <w:rsid w:val="004A3F81"/>
    <w:rsid w:val="004A3FA7"/>
    <w:rsid w:val="004A44C8"/>
    <w:rsid w:val="004A48D7"/>
    <w:rsid w:val="004A4954"/>
    <w:rsid w:val="004A4BE7"/>
    <w:rsid w:val="004A5F6B"/>
    <w:rsid w:val="004A60DE"/>
    <w:rsid w:val="004A6218"/>
    <w:rsid w:val="004A6464"/>
    <w:rsid w:val="004A6CE9"/>
    <w:rsid w:val="004A7123"/>
    <w:rsid w:val="004A7400"/>
    <w:rsid w:val="004A78F1"/>
    <w:rsid w:val="004A7C41"/>
    <w:rsid w:val="004B13B3"/>
    <w:rsid w:val="004B1819"/>
    <w:rsid w:val="004B188F"/>
    <w:rsid w:val="004B1BCE"/>
    <w:rsid w:val="004B1C8A"/>
    <w:rsid w:val="004B25C1"/>
    <w:rsid w:val="004B26C3"/>
    <w:rsid w:val="004B27C5"/>
    <w:rsid w:val="004B2A28"/>
    <w:rsid w:val="004B3028"/>
    <w:rsid w:val="004B3284"/>
    <w:rsid w:val="004B37C9"/>
    <w:rsid w:val="004B3B86"/>
    <w:rsid w:val="004B439F"/>
    <w:rsid w:val="004B47F3"/>
    <w:rsid w:val="004B4AE2"/>
    <w:rsid w:val="004B5559"/>
    <w:rsid w:val="004B57CF"/>
    <w:rsid w:val="004B5C63"/>
    <w:rsid w:val="004B644A"/>
    <w:rsid w:val="004B6A57"/>
    <w:rsid w:val="004B6B15"/>
    <w:rsid w:val="004B6F05"/>
    <w:rsid w:val="004B7218"/>
    <w:rsid w:val="004B7344"/>
    <w:rsid w:val="004B750C"/>
    <w:rsid w:val="004B7882"/>
    <w:rsid w:val="004B7A10"/>
    <w:rsid w:val="004B7F82"/>
    <w:rsid w:val="004C0408"/>
    <w:rsid w:val="004C0CD2"/>
    <w:rsid w:val="004C104B"/>
    <w:rsid w:val="004C15D1"/>
    <w:rsid w:val="004C1EBD"/>
    <w:rsid w:val="004C1FD4"/>
    <w:rsid w:val="004C2E41"/>
    <w:rsid w:val="004C327E"/>
    <w:rsid w:val="004C343D"/>
    <w:rsid w:val="004C360A"/>
    <w:rsid w:val="004C379E"/>
    <w:rsid w:val="004C44F1"/>
    <w:rsid w:val="004C510E"/>
    <w:rsid w:val="004C6080"/>
    <w:rsid w:val="004C683F"/>
    <w:rsid w:val="004C69BE"/>
    <w:rsid w:val="004C69E3"/>
    <w:rsid w:val="004C6CB0"/>
    <w:rsid w:val="004C7044"/>
    <w:rsid w:val="004C7CB8"/>
    <w:rsid w:val="004D0710"/>
    <w:rsid w:val="004D07AD"/>
    <w:rsid w:val="004D0EE6"/>
    <w:rsid w:val="004D0FA7"/>
    <w:rsid w:val="004D17BD"/>
    <w:rsid w:val="004D1E3D"/>
    <w:rsid w:val="004D1E49"/>
    <w:rsid w:val="004D2398"/>
    <w:rsid w:val="004D2894"/>
    <w:rsid w:val="004D2B89"/>
    <w:rsid w:val="004D2BAB"/>
    <w:rsid w:val="004D3E68"/>
    <w:rsid w:val="004D4635"/>
    <w:rsid w:val="004D4A8D"/>
    <w:rsid w:val="004D4C27"/>
    <w:rsid w:val="004D4DB8"/>
    <w:rsid w:val="004D5156"/>
    <w:rsid w:val="004D54F2"/>
    <w:rsid w:val="004D5500"/>
    <w:rsid w:val="004D5A7D"/>
    <w:rsid w:val="004D5DA5"/>
    <w:rsid w:val="004D5E62"/>
    <w:rsid w:val="004D5F5D"/>
    <w:rsid w:val="004D631B"/>
    <w:rsid w:val="004D69FB"/>
    <w:rsid w:val="004D78A4"/>
    <w:rsid w:val="004D78A6"/>
    <w:rsid w:val="004D7AD3"/>
    <w:rsid w:val="004D7E87"/>
    <w:rsid w:val="004D7FD1"/>
    <w:rsid w:val="004D7FD8"/>
    <w:rsid w:val="004E01DE"/>
    <w:rsid w:val="004E03C9"/>
    <w:rsid w:val="004E03E6"/>
    <w:rsid w:val="004E074A"/>
    <w:rsid w:val="004E0D59"/>
    <w:rsid w:val="004E0E8B"/>
    <w:rsid w:val="004E0EF2"/>
    <w:rsid w:val="004E1272"/>
    <w:rsid w:val="004E14C0"/>
    <w:rsid w:val="004E14F7"/>
    <w:rsid w:val="004E19B8"/>
    <w:rsid w:val="004E2244"/>
    <w:rsid w:val="004E2267"/>
    <w:rsid w:val="004E248E"/>
    <w:rsid w:val="004E2F57"/>
    <w:rsid w:val="004E3056"/>
    <w:rsid w:val="004E3258"/>
    <w:rsid w:val="004E36AB"/>
    <w:rsid w:val="004E3E09"/>
    <w:rsid w:val="004E42F8"/>
    <w:rsid w:val="004E44A6"/>
    <w:rsid w:val="004E49AC"/>
    <w:rsid w:val="004E4A5B"/>
    <w:rsid w:val="004E542B"/>
    <w:rsid w:val="004E54DE"/>
    <w:rsid w:val="004E55CC"/>
    <w:rsid w:val="004E5A3F"/>
    <w:rsid w:val="004E5CD6"/>
    <w:rsid w:val="004E6757"/>
    <w:rsid w:val="004E71E9"/>
    <w:rsid w:val="004E7350"/>
    <w:rsid w:val="004E7496"/>
    <w:rsid w:val="004F088D"/>
    <w:rsid w:val="004F0B23"/>
    <w:rsid w:val="004F0E9E"/>
    <w:rsid w:val="004F144D"/>
    <w:rsid w:val="004F1551"/>
    <w:rsid w:val="004F1D86"/>
    <w:rsid w:val="004F250F"/>
    <w:rsid w:val="004F2D1F"/>
    <w:rsid w:val="004F2D5F"/>
    <w:rsid w:val="004F303C"/>
    <w:rsid w:val="004F31A3"/>
    <w:rsid w:val="004F35F7"/>
    <w:rsid w:val="004F39F6"/>
    <w:rsid w:val="004F3C85"/>
    <w:rsid w:val="004F3D64"/>
    <w:rsid w:val="004F4DFC"/>
    <w:rsid w:val="004F5287"/>
    <w:rsid w:val="004F538D"/>
    <w:rsid w:val="004F5671"/>
    <w:rsid w:val="004F5E8F"/>
    <w:rsid w:val="004F5F95"/>
    <w:rsid w:val="004F64F7"/>
    <w:rsid w:val="004F705C"/>
    <w:rsid w:val="004F7C2B"/>
    <w:rsid w:val="004F7CDE"/>
    <w:rsid w:val="004F7DF4"/>
    <w:rsid w:val="004F7E23"/>
    <w:rsid w:val="004F7FF8"/>
    <w:rsid w:val="00500311"/>
    <w:rsid w:val="00500CD5"/>
    <w:rsid w:val="00500F20"/>
    <w:rsid w:val="0050172A"/>
    <w:rsid w:val="00501AA3"/>
    <w:rsid w:val="00501D5C"/>
    <w:rsid w:val="00501EAE"/>
    <w:rsid w:val="005025D6"/>
    <w:rsid w:val="00502D97"/>
    <w:rsid w:val="0050320A"/>
    <w:rsid w:val="005032F7"/>
    <w:rsid w:val="005035E2"/>
    <w:rsid w:val="005036C4"/>
    <w:rsid w:val="005038A6"/>
    <w:rsid w:val="00503B85"/>
    <w:rsid w:val="00503CDE"/>
    <w:rsid w:val="0050412E"/>
    <w:rsid w:val="00504309"/>
    <w:rsid w:val="00504581"/>
    <w:rsid w:val="0050469D"/>
    <w:rsid w:val="00504A8B"/>
    <w:rsid w:val="00504B8F"/>
    <w:rsid w:val="00504E9D"/>
    <w:rsid w:val="0050526F"/>
    <w:rsid w:val="005052CB"/>
    <w:rsid w:val="005056A5"/>
    <w:rsid w:val="005056B2"/>
    <w:rsid w:val="0050578F"/>
    <w:rsid w:val="00505CF0"/>
    <w:rsid w:val="00505EE4"/>
    <w:rsid w:val="005060A5"/>
    <w:rsid w:val="005065DD"/>
    <w:rsid w:val="00506BDC"/>
    <w:rsid w:val="00507351"/>
    <w:rsid w:val="005074ED"/>
    <w:rsid w:val="00507A43"/>
    <w:rsid w:val="00507E30"/>
    <w:rsid w:val="0051017B"/>
    <w:rsid w:val="005103D5"/>
    <w:rsid w:val="00510B9C"/>
    <w:rsid w:val="00511168"/>
    <w:rsid w:val="005111A6"/>
    <w:rsid w:val="00511238"/>
    <w:rsid w:val="0051155A"/>
    <w:rsid w:val="00511FF3"/>
    <w:rsid w:val="0051219D"/>
    <w:rsid w:val="00512288"/>
    <w:rsid w:val="00512827"/>
    <w:rsid w:val="00513495"/>
    <w:rsid w:val="00513929"/>
    <w:rsid w:val="00514752"/>
    <w:rsid w:val="00514DDF"/>
    <w:rsid w:val="0051578C"/>
    <w:rsid w:val="00515B2B"/>
    <w:rsid w:val="00515CEF"/>
    <w:rsid w:val="00516387"/>
    <w:rsid w:val="00516825"/>
    <w:rsid w:val="00516D98"/>
    <w:rsid w:val="00517ED4"/>
    <w:rsid w:val="005203E8"/>
    <w:rsid w:val="00520A07"/>
    <w:rsid w:val="00520A4A"/>
    <w:rsid w:val="00520C69"/>
    <w:rsid w:val="00520E24"/>
    <w:rsid w:val="00520E70"/>
    <w:rsid w:val="00520F4E"/>
    <w:rsid w:val="00520F92"/>
    <w:rsid w:val="00521130"/>
    <w:rsid w:val="005214C6"/>
    <w:rsid w:val="00521AA4"/>
    <w:rsid w:val="00521EA2"/>
    <w:rsid w:val="005227F0"/>
    <w:rsid w:val="00522935"/>
    <w:rsid w:val="005235B6"/>
    <w:rsid w:val="0052375A"/>
    <w:rsid w:val="005237AE"/>
    <w:rsid w:val="00523823"/>
    <w:rsid w:val="00523D40"/>
    <w:rsid w:val="00524515"/>
    <w:rsid w:val="00524857"/>
    <w:rsid w:val="00524A3A"/>
    <w:rsid w:val="00526216"/>
    <w:rsid w:val="005264F5"/>
    <w:rsid w:val="0052655E"/>
    <w:rsid w:val="00526936"/>
    <w:rsid w:val="00526977"/>
    <w:rsid w:val="00526C01"/>
    <w:rsid w:val="00527296"/>
    <w:rsid w:val="005274E2"/>
    <w:rsid w:val="005279D1"/>
    <w:rsid w:val="00527B36"/>
    <w:rsid w:val="0053077C"/>
    <w:rsid w:val="00530BD1"/>
    <w:rsid w:val="005313E8"/>
    <w:rsid w:val="00531AE8"/>
    <w:rsid w:val="00531B09"/>
    <w:rsid w:val="00531D15"/>
    <w:rsid w:val="00532046"/>
    <w:rsid w:val="00532073"/>
    <w:rsid w:val="0053225F"/>
    <w:rsid w:val="005322E5"/>
    <w:rsid w:val="005329F1"/>
    <w:rsid w:val="00532CAD"/>
    <w:rsid w:val="00532E62"/>
    <w:rsid w:val="0053312F"/>
    <w:rsid w:val="0053359D"/>
    <w:rsid w:val="005336C4"/>
    <w:rsid w:val="00533CE5"/>
    <w:rsid w:val="00533D6F"/>
    <w:rsid w:val="00533E2C"/>
    <w:rsid w:val="005340B0"/>
    <w:rsid w:val="0053432D"/>
    <w:rsid w:val="0053475C"/>
    <w:rsid w:val="005347FC"/>
    <w:rsid w:val="00534DD3"/>
    <w:rsid w:val="00535681"/>
    <w:rsid w:val="005357E0"/>
    <w:rsid w:val="00535B6B"/>
    <w:rsid w:val="00535ECA"/>
    <w:rsid w:val="00536A15"/>
    <w:rsid w:val="00536AEE"/>
    <w:rsid w:val="00536C0B"/>
    <w:rsid w:val="00537014"/>
    <w:rsid w:val="0053711C"/>
    <w:rsid w:val="0053732A"/>
    <w:rsid w:val="0053744E"/>
    <w:rsid w:val="00537773"/>
    <w:rsid w:val="005401EC"/>
    <w:rsid w:val="005402A0"/>
    <w:rsid w:val="0054089D"/>
    <w:rsid w:val="00540D15"/>
    <w:rsid w:val="00541217"/>
    <w:rsid w:val="00541A97"/>
    <w:rsid w:val="00542185"/>
    <w:rsid w:val="00542425"/>
    <w:rsid w:val="00542A94"/>
    <w:rsid w:val="0054309B"/>
    <w:rsid w:val="005430D4"/>
    <w:rsid w:val="005432D2"/>
    <w:rsid w:val="00543441"/>
    <w:rsid w:val="005438E7"/>
    <w:rsid w:val="00543CC8"/>
    <w:rsid w:val="00543F33"/>
    <w:rsid w:val="005440CB"/>
    <w:rsid w:val="005446FC"/>
    <w:rsid w:val="005447C5"/>
    <w:rsid w:val="00544ABA"/>
    <w:rsid w:val="00544BB6"/>
    <w:rsid w:val="00544EC0"/>
    <w:rsid w:val="00544FDC"/>
    <w:rsid w:val="00544FEC"/>
    <w:rsid w:val="005456EC"/>
    <w:rsid w:val="00545862"/>
    <w:rsid w:val="00545DB0"/>
    <w:rsid w:val="00545F79"/>
    <w:rsid w:val="005461C3"/>
    <w:rsid w:val="005462E4"/>
    <w:rsid w:val="00546664"/>
    <w:rsid w:val="0054672B"/>
    <w:rsid w:val="0054695A"/>
    <w:rsid w:val="00546B0E"/>
    <w:rsid w:val="00546B49"/>
    <w:rsid w:val="00546FAC"/>
    <w:rsid w:val="0054799E"/>
    <w:rsid w:val="00547E84"/>
    <w:rsid w:val="00547F9F"/>
    <w:rsid w:val="005501CA"/>
    <w:rsid w:val="00550228"/>
    <w:rsid w:val="00550363"/>
    <w:rsid w:val="0055121D"/>
    <w:rsid w:val="00551C67"/>
    <w:rsid w:val="00551EA0"/>
    <w:rsid w:val="00552816"/>
    <w:rsid w:val="0055290D"/>
    <w:rsid w:val="00552EC4"/>
    <w:rsid w:val="00552FB8"/>
    <w:rsid w:val="0055377B"/>
    <w:rsid w:val="00553CA1"/>
    <w:rsid w:val="00553F3C"/>
    <w:rsid w:val="0055503F"/>
    <w:rsid w:val="00555387"/>
    <w:rsid w:val="0055539C"/>
    <w:rsid w:val="00555556"/>
    <w:rsid w:val="005562DF"/>
    <w:rsid w:val="005565FA"/>
    <w:rsid w:val="00556940"/>
    <w:rsid w:val="00557319"/>
    <w:rsid w:val="005575BB"/>
    <w:rsid w:val="00557762"/>
    <w:rsid w:val="0055797E"/>
    <w:rsid w:val="00557BDF"/>
    <w:rsid w:val="00557CE3"/>
    <w:rsid w:val="00557E34"/>
    <w:rsid w:val="00560093"/>
    <w:rsid w:val="00560F61"/>
    <w:rsid w:val="00560FEE"/>
    <w:rsid w:val="0056124F"/>
    <w:rsid w:val="00561559"/>
    <w:rsid w:val="0056164F"/>
    <w:rsid w:val="00561A84"/>
    <w:rsid w:val="00561D9F"/>
    <w:rsid w:val="00562007"/>
    <w:rsid w:val="005625D5"/>
    <w:rsid w:val="005629C9"/>
    <w:rsid w:val="00563EB0"/>
    <w:rsid w:val="00564A93"/>
    <w:rsid w:val="00564E60"/>
    <w:rsid w:val="00564E68"/>
    <w:rsid w:val="00565516"/>
    <w:rsid w:val="0056559D"/>
    <w:rsid w:val="00565621"/>
    <w:rsid w:val="005657D6"/>
    <w:rsid w:val="005660F2"/>
    <w:rsid w:val="0056656B"/>
    <w:rsid w:val="005665A8"/>
    <w:rsid w:val="00566C3D"/>
    <w:rsid w:val="00566EBA"/>
    <w:rsid w:val="00566EF7"/>
    <w:rsid w:val="0056741A"/>
    <w:rsid w:val="0056785C"/>
    <w:rsid w:val="00567A12"/>
    <w:rsid w:val="00567F30"/>
    <w:rsid w:val="00567FE9"/>
    <w:rsid w:val="00570129"/>
    <w:rsid w:val="005707D4"/>
    <w:rsid w:val="00570E64"/>
    <w:rsid w:val="00570F78"/>
    <w:rsid w:val="005712B6"/>
    <w:rsid w:val="005717C2"/>
    <w:rsid w:val="00572382"/>
    <w:rsid w:val="005724E4"/>
    <w:rsid w:val="00572D62"/>
    <w:rsid w:val="00572E22"/>
    <w:rsid w:val="005732E6"/>
    <w:rsid w:val="0057330E"/>
    <w:rsid w:val="0057336E"/>
    <w:rsid w:val="005733BB"/>
    <w:rsid w:val="00573DC2"/>
    <w:rsid w:val="005742E5"/>
    <w:rsid w:val="00574AC0"/>
    <w:rsid w:val="00574C40"/>
    <w:rsid w:val="00574F3D"/>
    <w:rsid w:val="005751C5"/>
    <w:rsid w:val="00575508"/>
    <w:rsid w:val="00575719"/>
    <w:rsid w:val="00575790"/>
    <w:rsid w:val="00575949"/>
    <w:rsid w:val="00575A13"/>
    <w:rsid w:val="0057665B"/>
    <w:rsid w:val="005767BF"/>
    <w:rsid w:val="00576AE7"/>
    <w:rsid w:val="00577356"/>
    <w:rsid w:val="0057739F"/>
    <w:rsid w:val="00577DC5"/>
    <w:rsid w:val="00580095"/>
    <w:rsid w:val="0058040D"/>
    <w:rsid w:val="00580476"/>
    <w:rsid w:val="00580B6A"/>
    <w:rsid w:val="00581A9B"/>
    <w:rsid w:val="00581AB1"/>
    <w:rsid w:val="00581AED"/>
    <w:rsid w:val="00581E80"/>
    <w:rsid w:val="00582075"/>
    <w:rsid w:val="0058246A"/>
    <w:rsid w:val="00582883"/>
    <w:rsid w:val="00582C0E"/>
    <w:rsid w:val="00583208"/>
    <w:rsid w:val="005834E4"/>
    <w:rsid w:val="0058381A"/>
    <w:rsid w:val="00583CEE"/>
    <w:rsid w:val="00583E2B"/>
    <w:rsid w:val="00584C8D"/>
    <w:rsid w:val="0058514D"/>
    <w:rsid w:val="005854F7"/>
    <w:rsid w:val="005859A7"/>
    <w:rsid w:val="005859CA"/>
    <w:rsid w:val="00585E1A"/>
    <w:rsid w:val="00586536"/>
    <w:rsid w:val="00586694"/>
    <w:rsid w:val="00586C59"/>
    <w:rsid w:val="00586D3E"/>
    <w:rsid w:val="0058702D"/>
    <w:rsid w:val="00587298"/>
    <w:rsid w:val="005876B9"/>
    <w:rsid w:val="005877ED"/>
    <w:rsid w:val="00587B49"/>
    <w:rsid w:val="00587E21"/>
    <w:rsid w:val="005902D7"/>
    <w:rsid w:val="00590366"/>
    <w:rsid w:val="00590849"/>
    <w:rsid w:val="00590BB5"/>
    <w:rsid w:val="00590FA1"/>
    <w:rsid w:val="0059151E"/>
    <w:rsid w:val="005917E8"/>
    <w:rsid w:val="005918BD"/>
    <w:rsid w:val="00591E29"/>
    <w:rsid w:val="005925B2"/>
    <w:rsid w:val="00592D1B"/>
    <w:rsid w:val="00592F23"/>
    <w:rsid w:val="00593A4B"/>
    <w:rsid w:val="00593B7B"/>
    <w:rsid w:val="00593EC2"/>
    <w:rsid w:val="00594306"/>
    <w:rsid w:val="00594716"/>
    <w:rsid w:val="0059473B"/>
    <w:rsid w:val="00594A9E"/>
    <w:rsid w:val="00594D4B"/>
    <w:rsid w:val="0059508C"/>
    <w:rsid w:val="00595D24"/>
    <w:rsid w:val="00595D36"/>
    <w:rsid w:val="00595D3A"/>
    <w:rsid w:val="00595F12"/>
    <w:rsid w:val="005961D7"/>
    <w:rsid w:val="0059642C"/>
    <w:rsid w:val="00596893"/>
    <w:rsid w:val="00596E5C"/>
    <w:rsid w:val="00597892"/>
    <w:rsid w:val="005A07A7"/>
    <w:rsid w:val="005A0919"/>
    <w:rsid w:val="005A0A4B"/>
    <w:rsid w:val="005A0CCD"/>
    <w:rsid w:val="005A11B7"/>
    <w:rsid w:val="005A11DA"/>
    <w:rsid w:val="005A15D3"/>
    <w:rsid w:val="005A191C"/>
    <w:rsid w:val="005A1C30"/>
    <w:rsid w:val="005A1C41"/>
    <w:rsid w:val="005A1FAE"/>
    <w:rsid w:val="005A2A23"/>
    <w:rsid w:val="005A2B86"/>
    <w:rsid w:val="005A2EE6"/>
    <w:rsid w:val="005A35B0"/>
    <w:rsid w:val="005A41ED"/>
    <w:rsid w:val="005A423D"/>
    <w:rsid w:val="005A44A7"/>
    <w:rsid w:val="005A47EF"/>
    <w:rsid w:val="005A484A"/>
    <w:rsid w:val="005A48D8"/>
    <w:rsid w:val="005A4B24"/>
    <w:rsid w:val="005A4EB7"/>
    <w:rsid w:val="005A588F"/>
    <w:rsid w:val="005A59B5"/>
    <w:rsid w:val="005A5D05"/>
    <w:rsid w:val="005A6591"/>
    <w:rsid w:val="005A697E"/>
    <w:rsid w:val="005A72B5"/>
    <w:rsid w:val="005A739E"/>
    <w:rsid w:val="005A7F0A"/>
    <w:rsid w:val="005B0364"/>
    <w:rsid w:val="005B0DC0"/>
    <w:rsid w:val="005B0E5C"/>
    <w:rsid w:val="005B11E7"/>
    <w:rsid w:val="005B12DE"/>
    <w:rsid w:val="005B14DB"/>
    <w:rsid w:val="005B1833"/>
    <w:rsid w:val="005B1889"/>
    <w:rsid w:val="005B2A4F"/>
    <w:rsid w:val="005B2AD5"/>
    <w:rsid w:val="005B2B21"/>
    <w:rsid w:val="005B2DC3"/>
    <w:rsid w:val="005B3403"/>
    <w:rsid w:val="005B3453"/>
    <w:rsid w:val="005B35DC"/>
    <w:rsid w:val="005B3701"/>
    <w:rsid w:val="005B37B7"/>
    <w:rsid w:val="005B3B06"/>
    <w:rsid w:val="005B4638"/>
    <w:rsid w:val="005B46B0"/>
    <w:rsid w:val="005B4C56"/>
    <w:rsid w:val="005B4C97"/>
    <w:rsid w:val="005B4F92"/>
    <w:rsid w:val="005B5B03"/>
    <w:rsid w:val="005B5EFF"/>
    <w:rsid w:val="005B61B4"/>
    <w:rsid w:val="005B6A1F"/>
    <w:rsid w:val="005B6FF2"/>
    <w:rsid w:val="005B782B"/>
    <w:rsid w:val="005B7F4C"/>
    <w:rsid w:val="005B7F5C"/>
    <w:rsid w:val="005C0413"/>
    <w:rsid w:val="005C0640"/>
    <w:rsid w:val="005C0D6B"/>
    <w:rsid w:val="005C1599"/>
    <w:rsid w:val="005C1844"/>
    <w:rsid w:val="005C1F00"/>
    <w:rsid w:val="005C206C"/>
    <w:rsid w:val="005C2233"/>
    <w:rsid w:val="005C22FD"/>
    <w:rsid w:val="005C2872"/>
    <w:rsid w:val="005C28D7"/>
    <w:rsid w:val="005C32DD"/>
    <w:rsid w:val="005C3371"/>
    <w:rsid w:val="005C363E"/>
    <w:rsid w:val="005C3656"/>
    <w:rsid w:val="005C384C"/>
    <w:rsid w:val="005C3B4E"/>
    <w:rsid w:val="005C40E3"/>
    <w:rsid w:val="005C4256"/>
    <w:rsid w:val="005C4BD3"/>
    <w:rsid w:val="005C526B"/>
    <w:rsid w:val="005C5605"/>
    <w:rsid w:val="005C61A9"/>
    <w:rsid w:val="005C6250"/>
    <w:rsid w:val="005C661D"/>
    <w:rsid w:val="005C6646"/>
    <w:rsid w:val="005C6AD0"/>
    <w:rsid w:val="005C6DDC"/>
    <w:rsid w:val="005C7103"/>
    <w:rsid w:val="005C7185"/>
    <w:rsid w:val="005C78B7"/>
    <w:rsid w:val="005D0CF9"/>
    <w:rsid w:val="005D0D78"/>
    <w:rsid w:val="005D0E90"/>
    <w:rsid w:val="005D184F"/>
    <w:rsid w:val="005D191E"/>
    <w:rsid w:val="005D1C32"/>
    <w:rsid w:val="005D1F76"/>
    <w:rsid w:val="005D2056"/>
    <w:rsid w:val="005D24FF"/>
    <w:rsid w:val="005D2E2B"/>
    <w:rsid w:val="005D30A5"/>
    <w:rsid w:val="005D315E"/>
    <w:rsid w:val="005D3273"/>
    <w:rsid w:val="005D3326"/>
    <w:rsid w:val="005D3497"/>
    <w:rsid w:val="005D3742"/>
    <w:rsid w:val="005D38F4"/>
    <w:rsid w:val="005D4533"/>
    <w:rsid w:val="005D4FCA"/>
    <w:rsid w:val="005D51A9"/>
    <w:rsid w:val="005D5313"/>
    <w:rsid w:val="005D53EB"/>
    <w:rsid w:val="005D5AB3"/>
    <w:rsid w:val="005D5DD9"/>
    <w:rsid w:val="005D7E85"/>
    <w:rsid w:val="005E0143"/>
    <w:rsid w:val="005E01CE"/>
    <w:rsid w:val="005E02AA"/>
    <w:rsid w:val="005E081C"/>
    <w:rsid w:val="005E0C03"/>
    <w:rsid w:val="005E198E"/>
    <w:rsid w:val="005E19AA"/>
    <w:rsid w:val="005E24F8"/>
    <w:rsid w:val="005E2879"/>
    <w:rsid w:val="005E2E19"/>
    <w:rsid w:val="005E3101"/>
    <w:rsid w:val="005E3233"/>
    <w:rsid w:val="005E3266"/>
    <w:rsid w:val="005E3699"/>
    <w:rsid w:val="005E3720"/>
    <w:rsid w:val="005E37BB"/>
    <w:rsid w:val="005E446A"/>
    <w:rsid w:val="005E44AF"/>
    <w:rsid w:val="005E44C5"/>
    <w:rsid w:val="005E4BA5"/>
    <w:rsid w:val="005E5116"/>
    <w:rsid w:val="005E52F1"/>
    <w:rsid w:val="005E5531"/>
    <w:rsid w:val="005E5722"/>
    <w:rsid w:val="005E5A2C"/>
    <w:rsid w:val="005E5D64"/>
    <w:rsid w:val="005E5ED2"/>
    <w:rsid w:val="005E629B"/>
    <w:rsid w:val="005E642B"/>
    <w:rsid w:val="005E64BC"/>
    <w:rsid w:val="005E668B"/>
    <w:rsid w:val="005E66FC"/>
    <w:rsid w:val="005E6771"/>
    <w:rsid w:val="005E68FA"/>
    <w:rsid w:val="005E6AA8"/>
    <w:rsid w:val="005E6C74"/>
    <w:rsid w:val="005E6F40"/>
    <w:rsid w:val="005E72F9"/>
    <w:rsid w:val="005E75F3"/>
    <w:rsid w:val="005F0D16"/>
    <w:rsid w:val="005F0D7E"/>
    <w:rsid w:val="005F1784"/>
    <w:rsid w:val="005F17A2"/>
    <w:rsid w:val="005F1959"/>
    <w:rsid w:val="005F2464"/>
    <w:rsid w:val="005F260D"/>
    <w:rsid w:val="005F2965"/>
    <w:rsid w:val="005F2A67"/>
    <w:rsid w:val="005F2E95"/>
    <w:rsid w:val="005F315D"/>
    <w:rsid w:val="005F3677"/>
    <w:rsid w:val="005F39E2"/>
    <w:rsid w:val="005F3B0E"/>
    <w:rsid w:val="005F3D77"/>
    <w:rsid w:val="005F4008"/>
    <w:rsid w:val="005F4080"/>
    <w:rsid w:val="005F40C0"/>
    <w:rsid w:val="005F45DD"/>
    <w:rsid w:val="005F485B"/>
    <w:rsid w:val="005F4ED5"/>
    <w:rsid w:val="005F58AE"/>
    <w:rsid w:val="005F5B61"/>
    <w:rsid w:val="005F6140"/>
    <w:rsid w:val="005F6518"/>
    <w:rsid w:val="005F67AF"/>
    <w:rsid w:val="005F69C7"/>
    <w:rsid w:val="005F6DC0"/>
    <w:rsid w:val="005F6E13"/>
    <w:rsid w:val="005F70FF"/>
    <w:rsid w:val="005F7481"/>
    <w:rsid w:val="005F7829"/>
    <w:rsid w:val="005F7D60"/>
    <w:rsid w:val="00600274"/>
    <w:rsid w:val="006006A9"/>
    <w:rsid w:val="006007AA"/>
    <w:rsid w:val="00600851"/>
    <w:rsid w:val="00600954"/>
    <w:rsid w:val="00600ED1"/>
    <w:rsid w:val="00601452"/>
    <w:rsid w:val="006016CA"/>
    <w:rsid w:val="00601FF1"/>
    <w:rsid w:val="00602627"/>
    <w:rsid w:val="00602A85"/>
    <w:rsid w:val="00602B36"/>
    <w:rsid w:val="00602E40"/>
    <w:rsid w:val="00602EB7"/>
    <w:rsid w:val="00603458"/>
    <w:rsid w:val="00603957"/>
    <w:rsid w:val="00603C20"/>
    <w:rsid w:val="00603D1E"/>
    <w:rsid w:val="006049EE"/>
    <w:rsid w:val="00604B02"/>
    <w:rsid w:val="00605111"/>
    <w:rsid w:val="00605803"/>
    <w:rsid w:val="00605AC6"/>
    <w:rsid w:val="006060C4"/>
    <w:rsid w:val="0060639C"/>
    <w:rsid w:val="00606621"/>
    <w:rsid w:val="0060734D"/>
    <w:rsid w:val="0060737C"/>
    <w:rsid w:val="006073BC"/>
    <w:rsid w:val="006075D0"/>
    <w:rsid w:val="006076B7"/>
    <w:rsid w:val="00607DF2"/>
    <w:rsid w:val="00607ED6"/>
    <w:rsid w:val="0061092A"/>
    <w:rsid w:val="00610B67"/>
    <w:rsid w:val="00610F47"/>
    <w:rsid w:val="006112FE"/>
    <w:rsid w:val="00611C44"/>
    <w:rsid w:val="00611C98"/>
    <w:rsid w:val="00611ECB"/>
    <w:rsid w:val="00612184"/>
    <w:rsid w:val="006122DC"/>
    <w:rsid w:val="00612451"/>
    <w:rsid w:val="006124C3"/>
    <w:rsid w:val="006129C6"/>
    <w:rsid w:val="00612B1F"/>
    <w:rsid w:val="00613AF0"/>
    <w:rsid w:val="006145C2"/>
    <w:rsid w:val="00614721"/>
    <w:rsid w:val="0061499A"/>
    <w:rsid w:val="00614FB3"/>
    <w:rsid w:val="006159F8"/>
    <w:rsid w:val="00615E39"/>
    <w:rsid w:val="00616275"/>
    <w:rsid w:val="00616565"/>
    <w:rsid w:val="006167BB"/>
    <w:rsid w:val="00616A79"/>
    <w:rsid w:val="00617129"/>
    <w:rsid w:val="00617564"/>
    <w:rsid w:val="00617850"/>
    <w:rsid w:val="00617921"/>
    <w:rsid w:val="00620077"/>
    <w:rsid w:val="00620246"/>
    <w:rsid w:val="00620611"/>
    <w:rsid w:val="00620770"/>
    <w:rsid w:val="00621034"/>
    <w:rsid w:val="006210D5"/>
    <w:rsid w:val="00621A73"/>
    <w:rsid w:val="00621EC6"/>
    <w:rsid w:val="006223D5"/>
    <w:rsid w:val="00622B60"/>
    <w:rsid w:val="006232AB"/>
    <w:rsid w:val="00623D2B"/>
    <w:rsid w:val="00624013"/>
    <w:rsid w:val="006248BE"/>
    <w:rsid w:val="00624ED4"/>
    <w:rsid w:val="0062517A"/>
    <w:rsid w:val="006253B6"/>
    <w:rsid w:val="0062651E"/>
    <w:rsid w:val="00626932"/>
    <w:rsid w:val="00626C45"/>
    <w:rsid w:val="00627149"/>
    <w:rsid w:val="006271FA"/>
    <w:rsid w:val="00627539"/>
    <w:rsid w:val="006278CF"/>
    <w:rsid w:val="006307C4"/>
    <w:rsid w:val="00630A05"/>
    <w:rsid w:val="00630B20"/>
    <w:rsid w:val="0063112B"/>
    <w:rsid w:val="006312BF"/>
    <w:rsid w:val="00631C84"/>
    <w:rsid w:val="00631D73"/>
    <w:rsid w:val="00632476"/>
    <w:rsid w:val="00632CC7"/>
    <w:rsid w:val="0063325B"/>
    <w:rsid w:val="00633D0F"/>
    <w:rsid w:val="00633E6D"/>
    <w:rsid w:val="006342B3"/>
    <w:rsid w:val="006344E0"/>
    <w:rsid w:val="00635008"/>
    <w:rsid w:val="006352B8"/>
    <w:rsid w:val="006354FA"/>
    <w:rsid w:val="00635666"/>
    <w:rsid w:val="006356A0"/>
    <w:rsid w:val="00635723"/>
    <w:rsid w:val="00635EFF"/>
    <w:rsid w:val="0063618C"/>
    <w:rsid w:val="006362CC"/>
    <w:rsid w:val="00637281"/>
    <w:rsid w:val="006378EF"/>
    <w:rsid w:val="00637BB3"/>
    <w:rsid w:val="0064007D"/>
    <w:rsid w:val="006400A5"/>
    <w:rsid w:val="006400E7"/>
    <w:rsid w:val="0064019D"/>
    <w:rsid w:val="006406FB"/>
    <w:rsid w:val="00640728"/>
    <w:rsid w:val="00640AF8"/>
    <w:rsid w:val="0064170C"/>
    <w:rsid w:val="006419F0"/>
    <w:rsid w:val="00642276"/>
    <w:rsid w:val="00642422"/>
    <w:rsid w:val="00642805"/>
    <w:rsid w:val="00642C0F"/>
    <w:rsid w:val="00642D5F"/>
    <w:rsid w:val="00643244"/>
    <w:rsid w:val="006433B5"/>
    <w:rsid w:val="006437A1"/>
    <w:rsid w:val="006438A2"/>
    <w:rsid w:val="006443AC"/>
    <w:rsid w:val="006443E1"/>
    <w:rsid w:val="006445D4"/>
    <w:rsid w:val="006446A4"/>
    <w:rsid w:val="006447B5"/>
    <w:rsid w:val="006452C4"/>
    <w:rsid w:val="00645537"/>
    <w:rsid w:val="006455F6"/>
    <w:rsid w:val="006456CB"/>
    <w:rsid w:val="006458B5"/>
    <w:rsid w:val="00645EEB"/>
    <w:rsid w:val="006460C7"/>
    <w:rsid w:val="00646CC7"/>
    <w:rsid w:val="0064735E"/>
    <w:rsid w:val="0064783B"/>
    <w:rsid w:val="00650029"/>
    <w:rsid w:val="00650092"/>
    <w:rsid w:val="00650EBC"/>
    <w:rsid w:val="00651704"/>
    <w:rsid w:val="00652585"/>
    <w:rsid w:val="006528AA"/>
    <w:rsid w:val="00653384"/>
    <w:rsid w:val="006536FE"/>
    <w:rsid w:val="006537CF"/>
    <w:rsid w:val="006544E3"/>
    <w:rsid w:val="0065486D"/>
    <w:rsid w:val="0065494A"/>
    <w:rsid w:val="00654C99"/>
    <w:rsid w:val="0065504E"/>
    <w:rsid w:val="006552F5"/>
    <w:rsid w:val="00655824"/>
    <w:rsid w:val="00655835"/>
    <w:rsid w:val="00655949"/>
    <w:rsid w:val="00655A6E"/>
    <w:rsid w:val="00655A74"/>
    <w:rsid w:val="00655A9A"/>
    <w:rsid w:val="00656300"/>
    <w:rsid w:val="00656C53"/>
    <w:rsid w:val="00656D82"/>
    <w:rsid w:val="00657324"/>
    <w:rsid w:val="00657DAC"/>
    <w:rsid w:val="0066021D"/>
    <w:rsid w:val="0066072D"/>
    <w:rsid w:val="00660AFC"/>
    <w:rsid w:val="00660BB1"/>
    <w:rsid w:val="00660CA2"/>
    <w:rsid w:val="00660D63"/>
    <w:rsid w:val="00661159"/>
    <w:rsid w:val="00661490"/>
    <w:rsid w:val="00661B98"/>
    <w:rsid w:val="00661BF4"/>
    <w:rsid w:val="00661E81"/>
    <w:rsid w:val="00662012"/>
    <w:rsid w:val="00662081"/>
    <w:rsid w:val="006629B7"/>
    <w:rsid w:val="00662C37"/>
    <w:rsid w:val="0066346D"/>
    <w:rsid w:val="00663A17"/>
    <w:rsid w:val="00663A2C"/>
    <w:rsid w:val="006642C8"/>
    <w:rsid w:val="0066483A"/>
    <w:rsid w:val="00664D9D"/>
    <w:rsid w:val="00665035"/>
    <w:rsid w:val="00665DF9"/>
    <w:rsid w:val="00666484"/>
    <w:rsid w:val="00666771"/>
    <w:rsid w:val="006667B8"/>
    <w:rsid w:val="00667191"/>
    <w:rsid w:val="00667244"/>
    <w:rsid w:val="006672F8"/>
    <w:rsid w:val="0066745F"/>
    <w:rsid w:val="00667507"/>
    <w:rsid w:val="00667BDB"/>
    <w:rsid w:val="00667C15"/>
    <w:rsid w:val="00667C5B"/>
    <w:rsid w:val="0067011D"/>
    <w:rsid w:val="00670155"/>
    <w:rsid w:val="006705D8"/>
    <w:rsid w:val="00670853"/>
    <w:rsid w:val="00670CDB"/>
    <w:rsid w:val="006720A9"/>
    <w:rsid w:val="00672321"/>
    <w:rsid w:val="00672334"/>
    <w:rsid w:val="006727E0"/>
    <w:rsid w:val="006728C5"/>
    <w:rsid w:val="00672AC0"/>
    <w:rsid w:val="00673208"/>
    <w:rsid w:val="006739D6"/>
    <w:rsid w:val="00673CAB"/>
    <w:rsid w:val="00673D25"/>
    <w:rsid w:val="0067431E"/>
    <w:rsid w:val="006746DA"/>
    <w:rsid w:val="00674F68"/>
    <w:rsid w:val="00675006"/>
    <w:rsid w:val="00675332"/>
    <w:rsid w:val="00675AA0"/>
    <w:rsid w:val="00675B38"/>
    <w:rsid w:val="00675F26"/>
    <w:rsid w:val="006760CD"/>
    <w:rsid w:val="00676949"/>
    <w:rsid w:val="006769D1"/>
    <w:rsid w:val="00676D5E"/>
    <w:rsid w:val="00676F17"/>
    <w:rsid w:val="0067753F"/>
    <w:rsid w:val="006779DB"/>
    <w:rsid w:val="00677AFD"/>
    <w:rsid w:val="00677C84"/>
    <w:rsid w:val="00677CFD"/>
    <w:rsid w:val="006805D5"/>
    <w:rsid w:val="00681F69"/>
    <w:rsid w:val="0068201A"/>
    <w:rsid w:val="00682183"/>
    <w:rsid w:val="006821DC"/>
    <w:rsid w:val="006827EF"/>
    <w:rsid w:val="00682E2D"/>
    <w:rsid w:val="0068329D"/>
    <w:rsid w:val="006833F9"/>
    <w:rsid w:val="00683724"/>
    <w:rsid w:val="006838E6"/>
    <w:rsid w:val="00683C75"/>
    <w:rsid w:val="00683DE0"/>
    <w:rsid w:val="006841AA"/>
    <w:rsid w:val="00684214"/>
    <w:rsid w:val="006844D6"/>
    <w:rsid w:val="00684581"/>
    <w:rsid w:val="00684736"/>
    <w:rsid w:val="0068476C"/>
    <w:rsid w:val="00684AFF"/>
    <w:rsid w:val="00685210"/>
    <w:rsid w:val="0068525D"/>
    <w:rsid w:val="00685507"/>
    <w:rsid w:val="00685C01"/>
    <w:rsid w:val="00685E54"/>
    <w:rsid w:val="0068683E"/>
    <w:rsid w:val="00686D0A"/>
    <w:rsid w:val="00690150"/>
    <w:rsid w:val="0069153F"/>
    <w:rsid w:val="006915E7"/>
    <w:rsid w:val="00691A79"/>
    <w:rsid w:val="00691F69"/>
    <w:rsid w:val="00692B36"/>
    <w:rsid w:val="00692CB7"/>
    <w:rsid w:val="00693C09"/>
    <w:rsid w:val="00694209"/>
    <w:rsid w:val="00694C33"/>
    <w:rsid w:val="00694F12"/>
    <w:rsid w:val="006955A3"/>
    <w:rsid w:val="006956FD"/>
    <w:rsid w:val="00695FA7"/>
    <w:rsid w:val="00696137"/>
    <w:rsid w:val="00696461"/>
    <w:rsid w:val="0069659E"/>
    <w:rsid w:val="0069665F"/>
    <w:rsid w:val="006967BF"/>
    <w:rsid w:val="00696A3A"/>
    <w:rsid w:val="00696F4B"/>
    <w:rsid w:val="00696F4C"/>
    <w:rsid w:val="006977D6"/>
    <w:rsid w:val="00697918"/>
    <w:rsid w:val="0069795C"/>
    <w:rsid w:val="00697E38"/>
    <w:rsid w:val="006A0096"/>
    <w:rsid w:val="006A00C7"/>
    <w:rsid w:val="006A01BD"/>
    <w:rsid w:val="006A0C6C"/>
    <w:rsid w:val="006A0CB4"/>
    <w:rsid w:val="006A0F86"/>
    <w:rsid w:val="006A100F"/>
    <w:rsid w:val="006A1111"/>
    <w:rsid w:val="006A1413"/>
    <w:rsid w:val="006A153C"/>
    <w:rsid w:val="006A198D"/>
    <w:rsid w:val="006A1F21"/>
    <w:rsid w:val="006A1FD9"/>
    <w:rsid w:val="006A2113"/>
    <w:rsid w:val="006A22DB"/>
    <w:rsid w:val="006A2499"/>
    <w:rsid w:val="006A2B5E"/>
    <w:rsid w:val="006A2C30"/>
    <w:rsid w:val="006A368F"/>
    <w:rsid w:val="006A36AD"/>
    <w:rsid w:val="006A3B2F"/>
    <w:rsid w:val="006A3E64"/>
    <w:rsid w:val="006A4001"/>
    <w:rsid w:val="006A4191"/>
    <w:rsid w:val="006A422F"/>
    <w:rsid w:val="006A497C"/>
    <w:rsid w:val="006A4C83"/>
    <w:rsid w:val="006A51CD"/>
    <w:rsid w:val="006A563C"/>
    <w:rsid w:val="006A5E52"/>
    <w:rsid w:val="006A6408"/>
    <w:rsid w:val="006A66E7"/>
    <w:rsid w:val="006A687C"/>
    <w:rsid w:val="006A6BBC"/>
    <w:rsid w:val="006A74D7"/>
    <w:rsid w:val="006A7828"/>
    <w:rsid w:val="006B02DC"/>
    <w:rsid w:val="006B0598"/>
    <w:rsid w:val="006B0B99"/>
    <w:rsid w:val="006B0F70"/>
    <w:rsid w:val="006B11E6"/>
    <w:rsid w:val="006B12C5"/>
    <w:rsid w:val="006B1B6A"/>
    <w:rsid w:val="006B1C48"/>
    <w:rsid w:val="006B1CAC"/>
    <w:rsid w:val="006B1E85"/>
    <w:rsid w:val="006B2245"/>
    <w:rsid w:val="006B2489"/>
    <w:rsid w:val="006B2967"/>
    <w:rsid w:val="006B34AA"/>
    <w:rsid w:val="006B34C0"/>
    <w:rsid w:val="006B36A3"/>
    <w:rsid w:val="006B39B2"/>
    <w:rsid w:val="006B3B35"/>
    <w:rsid w:val="006B3D7E"/>
    <w:rsid w:val="006B50EB"/>
    <w:rsid w:val="006B625C"/>
    <w:rsid w:val="006B6BB7"/>
    <w:rsid w:val="006B73A6"/>
    <w:rsid w:val="006B7A16"/>
    <w:rsid w:val="006B7D3D"/>
    <w:rsid w:val="006C1610"/>
    <w:rsid w:val="006C19D1"/>
    <w:rsid w:val="006C1DA9"/>
    <w:rsid w:val="006C2A08"/>
    <w:rsid w:val="006C2E80"/>
    <w:rsid w:val="006C2F96"/>
    <w:rsid w:val="006C32D8"/>
    <w:rsid w:val="006C372C"/>
    <w:rsid w:val="006C3B41"/>
    <w:rsid w:val="006C3F61"/>
    <w:rsid w:val="006C4367"/>
    <w:rsid w:val="006C4DB2"/>
    <w:rsid w:val="006C4ECF"/>
    <w:rsid w:val="006C517C"/>
    <w:rsid w:val="006C51DC"/>
    <w:rsid w:val="006C5832"/>
    <w:rsid w:val="006C6092"/>
    <w:rsid w:val="006C64B2"/>
    <w:rsid w:val="006C6E65"/>
    <w:rsid w:val="006C6EAC"/>
    <w:rsid w:val="006C7852"/>
    <w:rsid w:val="006C78FB"/>
    <w:rsid w:val="006C7990"/>
    <w:rsid w:val="006C7E85"/>
    <w:rsid w:val="006C7F69"/>
    <w:rsid w:val="006D0145"/>
    <w:rsid w:val="006D03FD"/>
    <w:rsid w:val="006D0A85"/>
    <w:rsid w:val="006D0C9D"/>
    <w:rsid w:val="006D142D"/>
    <w:rsid w:val="006D1A51"/>
    <w:rsid w:val="006D1C05"/>
    <w:rsid w:val="006D1F5C"/>
    <w:rsid w:val="006D1FDA"/>
    <w:rsid w:val="006D24BE"/>
    <w:rsid w:val="006D2657"/>
    <w:rsid w:val="006D2BAD"/>
    <w:rsid w:val="006D2EE1"/>
    <w:rsid w:val="006D31C3"/>
    <w:rsid w:val="006D34FB"/>
    <w:rsid w:val="006D3EBE"/>
    <w:rsid w:val="006D3F1A"/>
    <w:rsid w:val="006D3F1E"/>
    <w:rsid w:val="006D41E1"/>
    <w:rsid w:val="006D43EF"/>
    <w:rsid w:val="006D46DD"/>
    <w:rsid w:val="006D46E1"/>
    <w:rsid w:val="006D4707"/>
    <w:rsid w:val="006D48A9"/>
    <w:rsid w:val="006D4EEF"/>
    <w:rsid w:val="006D4FF2"/>
    <w:rsid w:val="006D5125"/>
    <w:rsid w:val="006D55BF"/>
    <w:rsid w:val="006D5613"/>
    <w:rsid w:val="006D5BB0"/>
    <w:rsid w:val="006D5ED2"/>
    <w:rsid w:val="006D655E"/>
    <w:rsid w:val="006D66BC"/>
    <w:rsid w:val="006D6C1F"/>
    <w:rsid w:val="006D7099"/>
    <w:rsid w:val="006D73AB"/>
    <w:rsid w:val="006D753D"/>
    <w:rsid w:val="006D768D"/>
    <w:rsid w:val="006D7B98"/>
    <w:rsid w:val="006E0033"/>
    <w:rsid w:val="006E003C"/>
    <w:rsid w:val="006E05CD"/>
    <w:rsid w:val="006E0B89"/>
    <w:rsid w:val="006E1129"/>
    <w:rsid w:val="006E15E5"/>
    <w:rsid w:val="006E1A44"/>
    <w:rsid w:val="006E1E42"/>
    <w:rsid w:val="006E26B1"/>
    <w:rsid w:val="006E3048"/>
    <w:rsid w:val="006E397F"/>
    <w:rsid w:val="006E4141"/>
    <w:rsid w:val="006E4416"/>
    <w:rsid w:val="006E5D36"/>
    <w:rsid w:val="006E76E6"/>
    <w:rsid w:val="006E7A3C"/>
    <w:rsid w:val="006E7DA6"/>
    <w:rsid w:val="006E7EAD"/>
    <w:rsid w:val="006F009B"/>
    <w:rsid w:val="006F0C85"/>
    <w:rsid w:val="006F0FEE"/>
    <w:rsid w:val="006F114E"/>
    <w:rsid w:val="006F1C01"/>
    <w:rsid w:val="006F1C95"/>
    <w:rsid w:val="006F1F41"/>
    <w:rsid w:val="006F1F5C"/>
    <w:rsid w:val="006F20A0"/>
    <w:rsid w:val="006F2501"/>
    <w:rsid w:val="006F284A"/>
    <w:rsid w:val="006F30D3"/>
    <w:rsid w:val="006F3372"/>
    <w:rsid w:val="006F3764"/>
    <w:rsid w:val="006F3E74"/>
    <w:rsid w:val="006F4131"/>
    <w:rsid w:val="006F46C6"/>
    <w:rsid w:val="006F4ACC"/>
    <w:rsid w:val="006F4E06"/>
    <w:rsid w:val="006F53AF"/>
    <w:rsid w:val="006F546A"/>
    <w:rsid w:val="006F549E"/>
    <w:rsid w:val="006F55FF"/>
    <w:rsid w:val="006F5A1E"/>
    <w:rsid w:val="006F5C88"/>
    <w:rsid w:val="006F5CF0"/>
    <w:rsid w:val="006F6258"/>
    <w:rsid w:val="006F6933"/>
    <w:rsid w:val="006F69EA"/>
    <w:rsid w:val="006F6C57"/>
    <w:rsid w:val="006F6DBB"/>
    <w:rsid w:val="006F7711"/>
    <w:rsid w:val="006F7786"/>
    <w:rsid w:val="006F7967"/>
    <w:rsid w:val="006F797D"/>
    <w:rsid w:val="006F7B1F"/>
    <w:rsid w:val="00700615"/>
    <w:rsid w:val="00700724"/>
    <w:rsid w:val="00700EAA"/>
    <w:rsid w:val="00701044"/>
    <w:rsid w:val="007015FB"/>
    <w:rsid w:val="00701638"/>
    <w:rsid w:val="0070192B"/>
    <w:rsid w:val="00701DC8"/>
    <w:rsid w:val="0070231A"/>
    <w:rsid w:val="00702595"/>
    <w:rsid w:val="00703603"/>
    <w:rsid w:val="007044BB"/>
    <w:rsid w:val="00704E92"/>
    <w:rsid w:val="00704F8E"/>
    <w:rsid w:val="00705546"/>
    <w:rsid w:val="00705586"/>
    <w:rsid w:val="007060CF"/>
    <w:rsid w:val="00706DF9"/>
    <w:rsid w:val="007074FE"/>
    <w:rsid w:val="00710003"/>
    <w:rsid w:val="00710C85"/>
    <w:rsid w:val="00710E46"/>
    <w:rsid w:val="00711139"/>
    <w:rsid w:val="007113F6"/>
    <w:rsid w:val="007119F1"/>
    <w:rsid w:val="00711F29"/>
    <w:rsid w:val="007123B7"/>
    <w:rsid w:val="007127F8"/>
    <w:rsid w:val="00712860"/>
    <w:rsid w:val="00712B3C"/>
    <w:rsid w:val="00713011"/>
    <w:rsid w:val="00713120"/>
    <w:rsid w:val="0071326F"/>
    <w:rsid w:val="007135C9"/>
    <w:rsid w:val="00713A2C"/>
    <w:rsid w:val="0071431E"/>
    <w:rsid w:val="007143B5"/>
    <w:rsid w:val="00714F5E"/>
    <w:rsid w:val="00714F77"/>
    <w:rsid w:val="0071502E"/>
    <w:rsid w:val="007152A8"/>
    <w:rsid w:val="007157D8"/>
    <w:rsid w:val="00715890"/>
    <w:rsid w:val="00715A9B"/>
    <w:rsid w:val="00715B31"/>
    <w:rsid w:val="00715E4B"/>
    <w:rsid w:val="00715FAA"/>
    <w:rsid w:val="00716035"/>
    <w:rsid w:val="0071603B"/>
    <w:rsid w:val="00716149"/>
    <w:rsid w:val="00716385"/>
    <w:rsid w:val="007165E1"/>
    <w:rsid w:val="00716A2D"/>
    <w:rsid w:val="00716B77"/>
    <w:rsid w:val="007170EA"/>
    <w:rsid w:val="00717707"/>
    <w:rsid w:val="00717CE6"/>
    <w:rsid w:val="00717D74"/>
    <w:rsid w:val="00720105"/>
    <w:rsid w:val="00720408"/>
    <w:rsid w:val="00720D2C"/>
    <w:rsid w:val="007213CB"/>
    <w:rsid w:val="00721432"/>
    <w:rsid w:val="007216CC"/>
    <w:rsid w:val="007216FC"/>
    <w:rsid w:val="00721A65"/>
    <w:rsid w:val="00721A6A"/>
    <w:rsid w:val="00721E1C"/>
    <w:rsid w:val="0072226A"/>
    <w:rsid w:val="0072244F"/>
    <w:rsid w:val="007224CF"/>
    <w:rsid w:val="00722658"/>
    <w:rsid w:val="00722DE2"/>
    <w:rsid w:val="007231FD"/>
    <w:rsid w:val="007236CA"/>
    <w:rsid w:val="0072413C"/>
    <w:rsid w:val="007242B4"/>
    <w:rsid w:val="00724784"/>
    <w:rsid w:val="00724CB4"/>
    <w:rsid w:val="00724F78"/>
    <w:rsid w:val="00725114"/>
    <w:rsid w:val="00725175"/>
    <w:rsid w:val="007253D6"/>
    <w:rsid w:val="0072566F"/>
    <w:rsid w:val="007258A7"/>
    <w:rsid w:val="00725C57"/>
    <w:rsid w:val="007260A9"/>
    <w:rsid w:val="00726BE5"/>
    <w:rsid w:val="00726E8F"/>
    <w:rsid w:val="00727BE7"/>
    <w:rsid w:val="00730194"/>
    <w:rsid w:val="00730286"/>
    <w:rsid w:val="007302D7"/>
    <w:rsid w:val="00730977"/>
    <w:rsid w:val="00730AC2"/>
    <w:rsid w:val="00730C35"/>
    <w:rsid w:val="007313B7"/>
    <w:rsid w:val="00731C37"/>
    <w:rsid w:val="0073239A"/>
    <w:rsid w:val="007332C8"/>
    <w:rsid w:val="007338F5"/>
    <w:rsid w:val="0073392F"/>
    <w:rsid w:val="00733988"/>
    <w:rsid w:val="00733DAE"/>
    <w:rsid w:val="00733FFC"/>
    <w:rsid w:val="007341EB"/>
    <w:rsid w:val="00734DF6"/>
    <w:rsid w:val="00735C42"/>
    <w:rsid w:val="00736457"/>
    <w:rsid w:val="00736943"/>
    <w:rsid w:val="00737033"/>
    <w:rsid w:val="007374F3"/>
    <w:rsid w:val="00737CEE"/>
    <w:rsid w:val="00737EFD"/>
    <w:rsid w:val="007407E7"/>
    <w:rsid w:val="00740F53"/>
    <w:rsid w:val="00740F81"/>
    <w:rsid w:val="00741B4F"/>
    <w:rsid w:val="00741F1D"/>
    <w:rsid w:val="0074285F"/>
    <w:rsid w:val="00742933"/>
    <w:rsid w:val="00742AB0"/>
    <w:rsid w:val="00742B82"/>
    <w:rsid w:val="00742C8E"/>
    <w:rsid w:val="00742DC0"/>
    <w:rsid w:val="0074341C"/>
    <w:rsid w:val="007434F4"/>
    <w:rsid w:val="0074376C"/>
    <w:rsid w:val="00743D7D"/>
    <w:rsid w:val="00743E3C"/>
    <w:rsid w:val="0074407B"/>
    <w:rsid w:val="00744379"/>
    <w:rsid w:val="007444B5"/>
    <w:rsid w:val="0074466B"/>
    <w:rsid w:val="007446C1"/>
    <w:rsid w:val="0074485B"/>
    <w:rsid w:val="00744909"/>
    <w:rsid w:val="00744E92"/>
    <w:rsid w:val="00744F7A"/>
    <w:rsid w:val="00745007"/>
    <w:rsid w:val="00745074"/>
    <w:rsid w:val="007452D6"/>
    <w:rsid w:val="00745BB7"/>
    <w:rsid w:val="00745D11"/>
    <w:rsid w:val="0074627E"/>
    <w:rsid w:val="00746387"/>
    <w:rsid w:val="007468AD"/>
    <w:rsid w:val="007468F7"/>
    <w:rsid w:val="00746EE9"/>
    <w:rsid w:val="0074702B"/>
    <w:rsid w:val="00747229"/>
    <w:rsid w:val="007473A2"/>
    <w:rsid w:val="007502C8"/>
    <w:rsid w:val="007504F9"/>
    <w:rsid w:val="00750591"/>
    <w:rsid w:val="007505EB"/>
    <w:rsid w:val="00750A5D"/>
    <w:rsid w:val="00750D1F"/>
    <w:rsid w:val="00750E6B"/>
    <w:rsid w:val="007514BF"/>
    <w:rsid w:val="007515D7"/>
    <w:rsid w:val="007515E8"/>
    <w:rsid w:val="00751681"/>
    <w:rsid w:val="00751774"/>
    <w:rsid w:val="00752132"/>
    <w:rsid w:val="0075247E"/>
    <w:rsid w:val="00752DF2"/>
    <w:rsid w:val="00752F31"/>
    <w:rsid w:val="007530E6"/>
    <w:rsid w:val="00753390"/>
    <w:rsid w:val="00753C4B"/>
    <w:rsid w:val="00755001"/>
    <w:rsid w:val="0075551B"/>
    <w:rsid w:val="00755DBE"/>
    <w:rsid w:val="00755F91"/>
    <w:rsid w:val="00755FC5"/>
    <w:rsid w:val="0075608A"/>
    <w:rsid w:val="00756E74"/>
    <w:rsid w:val="007570CF"/>
    <w:rsid w:val="0075746C"/>
    <w:rsid w:val="00757695"/>
    <w:rsid w:val="00757786"/>
    <w:rsid w:val="00757B59"/>
    <w:rsid w:val="007607C6"/>
    <w:rsid w:val="00760B4E"/>
    <w:rsid w:val="00760D43"/>
    <w:rsid w:val="007614A2"/>
    <w:rsid w:val="007615DF"/>
    <w:rsid w:val="007615E9"/>
    <w:rsid w:val="00761A9F"/>
    <w:rsid w:val="00761FA9"/>
    <w:rsid w:val="007627B0"/>
    <w:rsid w:val="0076305A"/>
    <w:rsid w:val="0076335B"/>
    <w:rsid w:val="0076392B"/>
    <w:rsid w:val="00763AD2"/>
    <w:rsid w:val="0076441B"/>
    <w:rsid w:val="0076459A"/>
    <w:rsid w:val="00764818"/>
    <w:rsid w:val="00764D6E"/>
    <w:rsid w:val="00765607"/>
    <w:rsid w:val="007659F4"/>
    <w:rsid w:val="00765B28"/>
    <w:rsid w:val="00766744"/>
    <w:rsid w:val="00766BA1"/>
    <w:rsid w:val="00767502"/>
    <w:rsid w:val="0076758A"/>
    <w:rsid w:val="007678AE"/>
    <w:rsid w:val="00770090"/>
    <w:rsid w:val="00770497"/>
    <w:rsid w:val="00770C67"/>
    <w:rsid w:val="00770DA7"/>
    <w:rsid w:val="00770EB6"/>
    <w:rsid w:val="00770F15"/>
    <w:rsid w:val="00770F39"/>
    <w:rsid w:val="007719A8"/>
    <w:rsid w:val="0077276E"/>
    <w:rsid w:val="00772A93"/>
    <w:rsid w:val="00772C10"/>
    <w:rsid w:val="007738E8"/>
    <w:rsid w:val="00773B9F"/>
    <w:rsid w:val="007747F6"/>
    <w:rsid w:val="00774813"/>
    <w:rsid w:val="00774901"/>
    <w:rsid w:val="00774B22"/>
    <w:rsid w:val="00774D20"/>
    <w:rsid w:val="00775569"/>
    <w:rsid w:val="007758E0"/>
    <w:rsid w:val="00775F54"/>
    <w:rsid w:val="00776800"/>
    <w:rsid w:val="007768B2"/>
    <w:rsid w:val="00776BA6"/>
    <w:rsid w:val="007778CC"/>
    <w:rsid w:val="00777D82"/>
    <w:rsid w:val="0078019E"/>
    <w:rsid w:val="0078038E"/>
    <w:rsid w:val="007803C2"/>
    <w:rsid w:val="00780CBB"/>
    <w:rsid w:val="00781043"/>
    <w:rsid w:val="0078116E"/>
    <w:rsid w:val="00781317"/>
    <w:rsid w:val="007816FB"/>
    <w:rsid w:val="00781DB4"/>
    <w:rsid w:val="0078207A"/>
    <w:rsid w:val="00782A1E"/>
    <w:rsid w:val="00782B3F"/>
    <w:rsid w:val="00782C47"/>
    <w:rsid w:val="00782DCC"/>
    <w:rsid w:val="00783938"/>
    <w:rsid w:val="00783D93"/>
    <w:rsid w:val="0078447C"/>
    <w:rsid w:val="007846FA"/>
    <w:rsid w:val="007851F9"/>
    <w:rsid w:val="0078541C"/>
    <w:rsid w:val="00785B56"/>
    <w:rsid w:val="00785F62"/>
    <w:rsid w:val="0078635C"/>
    <w:rsid w:val="00786536"/>
    <w:rsid w:val="00786EB9"/>
    <w:rsid w:val="0078755F"/>
    <w:rsid w:val="007903EE"/>
    <w:rsid w:val="00790A8E"/>
    <w:rsid w:val="007910F8"/>
    <w:rsid w:val="00791561"/>
    <w:rsid w:val="00791D2B"/>
    <w:rsid w:val="00792309"/>
    <w:rsid w:val="00792808"/>
    <w:rsid w:val="0079292F"/>
    <w:rsid w:val="007934CF"/>
    <w:rsid w:val="007938BD"/>
    <w:rsid w:val="00793F2B"/>
    <w:rsid w:val="00794718"/>
    <w:rsid w:val="00794D08"/>
    <w:rsid w:val="0079510B"/>
    <w:rsid w:val="00795693"/>
    <w:rsid w:val="00795A8D"/>
    <w:rsid w:val="007964B4"/>
    <w:rsid w:val="007965C9"/>
    <w:rsid w:val="007965F5"/>
    <w:rsid w:val="007966F9"/>
    <w:rsid w:val="00796E0D"/>
    <w:rsid w:val="00796E9F"/>
    <w:rsid w:val="00796EA6"/>
    <w:rsid w:val="00797458"/>
    <w:rsid w:val="0079746B"/>
    <w:rsid w:val="00797581"/>
    <w:rsid w:val="007979F6"/>
    <w:rsid w:val="00797EBB"/>
    <w:rsid w:val="007A029F"/>
    <w:rsid w:val="007A07BC"/>
    <w:rsid w:val="007A0E5E"/>
    <w:rsid w:val="007A1056"/>
    <w:rsid w:val="007A180E"/>
    <w:rsid w:val="007A268D"/>
    <w:rsid w:val="007A3759"/>
    <w:rsid w:val="007A4561"/>
    <w:rsid w:val="007A46EB"/>
    <w:rsid w:val="007A4787"/>
    <w:rsid w:val="007A482C"/>
    <w:rsid w:val="007A5BD7"/>
    <w:rsid w:val="007A6239"/>
    <w:rsid w:val="007A64CC"/>
    <w:rsid w:val="007A66DF"/>
    <w:rsid w:val="007A6742"/>
    <w:rsid w:val="007A6B55"/>
    <w:rsid w:val="007A6DB2"/>
    <w:rsid w:val="007A6EDC"/>
    <w:rsid w:val="007A6F71"/>
    <w:rsid w:val="007A6F8A"/>
    <w:rsid w:val="007A7267"/>
    <w:rsid w:val="007A753E"/>
    <w:rsid w:val="007A76DD"/>
    <w:rsid w:val="007B0CF3"/>
    <w:rsid w:val="007B15E3"/>
    <w:rsid w:val="007B16DF"/>
    <w:rsid w:val="007B1BCD"/>
    <w:rsid w:val="007B1C4B"/>
    <w:rsid w:val="007B28DA"/>
    <w:rsid w:val="007B29E3"/>
    <w:rsid w:val="007B2B00"/>
    <w:rsid w:val="007B2CC6"/>
    <w:rsid w:val="007B3BD2"/>
    <w:rsid w:val="007B4172"/>
    <w:rsid w:val="007B419C"/>
    <w:rsid w:val="007B4570"/>
    <w:rsid w:val="007B45FD"/>
    <w:rsid w:val="007B4807"/>
    <w:rsid w:val="007B4842"/>
    <w:rsid w:val="007B4BC4"/>
    <w:rsid w:val="007B4C90"/>
    <w:rsid w:val="007B4DE2"/>
    <w:rsid w:val="007B5600"/>
    <w:rsid w:val="007B5C1E"/>
    <w:rsid w:val="007B681D"/>
    <w:rsid w:val="007B6A00"/>
    <w:rsid w:val="007B6D89"/>
    <w:rsid w:val="007B70E8"/>
    <w:rsid w:val="007B712D"/>
    <w:rsid w:val="007B71B8"/>
    <w:rsid w:val="007B7350"/>
    <w:rsid w:val="007B7C0F"/>
    <w:rsid w:val="007B7F55"/>
    <w:rsid w:val="007C0294"/>
    <w:rsid w:val="007C0629"/>
    <w:rsid w:val="007C065B"/>
    <w:rsid w:val="007C0BC3"/>
    <w:rsid w:val="007C0CBB"/>
    <w:rsid w:val="007C0D91"/>
    <w:rsid w:val="007C1A5B"/>
    <w:rsid w:val="007C2212"/>
    <w:rsid w:val="007C2473"/>
    <w:rsid w:val="007C286C"/>
    <w:rsid w:val="007C294C"/>
    <w:rsid w:val="007C29BF"/>
    <w:rsid w:val="007C2D63"/>
    <w:rsid w:val="007C2EE8"/>
    <w:rsid w:val="007C2F96"/>
    <w:rsid w:val="007C3155"/>
    <w:rsid w:val="007C35DB"/>
    <w:rsid w:val="007C3618"/>
    <w:rsid w:val="007C39D7"/>
    <w:rsid w:val="007C3A28"/>
    <w:rsid w:val="007C40B8"/>
    <w:rsid w:val="007C4409"/>
    <w:rsid w:val="007C4A5D"/>
    <w:rsid w:val="007C4D72"/>
    <w:rsid w:val="007C57F6"/>
    <w:rsid w:val="007C5BCB"/>
    <w:rsid w:val="007C5D79"/>
    <w:rsid w:val="007C5F01"/>
    <w:rsid w:val="007C6621"/>
    <w:rsid w:val="007C6DC5"/>
    <w:rsid w:val="007C70F4"/>
    <w:rsid w:val="007C7F28"/>
    <w:rsid w:val="007D068F"/>
    <w:rsid w:val="007D08FE"/>
    <w:rsid w:val="007D12F3"/>
    <w:rsid w:val="007D1628"/>
    <w:rsid w:val="007D1673"/>
    <w:rsid w:val="007D1AA4"/>
    <w:rsid w:val="007D1BDA"/>
    <w:rsid w:val="007D1E93"/>
    <w:rsid w:val="007D223D"/>
    <w:rsid w:val="007D230E"/>
    <w:rsid w:val="007D2484"/>
    <w:rsid w:val="007D2598"/>
    <w:rsid w:val="007D2F55"/>
    <w:rsid w:val="007D3B1F"/>
    <w:rsid w:val="007D3F88"/>
    <w:rsid w:val="007D4050"/>
    <w:rsid w:val="007D416F"/>
    <w:rsid w:val="007D41CA"/>
    <w:rsid w:val="007D4805"/>
    <w:rsid w:val="007D4AAC"/>
    <w:rsid w:val="007D54C1"/>
    <w:rsid w:val="007D5513"/>
    <w:rsid w:val="007D5A98"/>
    <w:rsid w:val="007D5EF3"/>
    <w:rsid w:val="007D6024"/>
    <w:rsid w:val="007D6695"/>
    <w:rsid w:val="007D680A"/>
    <w:rsid w:val="007D6C34"/>
    <w:rsid w:val="007D6C41"/>
    <w:rsid w:val="007D6E89"/>
    <w:rsid w:val="007D70D6"/>
    <w:rsid w:val="007D7323"/>
    <w:rsid w:val="007D7621"/>
    <w:rsid w:val="007D7881"/>
    <w:rsid w:val="007E04D0"/>
    <w:rsid w:val="007E0583"/>
    <w:rsid w:val="007E0828"/>
    <w:rsid w:val="007E0F66"/>
    <w:rsid w:val="007E1592"/>
    <w:rsid w:val="007E20D9"/>
    <w:rsid w:val="007E265B"/>
    <w:rsid w:val="007E2E7A"/>
    <w:rsid w:val="007E3236"/>
    <w:rsid w:val="007E39F7"/>
    <w:rsid w:val="007E3C7D"/>
    <w:rsid w:val="007E42EC"/>
    <w:rsid w:val="007E4483"/>
    <w:rsid w:val="007E48CC"/>
    <w:rsid w:val="007E4982"/>
    <w:rsid w:val="007E49EF"/>
    <w:rsid w:val="007E4CC8"/>
    <w:rsid w:val="007E4E7A"/>
    <w:rsid w:val="007E5168"/>
    <w:rsid w:val="007E52A3"/>
    <w:rsid w:val="007E55DD"/>
    <w:rsid w:val="007E5CA7"/>
    <w:rsid w:val="007E6445"/>
    <w:rsid w:val="007E6554"/>
    <w:rsid w:val="007E66F6"/>
    <w:rsid w:val="007E6854"/>
    <w:rsid w:val="007E6B4F"/>
    <w:rsid w:val="007E6E4D"/>
    <w:rsid w:val="007E7139"/>
    <w:rsid w:val="007E7433"/>
    <w:rsid w:val="007F010B"/>
    <w:rsid w:val="007F04BD"/>
    <w:rsid w:val="007F06A1"/>
    <w:rsid w:val="007F0B2F"/>
    <w:rsid w:val="007F0F68"/>
    <w:rsid w:val="007F0F95"/>
    <w:rsid w:val="007F13A6"/>
    <w:rsid w:val="007F1C8D"/>
    <w:rsid w:val="007F1E0F"/>
    <w:rsid w:val="007F27B2"/>
    <w:rsid w:val="007F2D62"/>
    <w:rsid w:val="007F3007"/>
    <w:rsid w:val="007F3C7B"/>
    <w:rsid w:val="007F3E33"/>
    <w:rsid w:val="007F4092"/>
    <w:rsid w:val="007F45D7"/>
    <w:rsid w:val="007F462D"/>
    <w:rsid w:val="007F4753"/>
    <w:rsid w:val="007F523C"/>
    <w:rsid w:val="007F5D5C"/>
    <w:rsid w:val="007F5EA0"/>
    <w:rsid w:val="007F60CC"/>
    <w:rsid w:val="007F66F6"/>
    <w:rsid w:val="007F6A94"/>
    <w:rsid w:val="007F6E48"/>
    <w:rsid w:val="007F74B0"/>
    <w:rsid w:val="007F7993"/>
    <w:rsid w:val="007F7AD8"/>
    <w:rsid w:val="00801427"/>
    <w:rsid w:val="008016DE"/>
    <w:rsid w:val="0080259E"/>
    <w:rsid w:val="00802A9C"/>
    <w:rsid w:val="00803CDE"/>
    <w:rsid w:val="0080421B"/>
    <w:rsid w:val="00804257"/>
    <w:rsid w:val="0080446E"/>
    <w:rsid w:val="00805B88"/>
    <w:rsid w:val="00805D76"/>
    <w:rsid w:val="00805E37"/>
    <w:rsid w:val="00805FDD"/>
    <w:rsid w:val="008063DE"/>
    <w:rsid w:val="00806BDE"/>
    <w:rsid w:val="00806EBD"/>
    <w:rsid w:val="00807694"/>
    <w:rsid w:val="0080774C"/>
    <w:rsid w:val="00807C3A"/>
    <w:rsid w:val="00807C99"/>
    <w:rsid w:val="0080A3FA"/>
    <w:rsid w:val="008107C6"/>
    <w:rsid w:val="008108F4"/>
    <w:rsid w:val="00810AF3"/>
    <w:rsid w:val="00811147"/>
    <w:rsid w:val="00811AF5"/>
    <w:rsid w:val="00811D83"/>
    <w:rsid w:val="00811FC7"/>
    <w:rsid w:val="00812D69"/>
    <w:rsid w:val="00812F8F"/>
    <w:rsid w:val="00813370"/>
    <w:rsid w:val="008136B6"/>
    <w:rsid w:val="00813EE5"/>
    <w:rsid w:val="00813FAE"/>
    <w:rsid w:val="00814240"/>
    <w:rsid w:val="00814BF5"/>
    <w:rsid w:val="00814DB5"/>
    <w:rsid w:val="00814F7C"/>
    <w:rsid w:val="00814FC2"/>
    <w:rsid w:val="008150BC"/>
    <w:rsid w:val="0081537A"/>
    <w:rsid w:val="008153A4"/>
    <w:rsid w:val="008153CF"/>
    <w:rsid w:val="00815A49"/>
    <w:rsid w:val="00815E65"/>
    <w:rsid w:val="00815F26"/>
    <w:rsid w:val="00816101"/>
    <w:rsid w:val="00816517"/>
    <w:rsid w:val="00816530"/>
    <w:rsid w:val="0081662F"/>
    <w:rsid w:val="0081684E"/>
    <w:rsid w:val="00816BCC"/>
    <w:rsid w:val="00816C35"/>
    <w:rsid w:val="00817014"/>
    <w:rsid w:val="00817281"/>
    <w:rsid w:val="00817506"/>
    <w:rsid w:val="0081779F"/>
    <w:rsid w:val="008177F9"/>
    <w:rsid w:val="00817B30"/>
    <w:rsid w:val="00817ECA"/>
    <w:rsid w:val="00817FFA"/>
    <w:rsid w:val="0082024B"/>
    <w:rsid w:val="008203D5"/>
    <w:rsid w:val="00820602"/>
    <w:rsid w:val="00820C25"/>
    <w:rsid w:val="00820CD1"/>
    <w:rsid w:val="00821A44"/>
    <w:rsid w:val="00821A9C"/>
    <w:rsid w:val="00821AD9"/>
    <w:rsid w:val="00821DE2"/>
    <w:rsid w:val="008227EB"/>
    <w:rsid w:val="00822C88"/>
    <w:rsid w:val="00823AD2"/>
    <w:rsid w:val="00823B8D"/>
    <w:rsid w:val="00823C27"/>
    <w:rsid w:val="0082434F"/>
    <w:rsid w:val="00824F57"/>
    <w:rsid w:val="00825270"/>
    <w:rsid w:val="00825E1B"/>
    <w:rsid w:val="00826435"/>
    <w:rsid w:val="00826457"/>
    <w:rsid w:val="00826EF8"/>
    <w:rsid w:val="00827404"/>
    <w:rsid w:val="0082756D"/>
    <w:rsid w:val="0082760A"/>
    <w:rsid w:val="0082777F"/>
    <w:rsid w:val="008278CA"/>
    <w:rsid w:val="00827A97"/>
    <w:rsid w:val="00827B19"/>
    <w:rsid w:val="00827B9D"/>
    <w:rsid w:val="00827D75"/>
    <w:rsid w:val="00827F74"/>
    <w:rsid w:val="008301AA"/>
    <w:rsid w:val="00830685"/>
    <w:rsid w:val="00830837"/>
    <w:rsid w:val="00830CAC"/>
    <w:rsid w:val="008315E9"/>
    <w:rsid w:val="00831665"/>
    <w:rsid w:val="0083192B"/>
    <w:rsid w:val="008324B9"/>
    <w:rsid w:val="0083267D"/>
    <w:rsid w:val="00833415"/>
    <w:rsid w:val="008335D2"/>
    <w:rsid w:val="00834065"/>
    <w:rsid w:val="0083492D"/>
    <w:rsid w:val="00834B33"/>
    <w:rsid w:val="00834F79"/>
    <w:rsid w:val="00835020"/>
    <w:rsid w:val="00835499"/>
    <w:rsid w:val="0083556D"/>
    <w:rsid w:val="0083577D"/>
    <w:rsid w:val="00835D45"/>
    <w:rsid w:val="00835E5D"/>
    <w:rsid w:val="0083649F"/>
    <w:rsid w:val="008365E0"/>
    <w:rsid w:val="00836BC9"/>
    <w:rsid w:val="00836E3F"/>
    <w:rsid w:val="00836FB4"/>
    <w:rsid w:val="00837023"/>
    <w:rsid w:val="008371F2"/>
    <w:rsid w:val="008372BB"/>
    <w:rsid w:val="00837624"/>
    <w:rsid w:val="008376EF"/>
    <w:rsid w:val="00837DE4"/>
    <w:rsid w:val="00837DE8"/>
    <w:rsid w:val="00840339"/>
    <w:rsid w:val="00840E79"/>
    <w:rsid w:val="0084119A"/>
    <w:rsid w:val="00841402"/>
    <w:rsid w:val="00841918"/>
    <w:rsid w:val="00841E76"/>
    <w:rsid w:val="00841F5D"/>
    <w:rsid w:val="008422A0"/>
    <w:rsid w:val="00842571"/>
    <w:rsid w:val="00842EEA"/>
    <w:rsid w:val="008432E5"/>
    <w:rsid w:val="0084430E"/>
    <w:rsid w:val="00844927"/>
    <w:rsid w:val="00845158"/>
    <w:rsid w:val="008463B9"/>
    <w:rsid w:val="00846766"/>
    <w:rsid w:val="00846D22"/>
    <w:rsid w:val="00846DD9"/>
    <w:rsid w:val="008475BB"/>
    <w:rsid w:val="008476EE"/>
    <w:rsid w:val="008500A5"/>
    <w:rsid w:val="008503CB"/>
    <w:rsid w:val="008509EA"/>
    <w:rsid w:val="00850ADE"/>
    <w:rsid w:val="00851365"/>
    <w:rsid w:val="00851401"/>
    <w:rsid w:val="008517D9"/>
    <w:rsid w:val="00851904"/>
    <w:rsid w:val="00851E4D"/>
    <w:rsid w:val="0085209D"/>
    <w:rsid w:val="00852722"/>
    <w:rsid w:val="00852C75"/>
    <w:rsid w:val="00853054"/>
    <w:rsid w:val="008530E2"/>
    <w:rsid w:val="008531A6"/>
    <w:rsid w:val="008536B3"/>
    <w:rsid w:val="0085372C"/>
    <w:rsid w:val="00853D99"/>
    <w:rsid w:val="00853FE2"/>
    <w:rsid w:val="0085413D"/>
    <w:rsid w:val="00854237"/>
    <w:rsid w:val="00854260"/>
    <w:rsid w:val="008548E6"/>
    <w:rsid w:val="00854A24"/>
    <w:rsid w:val="00854B31"/>
    <w:rsid w:val="00854B41"/>
    <w:rsid w:val="00855016"/>
    <w:rsid w:val="00855614"/>
    <w:rsid w:val="008556F5"/>
    <w:rsid w:val="00855D1C"/>
    <w:rsid w:val="00855DEF"/>
    <w:rsid w:val="00855F2F"/>
    <w:rsid w:val="00856066"/>
    <w:rsid w:val="00856137"/>
    <w:rsid w:val="0085663C"/>
    <w:rsid w:val="008567CE"/>
    <w:rsid w:val="00857C4A"/>
    <w:rsid w:val="00860B50"/>
    <w:rsid w:val="00860B66"/>
    <w:rsid w:val="008611AC"/>
    <w:rsid w:val="008612EE"/>
    <w:rsid w:val="008613CE"/>
    <w:rsid w:val="008615DC"/>
    <w:rsid w:val="00861775"/>
    <w:rsid w:val="00861A18"/>
    <w:rsid w:val="00861A45"/>
    <w:rsid w:val="00861FFA"/>
    <w:rsid w:val="008621C7"/>
    <w:rsid w:val="008626C0"/>
    <w:rsid w:val="0086279E"/>
    <w:rsid w:val="0086284F"/>
    <w:rsid w:val="008629B0"/>
    <w:rsid w:val="00862C8D"/>
    <w:rsid w:val="00862ED9"/>
    <w:rsid w:val="00863356"/>
    <w:rsid w:val="0086357F"/>
    <w:rsid w:val="008645B6"/>
    <w:rsid w:val="00864A0D"/>
    <w:rsid w:val="00864A48"/>
    <w:rsid w:val="00864AC9"/>
    <w:rsid w:val="00865D0B"/>
    <w:rsid w:val="00865DD4"/>
    <w:rsid w:val="00865EDA"/>
    <w:rsid w:val="00865F2A"/>
    <w:rsid w:val="00865F5B"/>
    <w:rsid w:val="00865FDC"/>
    <w:rsid w:val="00866239"/>
    <w:rsid w:val="0086699D"/>
    <w:rsid w:val="00866C2C"/>
    <w:rsid w:val="00867B50"/>
    <w:rsid w:val="00867CAE"/>
    <w:rsid w:val="00870081"/>
    <w:rsid w:val="00870356"/>
    <w:rsid w:val="008708AE"/>
    <w:rsid w:val="00870C09"/>
    <w:rsid w:val="00870DDD"/>
    <w:rsid w:val="0087126A"/>
    <w:rsid w:val="0087137B"/>
    <w:rsid w:val="0087206B"/>
    <w:rsid w:val="0087227E"/>
    <w:rsid w:val="00872D7C"/>
    <w:rsid w:val="00872DA5"/>
    <w:rsid w:val="00873662"/>
    <w:rsid w:val="008736E6"/>
    <w:rsid w:val="00873820"/>
    <w:rsid w:val="00873AA6"/>
    <w:rsid w:val="00873AE9"/>
    <w:rsid w:val="00873B1B"/>
    <w:rsid w:val="00874229"/>
    <w:rsid w:val="008742A5"/>
    <w:rsid w:val="0087443B"/>
    <w:rsid w:val="00874768"/>
    <w:rsid w:val="00874B89"/>
    <w:rsid w:val="00874F79"/>
    <w:rsid w:val="008750D0"/>
    <w:rsid w:val="008752E4"/>
    <w:rsid w:val="00875438"/>
    <w:rsid w:val="00875BBF"/>
    <w:rsid w:val="00875F42"/>
    <w:rsid w:val="00875F6C"/>
    <w:rsid w:val="00876527"/>
    <w:rsid w:val="00876CC3"/>
    <w:rsid w:val="008800D4"/>
    <w:rsid w:val="008804CD"/>
    <w:rsid w:val="0088055E"/>
    <w:rsid w:val="0088076E"/>
    <w:rsid w:val="00880796"/>
    <w:rsid w:val="0088098E"/>
    <w:rsid w:val="00880B40"/>
    <w:rsid w:val="00881D36"/>
    <w:rsid w:val="008824A2"/>
    <w:rsid w:val="008826AC"/>
    <w:rsid w:val="00882A63"/>
    <w:rsid w:val="00882C6F"/>
    <w:rsid w:val="00882CE4"/>
    <w:rsid w:val="00882EFE"/>
    <w:rsid w:val="008830A4"/>
    <w:rsid w:val="008834C7"/>
    <w:rsid w:val="00883836"/>
    <w:rsid w:val="008839DF"/>
    <w:rsid w:val="00883D65"/>
    <w:rsid w:val="00884223"/>
    <w:rsid w:val="008842B8"/>
    <w:rsid w:val="0088457E"/>
    <w:rsid w:val="008845B3"/>
    <w:rsid w:val="008847AB"/>
    <w:rsid w:val="008849AF"/>
    <w:rsid w:val="00884E55"/>
    <w:rsid w:val="008854B5"/>
    <w:rsid w:val="00885C16"/>
    <w:rsid w:val="00885D2C"/>
    <w:rsid w:val="00885FDD"/>
    <w:rsid w:val="0088604A"/>
    <w:rsid w:val="0088605C"/>
    <w:rsid w:val="0088651F"/>
    <w:rsid w:val="00886589"/>
    <w:rsid w:val="00886CEE"/>
    <w:rsid w:val="00886DBB"/>
    <w:rsid w:val="00886F53"/>
    <w:rsid w:val="00887287"/>
    <w:rsid w:val="008876AA"/>
    <w:rsid w:val="00887AA6"/>
    <w:rsid w:val="00887CBB"/>
    <w:rsid w:val="00887E78"/>
    <w:rsid w:val="00890C9A"/>
    <w:rsid w:val="00890D24"/>
    <w:rsid w:val="00890DE0"/>
    <w:rsid w:val="008914ED"/>
    <w:rsid w:val="00891954"/>
    <w:rsid w:val="00891D64"/>
    <w:rsid w:val="00892186"/>
    <w:rsid w:val="008927BE"/>
    <w:rsid w:val="00892EB4"/>
    <w:rsid w:val="008937BA"/>
    <w:rsid w:val="00893EE5"/>
    <w:rsid w:val="0089414A"/>
    <w:rsid w:val="00894C04"/>
    <w:rsid w:val="00894D44"/>
    <w:rsid w:val="00895275"/>
    <w:rsid w:val="008956F5"/>
    <w:rsid w:val="00895A73"/>
    <w:rsid w:val="00895C4D"/>
    <w:rsid w:val="00895E56"/>
    <w:rsid w:val="008966AF"/>
    <w:rsid w:val="0089778C"/>
    <w:rsid w:val="008A01B0"/>
    <w:rsid w:val="008A03F4"/>
    <w:rsid w:val="008A0561"/>
    <w:rsid w:val="008A06E2"/>
    <w:rsid w:val="008A096B"/>
    <w:rsid w:val="008A100E"/>
    <w:rsid w:val="008A1074"/>
    <w:rsid w:val="008A18EA"/>
    <w:rsid w:val="008A2AAB"/>
    <w:rsid w:val="008A2E31"/>
    <w:rsid w:val="008A302F"/>
    <w:rsid w:val="008A30F2"/>
    <w:rsid w:val="008A41E4"/>
    <w:rsid w:val="008A45BF"/>
    <w:rsid w:val="008A4895"/>
    <w:rsid w:val="008A493B"/>
    <w:rsid w:val="008A4AEB"/>
    <w:rsid w:val="008A5045"/>
    <w:rsid w:val="008A55C7"/>
    <w:rsid w:val="008A56C6"/>
    <w:rsid w:val="008A59F3"/>
    <w:rsid w:val="008A5B3F"/>
    <w:rsid w:val="008A60D1"/>
    <w:rsid w:val="008A613D"/>
    <w:rsid w:val="008A624E"/>
    <w:rsid w:val="008A62BE"/>
    <w:rsid w:val="008A64E9"/>
    <w:rsid w:val="008A65F4"/>
    <w:rsid w:val="008A670D"/>
    <w:rsid w:val="008A6DE6"/>
    <w:rsid w:val="008A6F56"/>
    <w:rsid w:val="008A6FB4"/>
    <w:rsid w:val="008A718F"/>
    <w:rsid w:val="008A7627"/>
    <w:rsid w:val="008A7D0F"/>
    <w:rsid w:val="008A7D5A"/>
    <w:rsid w:val="008B0AEB"/>
    <w:rsid w:val="008B1604"/>
    <w:rsid w:val="008B1929"/>
    <w:rsid w:val="008B1A46"/>
    <w:rsid w:val="008B1D23"/>
    <w:rsid w:val="008B1F4D"/>
    <w:rsid w:val="008B2268"/>
    <w:rsid w:val="008B22A2"/>
    <w:rsid w:val="008B25B6"/>
    <w:rsid w:val="008B263D"/>
    <w:rsid w:val="008B2A79"/>
    <w:rsid w:val="008B3084"/>
    <w:rsid w:val="008B34AB"/>
    <w:rsid w:val="008B3C26"/>
    <w:rsid w:val="008B3E23"/>
    <w:rsid w:val="008B40A9"/>
    <w:rsid w:val="008B415F"/>
    <w:rsid w:val="008B4257"/>
    <w:rsid w:val="008B456B"/>
    <w:rsid w:val="008B4AD8"/>
    <w:rsid w:val="008B4E7A"/>
    <w:rsid w:val="008B55A3"/>
    <w:rsid w:val="008B5753"/>
    <w:rsid w:val="008B63C0"/>
    <w:rsid w:val="008B6644"/>
    <w:rsid w:val="008B697F"/>
    <w:rsid w:val="008B6DD3"/>
    <w:rsid w:val="008B6FD7"/>
    <w:rsid w:val="008B750E"/>
    <w:rsid w:val="008B7918"/>
    <w:rsid w:val="008B7A20"/>
    <w:rsid w:val="008C02BF"/>
    <w:rsid w:val="008C0C79"/>
    <w:rsid w:val="008C0D1F"/>
    <w:rsid w:val="008C0E73"/>
    <w:rsid w:val="008C10E1"/>
    <w:rsid w:val="008C12D8"/>
    <w:rsid w:val="008C1E7F"/>
    <w:rsid w:val="008C1EC6"/>
    <w:rsid w:val="008C20A2"/>
    <w:rsid w:val="008C22A5"/>
    <w:rsid w:val="008C23F2"/>
    <w:rsid w:val="008C2552"/>
    <w:rsid w:val="008C265A"/>
    <w:rsid w:val="008C265C"/>
    <w:rsid w:val="008C27D5"/>
    <w:rsid w:val="008C27D6"/>
    <w:rsid w:val="008C2904"/>
    <w:rsid w:val="008C2AFF"/>
    <w:rsid w:val="008C30B7"/>
    <w:rsid w:val="008C3385"/>
    <w:rsid w:val="008C3740"/>
    <w:rsid w:val="008C409A"/>
    <w:rsid w:val="008C4225"/>
    <w:rsid w:val="008C446A"/>
    <w:rsid w:val="008C53F6"/>
    <w:rsid w:val="008C5448"/>
    <w:rsid w:val="008C5D40"/>
    <w:rsid w:val="008C651E"/>
    <w:rsid w:val="008C68E2"/>
    <w:rsid w:val="008C6D36"/>
    <w:rsid w:val="008C7002"/>
    <w:rsid w:val="008C70A5"/>
    <w:rsid w:val="008C75C4"/>
    <w:rsid w:val="008C7613"/>
    <w:rsid w:val="008C7ADF"/>
    <w:rsid w:val="008C7F13"/>
    <w:rsid w:val="008D02AB"/>
    <w:rsid w:val="008D0528"/>
    <w:rsid w:val="008D10E5"/>
    <w:rsid w:val="008D1375"/>
    <w:rsid w:val="008D19A2"/>
    <w:rsid w:val="008D1EA9"/>
    <w:rsid w:val="008D1EAC"/>
    <w:rsid w:val="008D28C1"/>
    <w:rsid w:val="008D2D27"/>
    <w:rsid w:val="008D2E49"/>
    <w:rsid w:val="008D378F"/>
    <w:rsid w:val="008D3A93"/>
    <w:rsid w:val="008D3ACE"/>
    <w:rsid w:val="008D3BA3"/>
    <w:rsid w:val="008D3DEE"/>
    <w:rsid w:val="008D4884"/>
    <w:rsid w:val="008D4C7D"/>
    <w:rsid w:val="008D50D2"/>
    <w:rsid w:val="008D5626"/>
    <w:rsid w:val="008D596E"/>
    <w:rsid w:val="008D5B55"/>
    <w:rsid w:val="008D5CA8"/>
    <w:rsid w:val="008D5E2A"/>
    <w:rsid w:val="008D63C7"/>
    <w:rsid w:val="008D64B7"/>
    <w:rsid w:val="008D6608"/>
    <w:rsid w:val="008D660D"/>
    <w:rsid w:val="008D6AF2"/>
    <w:rsid w:val="008D6BC1"/>
    <w:rsid w:val="008D6D5B"/>
    <w:rsid w:val="008D6E27"/>
    <w:rsid w:val="008D736C"/>
    <w:rsid w:val="008D745E"/>
    <w:rsid w:val="008D7B16"/>
    <w:rsid w:val="008D7F52"/>
    <w:rsid w:val="008E08A3"/>
    <w:rsid w:val="008E0A2B"/>
    <w:rsid w:val="008E0AE5"/>
    <w:rsid w:val="008E0B4C"/>
    <w:rsid w:val="008E1BA4"/>
    <w:rsid w:val="008E1E14"/>
    <w:rsid w:val="008E22AF"/>
    <w:rsid w:val="008E26B7"/>
    <w:rsid w:val="008E2AA2"/>
    <w:rsid w:val="008E2F3B"/>
    <w:rsid w:val="008E30B2"/>
    <w:rsid w:val="008E33BA"/>
    <w:rsid w:val="008E34DC"/>
    <w:rsid w:val="008E3887"/>
    <w:rsid w:val="008E3A54"/>
    <w:rsid w:val="008E3C06"/>
    <w:rsid w:val="008E3CC4"/>
    <w:rsid w:val="008E4372"/>
    <w:rsid w:val="008E4A1F"/>
    <w:rsid w:val="008E4F25"/>
    <w:rsid w:val="008E4F9C"/>
    <w:rsid w:val="008E5152"/>
    <w:rsid w:val="008E574B"/>
    <w:rsid w:val="008E5C4B"/>
    <w:rsid w:val="008E60CF"/>
    <w:rsid w:val="008E63CC"/>
    <w:rsid w:val="008E667D"/>
    <w:rsid w:val="008E66A9"/>
    <w:rsid w:val="008E6776"/>
    <w:rsid w:val="008E694D"/>
    <w:rsid w:val="008E6998"/>
    <w:rsid w:val="008E6AFA"/>
    <w:rsid w:val="008E6BA7"/>
    <w:rsid w:val="008E6CD2"/>
    <w:rsid w:val="008E7371"/>
    <w:rsid w:val="008E7A1E"/>
    <w:rsid w:val="008E7C04"/>
    <w:rsid w:val="008E7FBF"/>
    <w:rsid w:val="008F00E0"/>
    <w:rsid w:val="008F037F"/>
    <w:rsid w:val="008F0906"/>
    <w:rsid w:val="008F0BCF"/>
    <w:rsid w:val="008F0C1F"/>
    <w:rsid w:val="008F0E0D"/>
    <w:rsid w:val="008F0E9B"/>
    <w:rsid w:val="008F19E5"/>
    <w:rsid w:val="008F19F2"/>
    <w:rsid w:val="008F21C5"/>
    <w:rsid w:val="008F2262"/>
    <w:rsid w:val="008F24DF"/>
    <w:rsid w:val="008F2B56"/>
    <w:rsid w:val="008F2B7F"/>
    <w:rsid w:val="008F3319"/>
    <w:rsid w:val="008F3447"/>
    <w:rsid w:val="008F35DB"/>
    <w:rsid w:val="008F3632"/>
    <w:rsid w:val="008F3A7A"/>
    <w:rsid w:val="008F401C"/>
    <w:rsid w:val="008F40BD"/>
    <w:rsid w:val="008F4838"/>
    <w:rsid w:val="008F5027"/>
    <w:rsid w:val="008F5B7B"/>
    <w:rsid w:val="008F5C5A"/>
    <w:rsid w:val="008F61E1"/>
    <w:rsid w:val="008F698A"/>
    <w:rsid w:val="008F6DE0"/>
    <w:rsid w:val="008F7241"/>
    <w:rsid w:val="008F73AF"/>
    <w:rsid w:val="008F7B65"/>
    <w:rsid w:val="008F7CA7"/>
    <w:rsid w:val="008F7D2B"/>
    <w:rsid w:val="0090057F"/>
    <w:rsid w:val="009008B8"/>
    <w:rsid w:val="00900D99"/>
    <w:rsid w:val="00900E37"/>
    <w:rsid w:val="009015BD"/>
    <w:rsid w:val="009026E7"/>
    <w:rsid w:val="0090274D"/>
    <w:rsid w:val="00902BE4"/>
    <w:rsid w:val="00902E03"/>
    <w:rsid w:val="00902F30"/>
    <w:rsid w:val="0090315B"/>
    <w:rsid w:val="00903785"/>
    <w:rsid w:val="0090384A"/>
    <w:rsid w:val="00903E01"/>
    <w:rsid w:val="009044FD"/>
    <w:rsid w:val="00904AF7"/>
    <w:rsid w:val="009053F0"/>
    <w:rsid w:val="009055E6"/>
    <w:rsid w:val="00905663"/>
    <w:rsid w:val="009058A4"/>
    <w:rsid w:val="009058B7"/>
    <w:rsid w:val="00905AEB"/>
    <w:rsid w:val="00905BF0"/>
    <w:rsid w:val="00905EA1"/>
    <w:rsid w:val="009066CA"/>
    <w:rsid w:val="009066DA"/>
    <w:rsid w:val="00906779"/>
    <w:rsid w:val="009068D3"/>
    <w:rsid w:val="00906ADB"/>
    <w:rsid w:val="00906FC1"/>
    <w:rsid w:val="00907B6D"/>
    <w:rsid w:val="00907BCA"/>
    <w:rsid w:val="00910148"/>
    <w:rsid w:val="00910787"/>
    <w:rsid w:val="00910D82"/>
    <w:rsid w:val="00910FF6"/>
    <w:rsid w:val="009110D2"/>
    <w:rsid w:val="009114B8"/>
    <w:rsid w:val="0091182C"/>
    <w:rsid w:val="00912186"/>
    <w:rsid w:val="009121E4"/>
    <w:rsid w:val="009123E9"/>
    <w:rsid w:val="00912488"/>
    <w:rsid w:val="00912829"/>
    <w:rsid w:val="00912B9F"/>
    <w:rsid w:val="00912FD7"/>
    <w:rsid w:val="009130BA"/>
    <w:rsid w:val="009133F2"/>
    <w:rsid w:val="0091356A"/>
    <w:rsid w:val="00914810"/>
    <w:rsid w:val="00914DF2"/>
    <w:rsid w:val="00915BA7"/>
    <w:rsid w:val="00916F75"/>
    <w:rsid w:val="009174E2"/>
    <w:rsid w:val="009175F1"/>
    <w:rsid w:val="0091760F"/>
    <w:rsid w:val="00917911"/>
    <w:rsid w:val="009201B0"/>
    <w:rsid w:val="00920582"/>
    <w:rsid w:val="0092076D"/>
    <w:rsid w:val="00920E5A"/>
    <w:rsid w:val="00920F8C"/>
    <w:rsid w:val="0092119A"/>
    <w:rsid w:val="00921216"/>
    <w:rsid w:val="00921B81"/>
    <w:rsid w:val="009221D7"/>
    <w:rsid w:val="00922A74"/>
    <w:rsid w:val="00922CFD"/>
    <w:rsid w:val="009239D0"/>
    <w:rsid w:val="00923AA7"/>
    <w:rsid w:val="00923FC1"/>
    <w:rsid w:val="0092407C"/>
    <w:rsid w:val="00924457"/>
    <w:rsid w:val="00924E34"/>
    <w:rsid w:val="00925139"/>
    <w:rsid w:val="0092606A"/>
    <w:rsid w:val="00926C84"/>
    <w:rsid w:val="009275D3"/>
    <w:rsid w:val="00927905"/>
    <w:rsid w:val="00927F7C"/>
    <w:rsid w:val="00930448"/>
    <w:rsid w:val="00930524"/>
    <w:rsid w:val="009311B2"/>
    <w:rsid w:val="0093140A"/>
    <w:rsid w:val="00931735"/>
    <w:rsid w:val="009321D3"/>
    <w:rsid w:val="00932F84"/>
    <w:rsid w:val="00933348"/>
    <w:rsid w:val="0093334D"/>
    <w:rsid w:val="00933668"/>
    <w:rsid w:val="00933D9F"/>
    <w:rsid w:val="00933F2A"/>
    <w:rsid w:val="00934366"/>
    <w:rsid w:val="00934462"/>
    <w:rsid w:val="00934566"/>
    <w:rsid w:val="009355D3"/>
    <w:rsid w:val="00935607"/>
    <w:rsid w:val="00935869"/>
    <w:rsid w:val="00935B27"/>
    <w:rsid w:val="00935DD9"/>
    <w:rsid w:val="00935E65"/>
    <w:rsid w:val="009366EC"/>
    <w:rsid w:val="0093692D"/>
    <w:rsid w:val="00936A2C"/>
    <w:rsid w:val="00936D40"/>
    <w:rsid w:val="00936DEE"/>
    <w:rsid w:val="0093723F"/>
    <w:rsid w:val="00937AF2"/>
    <w:rsid w:val="0094012C"/>
    <w:rsid w:val="00940B4E"/>
    <w:rsid w:val="00941269"/>
    <w:rsid w:val="009412DD"/>
    <w:rsid w:val="009415C3"/>
    <w:rsid w:val="00942700"/>
    <w:rsid w:val="00942A51"/>
    <w:rsid w:val="00942B85"/>
    <w:rsid w:val="00942BE8"/>
    <w:rsid w:val="009430CB"/>
    <w:rsid w:val="00943236"/>
    <w:rsid w:val="0094323E"/>
    <w:rsid w:val="00943437"/>
    <w:rsid w:val="00943860"/>
    <w:rsid w:val="00943D67"/>
    <w:rsid w:val="009441CF"/>
    <w:rsid w:val="00944FC1"/>
    <w:rsid w:val="009454EC"/>
    <w:rsid w:val="00945955"/>
    <w:rsid w:val="00945B96"/>
    <w:rsid w:val="00945D64"/>
    <w:rsid w:val="00945FAA"/>
    <w:rsid w:val="00946678"/>
    <w:rsid w:val="0094690F"/>
    <w:rsid w:val="00947E41"/>
    <w:rsid w:val="00950733"/>
    <w:rsid w:val="009508FE"/>
    <w:rsid w:val="00950D0F"/>
    <w:rsid w:val="009510A7"/>
    <w:rsid w:val="0095120A"/>
    <w:rsid w:val="00951356"/>
    <w:rsid w:val="00951AF6"/>
    <w:rsid w:val="00951B45"/>
    <w:rsid w:val="00951E74"/>
    <w:rsid w:val="00951F13"/>
    <w:rsid w:val="009520F4"/>
    <w:rsid w:val="009522A3"/>
    <w:rsid w:val="009522E7"/>
    <w:rsid w:val="00952383"/>
    <w:rsid w:val="0095243D"/>
    <w:rsid w:val="00952694"/>
    <w:rsid w:val="00952BF9"/>
    <w:rsid w:val="00952D99"/>
    <w:rsid w:val="00952EA3"/>
    <w:rsid w:val="00953CF9"/>
    <w:rsid w:val="009540B9"/>
    <w:rsid w:val="009543E1"/>
    <w:rsid w:val="00954AD0"/>
    <w:rsid w:val="00955232"/>
    <w:rsid w:val="00955485"/>
    <w:rsid w:val="00955849"/>
    <w:rsid w:val="00956054"/>
    <w:rsid w:val="0095685A"/>
    <w:rsid w:val="00956998"/>
    <w:rsid w:val="00956B02"/>
    <w:rsid w:val="0095770B"/>
    <w:rsid w:val="00957F8D"/>
    <w:rsid w:val="009613A2"/>
    <w:rsid w:val="0096150D"/>
    <w:rsid w:val="009615E5"/>
    <w:rsid w:val="00961641"/>
    <w:rsid w:val="00961822"/>
    <w:rsid w:val="00961D5A"/>
    <w:rsid w:val="0096263C"/>
    <w:rsid w:val="0096274E"/>
    <w:rsid w:val="00962E6D"/>
    <w:rsid w:val="00963035"/>
    <w:rsid w:val="0096342D"/>
    <w:rsid w:val="00963572"/>
    <w:rsid w:val="00963B5D"/>
    <w:rsid w:val="00963D5C"/>
    <w:rsid w:val="009647E8"/>
    <w:rsid w:val="0096515C"/>
    <w:rsid w:val="009657C3"/>
    <w:rsid w:val="0096589E"/>
    <w:rsid w:val="00965BC5"/>
    <w:rsid w:val="00966826"/>
    <w:rsid w:val="00966A28"/>
    <w:rsid w:val="009671AA"/>
    <w:rsid w:val="00967978"/>
    <w:rsid w:val="00967D92"/>
    <w:rsid w:val="009705AC"/>
    <w:rsid w:val="00970D2A"/>
    <w:rsid w:val="0097107A"/>
    <w:rsid w:val="0097120F"/>
    <w:rsid w:val="00971A59"/>
    <w:rsid w:val="00971BF0"/>
    <w:rsid w:val="00972587"/>
    <w:rsid w:val="00972704"/>
    <w:rsid w:val="00972737"/>
    <w:rsid w:val="00972956"/>
    <w:rsid w:val="009729D2"/>
    <w:rsid w:val="00972C4B"/>
    <w:rsid w:val="00972DDF"/>
    <w:rsid w:val="0097441C"/>
    <w:rsid w:val="00974973"/>
    <w:rsid w:val="00974C81"/>
    <w:rsid w:val="009754BB"/>
    <w:rsid w:val="009754FA"/>
    <w:rsid w:val="00975679"/>
    <w:rsid w:val="00975754"/>
    <w:rsid w:val="009757AC"/>
    <w:rsid w:val="009764A9"/>
    <w:rsid w:val="00976AF5"/>
    <w:rsid w:val="00976E78"/>
    <w:rsid w:val="009771A1"/>
    <w:rsid w:val="0097799B"/>
    <w:rsid w:val="00980409"/>
    <w:rsid w:val="00980A10"/>
    <w:rsid w:val="00980B6D"/>
    <w:rsid w:val="00980F65"/>
    <w:rsid w:val="009813A5"/>
    <w:rsid w:val="009813D5"/>
    <w:rsid w:val="00981936"/>
    <w:rsid w:val="00981965"/>
    <w:rsid w:val="00981DB4"/>
    <w:rsid w:val="009825AE"/>
    <w:rsid w:val="00982660"/>
    <w:rsid w:val="00983228"/>
    <w:rsid w:val="00983705"/>
    <w:rsid w:val="00983ED8"/>
    <w:rsid w:val="00984477"/>
    <w:rsid w:val="0098451F"/>
    <w:rsid w:val="0098468F"/>
    <w:rsid w:val="00984BA1"/>
    <w:rsid w:val="00984BF4"/>
    <w:rsid w:val="00984F6B"/>
    <w:rsid w:val="0098511D"/>
    <w:rsid w:val="00985292"/>
    <w:rsid w:val="00985514"/>
    <w:rsid w:val="009856C6"/>
    <w:rsid w:val="00985AEC"/>
    <w:rsid w:val="00985CEC"/>
    <w:rsid w:val="0098634A"/>
    <w:rsid w:val="0098684D"/>
    <w:rsid w:val="00986C33"/>
    <w:rsid w:val="00986D05"/>
    <w:rsid w:val="0098745B"/>
    <w:rsid w:val="00987BD2"/>
    <w:rsid w:val="00987DBB"/>
    <w:rsid w:val="00990395"/>
    <w:rsid w:val="009909EB"/>
    <w:rsid w:val="00990E70"/>
    <w:rsid w:val="00990F9D"/>
    <w:rsid w:val="009911CB"/>
    <w:rsid w:val="009913DD"/>
    <w:rsid w:val="00991A9A"/>
    <w:rsid w:val="00991CD9"/>
    <w:rsid w:val="00991F47"/>
    <w:rsid w:val="00992102"/>
    <w:rsid w:val="0099252B"/>
    <w:rsid w:val="0099284F"/>
    <w:rsid w:val="00992EDB"/>
    <w:rsid w:val="009930E7"/>
    <w:rsid w:val="009931D4"/>
    <w:rsid w:val="009933CE"/>
    <w:rsid w:val="00993EAB"/>
    <w:rsid w:val="009948B3"/>
    <w:rsid w:val="00994917"/>
    <w:rsid w:val="009951EE"/>
    <w:rsid w:val="00995A50"/>
    <w:rsid w:val="00995B50"/>
    <w:rsid w:val="009970DB"/>
    <w:rsid w:val="0099735B"/>
    <w:rsid w:val="009975D4"/>
    <w:rsid w:val="009A00A2"/>
    <w:rsid w:val="009A0CA0"/>
    <w:rsid w:val="009A0CE7"/>
    <w:rsid w:val="009A0E15"/>
    <w:rsid w:val="009A1477"/>
    <w:rsid w:val="009A15E8"/>
    <w:rsid w:val="009A1732"/>
    <w:rsid w:val="009A1776"/>
    <w:rsid w:val="009A17E2"/>
    <w:rsid w:val="009A1910"/>
    <w:rsid w:val="009A1A1A"/>
    <w:rsid w:val="009A1CCF"/>
    <w:rsid w:val="009A1EFA"/>
    <w:rsid w:val="009A258F"/>
    <w:rsid w:val="009A2621"/>
    <w:rsid w:val="009A269D"/>
    <w:rsid w:val="009A3313"/>
    <w:rsid w:val="009A33C7"/>
    <w:rsid w:val="009A34BB"/>
    <w:rsid w:val="009A353A"/>
    <w:rsid w:val="009A390E"/>
    <w:rsid w:val="009A4618"/>
    <w:rsid w:val="009A5596"/>
    <w:rsid w:val="009A5E59"/>
    <w:rsid w:val="009A670D"/>
    <w:rsid w:val="009A6B47"/>
    <w:rsid w:val="009A6B6B"/>
    <w:rsid w:val="009A6F02"/>
    <w:rsid w:val="009B014E"/>
    <w:rsid w:val="009B0363"/>
    <w:rsid w:val="009B0C73"/>
    <w:rsid w:val="009B0F5D"/>
    <w:rsid w:val="009B0F82"/>
    <w:rsid w:val="009B13DA"/>
    <w:rsid w:val="009B212F"/>
    <w:rsid w:val="009B2595"/>
    <w:rsid w:val="009B2FFD"/>
    <w:rsid w:val="009B309D"/>
    <w:rsid w:val="009B3169"/>
    <w:rsid w:val="009B380B"/>
    <w:rsid w:val="009B3E9F"/>
    <w:rsid w:val="009B3F1D"/>
    <w:rsid w:val="009B3F73"/>
    <w:rsid w:val="009B4000"/>
    <w:rsid w:val="009B4FC5"/>
    <w:rsid w:val="009B4FD8"/>
    <w:rsid w:val="009B563F"/>
    <w:rsid w:val="009B615E"/>
    <w:rsid w:val="009B69F7"/>
    <w:rsid w:val="009B6CF0"/>
    <w:rsid w:val="009B6FE0"/>
    <w:rsid w:val="009C003D"/>
    <w:rsid w:val="009C0BE4"/>
    <w:rsid w:val="009C1870"/>
    <w:rsid w:val="009C1BFB"/>
    <w:rsid w:val="009C1E20"/>
    <w:rsid w:val="009C2225"/>
    <w:rsid w:val="009C251E"/>
    <w:rsid w:val="009C260A"/>
    <w:rsid w:val="009C263E"/>
    <w:rsid w:val="009C29FF"/>
    <w:rsid w:val="009C31CC"/>
    <w:rsid w:val="009C3778"/>
    <w:rsid w:val="009C3889"/>
    <w:rsid w:val="009C3EEA"/>
    <w:rsid w:val="009C4679"/>
    <w:rsid w:val="009C4E44"/>
    <w:rsid w:val="009C5C17"/>
    <w:rsid w:val="009C7344"/>
    <w:rsid w:val="009C785A"/>
    <w:rsid w:val="009C794D"/>
    <w:rsid w:val="009D0485"/>
    <w:rsid w:val="009D0C9D"/>
    <w:rsid w:val="009D1DF3"/>
    <w:rsid w:val="009D2283"/>
    <w:rsid w:val="009D23DC"/>
    <w:rsid w:val="009D268B"/>
    <w:rsid w:val="009D319F"/>
    <w:rsid w:val="009D31C6"/>
    <w:rsid w:val="009D33A7"/>
    <w:rsid w:val="009D3C0D"/>
    <w:rsid w:val="009D3DF8"/>
    <w:rsid w:val="009D401E"/>
    <w:rsid w:val="009D4798"/>
    <w:rsid w:val="009D5060"/>
    <w:rsid w:val="009D52C5"/>
    <w:rsid w:val="009D52D7"/>
    <w:rsid w:val="009D543C"/>
    <w:rsid w:val="009D5B9A"/>
    <w:rsid w:val="009D5D7F"/>
    <w:rsid w:val="009D657C"/>
    <w:rsid w:val="009D67B9"/>
    <w:rsid w:val="009D6B8C"/>
    <w:rsid w:val="009D6FAF"/>
    <w:rsid w:val="009D7399"/>
    <w:rsid w:val="009D747F"/>
    <w:rsid w:val="009D7BD5"/>
    <w:rsid w:val="009E00AC"/>
    <w:rsid w:val="009E06AA"/>
    <w:rsid w:val="009E0744"/>
    <w:rsid w:val="009E1765"/>
    <w:rsid w:val="009E18EA"/>
    <w:rsid w:val="009E1DD6"/>
    <w:rsid w:val="009E1E69"/>
    <w:rsid w:val="009E1E6F"/>
    <w:rsid w:val="009E1F3C"/>
    <w:rsid w:val="009E22EA"/>
    <w:rsid w:val="009E24D1"/>
    <w:rsid w:val="009E2A3C"/>
    <w:rsid w:val="009E2C42"/>
    <w:rsid w:val="009E2C4D"/>
    <w:rsid w:val="009E2E2C"/>
    <w:rsid w:val="009E31EA"/>
    <w:rsid w:val="009E37D7"/>
    <w:rsid w:val="009E3964"/>
    <w:rsid w:val="009E3AE1"/>
    <w:rsid w:val="009E4428"/>
    <w:rsid w:val="009E44FE"/>
    <w:rsid w:val="009E487C"/>
    <w:rsid w:val="009E4CDF"/>
    <w:rsid w:val="009E503C"/>
    <w:rsid w:val="009E5049"/>
    <w:rsid w:val="009E512F"/>
    <w:rsid w:val="009E52B7"/>
    <w:rsid w:val="009E5A39"/>
    <w:rsid w:val="009E5A64"/>
    <w:rsid w:val="009E64D9"/>
    <w:rsid w:val="009E65B7"/>
    <w:rsid w:val="009E68BC"/>
    <w:rsid w:val="009E72E0"/>
    <w:rsid w:val="009E784F"/>
    <w:rsid w:val="009E78F1"/>
    <w:rsid w:val="009F07A0"/>
    <w:rsid w:val="009F12FF"/>
    <w:rsid w:val="009F1363"/>
    <w:rsid w:val="009F15DC"/>
    <w:rsid w:val="009F1C7A"/>
    <w:rsid w:val="009F1E5B"/>
    <w:rsid w:val="009F2096"/>
    <w:rsid w:val="009F23CA"/>
    <w:rsid w:val="009F292B"/>
    <w:rsid w:val="009F2FAB"/>
    <w:rsid w:val="009F3662"/>
    <w:rsid w:val="009F36AC"/>
    <w:rsid w:val="009F36CE"/>
    <w:rsid w:val="009F3931"/>
    <w:rsid w:val="009F447C"/>
    <w:rsid w:val="009F476C"/>
    <w:rsid w:val="009F4863"/>
    <w:rsid w:val="009F4DF9"/>
    <w:rsid w:val="009F6002"/>
    <w:rsid w:val="009F63CA"/>
    <w:rsid w:val="009F662A"/>
    <w:rsid w:val="009F6ECA"/>
    <w:rsid w:val="009F74D5"/>
    <w:rsid w:val="009F7D64"/>
    <w:rsid w:val="00A00241"/>
    <w:rsid w:val="00A002E1"/>
    <w:rsid w:val="00A00557"/>
    <w:rsid w:val="00A00A2A"/>
    <w:rsid w:val="00A01036"/>
    <w:rsid w:val="00A01E1D"/>
    <w:rsid w:val="00A030D7"/>
    <w:rsid w:val="00A03175"/>
    <w:rsid w:val="00A033D5"/>
    <w:rsid w:val="00A03635"/>
    <w:rsid w:val="00A041F1"/>
    <w:rsid w:val="00A04661"/>
    <w:rsid w:val="00A048E7"/>
    <w:rsid w:val="00A04B6C"/>
    <w:rsid w:val="00A04DF6"/>
    <w:rsid w:val="00A04ED2"/>
    <w:rsid w:val="00A0500F"/>
    <w:rsid w:val="00A05D2F"/>
    <w:rsid w:val="00A05D5E"/>
    <w:rsid w:val="00A06A72"/>
    <w:rsid w:val="00A06C10"/>
    <w:rsid w:val="00A071CE"/>
    <w:rsid w:val="00A073E9"/>
    <w:rsid w:val="00A07DA9"/>
    <w:rsid w:val="00A10555"/>
    <w:rsid w:val="00A10A9F"/>
    <w:rsid w:val="00A10B3C"/>
    <w:rsid w:val="00A11BD8"/>
    <w:rsid w:val="00A11D0F"/>
    <w:rsid w:val="00A11D2A"/>
    <w:rsid w:val="00A12039"/>
    <w:rsid w:val="00A1261C"/>
    <w:rsid w:val="00A12917"/>
    <w:rsid w:val="00A12C47"/>
    <w:rsid w:val="00A12D42"/>
    <w:rsid w:val="00A142B0"/>
    <w:rsid w:val="00A142FC"/>
    <w:rsid w:val="00A14841"/>
    <w:rsid w:val="00A14BE0"/>
    <w:rsid w:val="00A14CF5"/>
    <w:rsid w:val="00A14FF6"/>
    <w:rsid w:val="00A15BBA"/>
    <w:rsid w:val="00A15FDC"/>
    <w:rsid w:val="00A160EF"/>
    <w:rsid w:val="00A1670D"/>
    <w:rsid w:val="00A16786"/>
    <w:rsid w:val="00A168C1"/>
    <w:rsid w:val="00A177DB"/>
    <w:rsid w:val="00A178F9"/>
    <w:rsid w:val="00A201B9"/>
    <w:rsid w:val="00A20240"/>
    <w:rsid w:val="00A20ADA"/>
    <w:rsid w:val="00A21095"/>
    <w:rsid w:val="00A21B06"/>
    <w:rsid w:val="00A22386"/>
    <w:rsid w:val="00A22844"/>
    <w:rsid w:val="00A22981"/>
    <w:rsid w:val="00A22C13"/>
    <w:rsid w:val="00A23048"/>
    <w:rsid w:val="00A233CD"/>
    <w:rsid w:val="00A234C4"/>
    <w:rsid w:val="00A2368B"/>
    <w:rsid w:val="00A23921"/>
    <w:rsid w:val="00A240BD"/>
    <w:rsid w:val="00A24A16"/>
    <w:rsid w:val="00A2522C"/>
    <w:rsid w:val="00A253E4"/>
    <w:rsid w:val="00A257DE"/>
    <w:rsid w:val="00A25897"/>
    <w:rsid w:val="00A261E8"/>
    <w:rsid w:val="00A262E5"/>
    <w:rsid w:val="00A26E66"/>
    <w:rsid w:val="00A26F02"/>
    <w:rsid w:val="00A272EB"/>
    <w:rsid w:val="00A27B89"/>
    <w:rsid w:val="00A27BD1"/>
    <w:rsid w:val="00A27F57"/>
    <w:rsid w:val="00A27F65"/>
    <w:rsid w:val="00A304FF"/>
    <w:rsid w:val="00A3099C"/>
    <w:rsid w:val="00A30D30"/>
    <w:rsid w:val="00A30FF0"/>
    <w:rsid w:val="00A310C6"/>
    <w:rsid w:val="00A31DFC"/>
    <w:rsid w:val="00A32047"/>
    <w:rsid w:val="00A3204A"/>
    <w:rsid w:val="00A32194"/>
    <w:rsid w:val="00A321DE"/>
    <w:rsid w:val="00A324D3"/>
    <w:rsid w:val="00A324DB"/>
    <w:rsid w:val="00A32D4F"/>
    <w:rsid w:val="00A32FBD"/>
    <w:rsid w:val="00A335AE"/>
    <w:rsid w:val="00A33E6F"/>
    <w:rsid w:val="00A34AB3"/>
    <w:rsid w:val="00A34D71"/>
    <w:rsid w:val="00A34D9E"/>
    <w:rsid w:val="00A3556C"/>
    <w:rsid w:val="00A35610"/>
    <w:rsid w:val="00A358F6"/>
    <w:rsid w:val="00A35924"/>
    <w:rsid w:val="00A35CE0"/>
    <w:rsid w:val="00A35DA5"/>
    <w:rsid w:val="00A3668A"/>
    <w:rsid w:val="00A368FE"/>
    <w:rsid w:val="00A36B15"/>
    <w:rsid w:val="00A36E73"/>
    <w:rsid w:val="00A376CC"/>
    <w:rsid w:val="00A377D4"/>
    <w:rsid w:val="00A3798C"/>
    <w:rsid w:val="00A37C8B"/>
    <w:rsid w:val="00A37D4A"/>
    <w:rsid w:val="00A37E71"/>
    <w:rsid w:val="00A4028F"/>
    <w:rsid w:val="00A406D9"/>
    <w:rsid w:val="00A4086B"/>
    <w:rsid w:val="00A40DA4"/>
    <w:rsid w:val="00A41798"/>
    <w:rsid w:val="00A41DBA"/>
    <w:rsid w:val="00A42160"/>
    <w:rsid w:val="00A42BB6"/>
    <w:rsid w:val="00A42C91"/>
    <w:rsid w:val="00A42CB5"/>
    <w:rsid w:val="00A44138"/>
    <w:rsid w:val="00A44523"/>
    <w:rsid w:val="00A445B8"/>
    <w:rsid w:val="00A4487D"/>
    <w:rsid w:val="00A4490A"/>
    <w:rsid w:val="00A44FAA"/>
    <w:rsid w:val="00A4524A"/>
    <w:rsid w:val="00A45524"/>
    <w:rsid w:val="00A459FF"/>
    <w:rsid w:val="00A4698B"/>
    <w:rsid w:val="00A469AF"/>
    <w:rsid w:val="00A469D3"/>
    <w:rsid w:val="00A46A82"/>
    <w:rsid w:val="00A47080"/>
    <w:rsid w:val="00A471B4"/>
    <w:rsid w:val="00A477D2"/>
    <w:rsid w:val="00A4788D"/>
    <w:rsid w:val="00A47D10"/>
    <w:rsid w:val="00A47E9D"/>
    <w:rsid w:val="00A5063A"/>
    <w:rsid w:val="00A50D22"/>
    <w:rsid w:val="00A50FED"/>
    <w:rsid w:val="00A51A8E"/>
    <w:rsid w:val="00A5218C"/>
    <w:rsid w:val="00A525EB"/>
    <w:rsid w:val="00A52736"/>
    <w:rsid w:val="00A5285D"/>
    <w:rsid w:val="00A53541"/>
    <w:rsid w:val="00A5396B"/>
    <w:rsid w:val="00A53A9E"/>
    <w:rsid w:val="00A542F8"/>
    <w:rsid w:val="00A546FA"/>
    <w:rsid w:val="00A549E8"/>
    <w:rsid w:val="00A54C5D"/>
    <w:rsid w:val="00A54D53"/>
    <w:rsid w:val="00A5503A"/>
    <w:rsid w:val="00A55087"/>
    <w:rsid w:val="00A552A1"/>
    <w:rsid w:val="00A552DE"/>
    <w:rsid w:val="00A553CB"/>
    <w:rsid w:val="00A55726"/>
    <w:rsid w:val="00A55B13"/>
    <w:rsid w:val="00A56611"/>
    <w:rsid w:val="00A566C1"/>
    <w:rsid w:val="00A56705"/>
    <w:rsid w:val="00A56C09"/>
    <w:rsid w:val="00A57196"/>
    <w:rsid w:val="00A573AA"/>
    <w:rsid w:val="00A57717"/>
    <w:rsid w:val="00A605FA"/>
    <w:rsid w:val="00A615B1"/>
    <w:rsid w:val="00A618E0"/>
    <w:rsid w:val="00A61A14"/>
    <w:rsid w:val="00A61C7A"/>
    <w:rsid w:val="00A624E8"/>
    <w:rsid w:val="00A626F4"/>
    <w:rsid w:val="00A628A2"/>
    <w:rsid w:val="00A62C89"/>
    <w:rsid w:val="00A642A4"/>
    <w:rsid w:val="00A6457E"/>
    <w:rsid w:val="00A64A87"/>
    <w:rsid w:val="00A64F12"/>
    <w:rsid w:val="00A653C6"/>
    <w:rsid w:val="00A65655"/>
    <w:rsid w:val="00A657AB"/>
    <w:rsid w:val="00A65B52"/>
    <w:rsid w:val="00A65C12"/>
    <w:rsid w:val="00A6648D"/>
    <w:rsid w:val="00A6652D"/>
    <w:rsid w:val="00A6657B"/>
    <w:rsid w:val="00A669EB"/>
    <w:rsid w:val="00A67546"/>
    <w:rsid w:val="00A676D5"/>
    <w:rsid w:val="00A67B69"/>
    <w:rsid w:val="00A67EB7"/>
    <w:rsid w:val="00A70D49"/>
    <w:rsid w:val="00A711BF"/>
    <w:rsid w:val="00A71303"/>
    <w:rsid w:val="00A715ED"/>
    <w:rsid w:val="00A71877"/>
    <w:rsid w:val="00A72125"/>
    <w:rsid w:val="00A72539"/>
    <w:rsid w:val="00A725CC"/>
    <w:rsid w:val="00A7262F"/>
    <w:rsid w:val="00A728E8"/>
    <w:rsid w:val="00A73453"/>
    <w:rsid w:val="00A73CC8"/>
    <w:rsid w:val="00A74716"/>
    <w:rsid w:val="00A74E76"/>
    <w:rsid w:val="00A754A1"/>
    <w:rsid w:val="00A75512"/>
    <w:rsid w:val="00A759FC"/>
    <w:rsid w:val="00A75AF0"/>
    <w:rsid w:val="00A76222"/>
    <w:rsid w:val="00A7691E"/>
    <w:rsid w:val="00A7696B"/>
    <w:rsid w:val="00A76B3D"/>
    <w:rsid w:val="00A76CF4"/>
    <w:rsid w:val="00A7731C"/>
    <w:rsid w:val="00A77654"/>
    <w:rsid w:val="00A77735"/>
    <w:rsid w:val="00A77B08"/>
    <w:rsid w:val="00A77B44"/>
    <w:rsid w:val="00A77C75"/>
    <w:rsid w:val="00A80DA7"/>
    <w:rsid w:val="00A80EAA"/>
    <w:rsid w:val="00A81081"/>
    <w:rsid w:val="00A81346"/>
    <w:rsid w:val="00A817AF"/>
    <w:rsid w:val="00A81DB6"/>
    <w:rsid w:val="00A81F81"/>
    <w:rsid w:val="00A8255A"/>
    <w:rsid w:val="00A82798"/>
    <w:rsid w:val="00A82941"/>
    <w:rsid w:val="00A82A95"/>
    <w:rsid w:val="00A82B33"/>
    <w:rsid w:val="00A82E0F"/>
    <w:rsid w:val="00A83314"/>
    <w:rsid w:val="00A8347B"/>
    <w:rsid w:val="00A84044"/>
    <w:rsid w:val="00A84F2E"/>
    <w:rsid w:val="00A8509F"/>
    <w:rsid w:val="00A8540B"/>
    <w:rsid w:val="00A85BCF"/>
    <w:rsid w:val="00A85D23"/>
    <w:rsid w:val="00A86143"/>
    <w:rsid w:val="00A86209"/>
    <w:rsid w:val="00A86295"/>
    <w:rsid w:val="00A86D48"/>
    <w:rsid w:val="00A86D4A"/>
    <w:rsid w:val="00A878C4"/>
    <w:rsid w:val="00A90456"/>
    <w:rsid w:val="00A90472"/>
    <w:rsid w:val="00A9053A"/>
    <w:rsid w:val="00A90C29"/>
    <w:rsid w:val="00A91089"/>
    <w:rsid w:val="00A913D8"/>
    <w:rsid w:val="00A914A8"/>
    <w:rsid w:val="00A9167B"/>
    <w:rsid w:val="00A916B2"/>
    <w:rsid w:val="00A91913"/>
    <w:rsid w:val="00A91C31"/>
    <w:rsid w:val="00A91C56"/>
    <w:rsid w:val="00A922DA"/>
    <w:rsid w:val="00A927BE"/>
    <w:rsid w:val="00A92A94"/>
    <w:rsid w:val="00A93CA8"/>
    <w:rsid w:val="00A94A50"/>
    <w:rsid w:val="00A95603"/>
    <w:rsid w:val="00A95C42"/>
    <w:rsid w:val="00A962E7"/>
    <w:rsid w:val="00A966D6"/>
    <w:rsid w:val="00A967C1"/>
    <w:rsid w:val="00A96853"/>
    <w:rsid w:val="00A968B3"/>
    <w:rsid w:val="00A96B10"/>
    <w:rsid w:val="00A96EA8"/>
    <w:rsid w:val="00A97309"/>
    <w:rsid w:val="00A97758"/>
    <w:rsid w:val="00AA055B"/>
    <w:rsid w:val="00AA1459"/>
    <w:rsid w:val="00AA2102"/>
    <w:rsid w:val="00AA240E"/>
    <w:rsid w:val="00AA28A9"/>
    <w:rsid w:val="00AA3088"/>
    <w:rsid w:val="00AA33E4"/>
    <w:rsid w:val="00AA4809"/>
    <w:rsid w:val="00AA4C0B"/>
    <w:rsid w:val="00AA4C38"/>
    <w:rsid w:val="00AA4CFB"/>
    <w:rsid w:val="00AA4FC3"/>
    <w:rsid w:val="00AA5DE9"/>
    <w:rsid w:val="00AA6256"/>
    <w:rsid w:val="00AA660C"/>
    <w:rsid w:val="00AA6615"/>
    <w:rsid w:val="00AA6C94"/>
    <w:rsid w:val="00AA712C"/>
    <w:rsid w:val="00AA72AA"/>
    <w:rsid w:val="00AA78FD"/>
    <w:rsid w:val="00AA7D73"/>
    <w:rsid w:val="00AA7F82"/>
    <w:rsid w:val="00AB0234"/>
    <w:rsid w:val="00AB0696"/>
    <w:rsid w:val="00AB08A8"/>
    <w:rsid w:val="00AB0A9F"/>
    <w:rsid w:val="00AB112C"/>
    <w:rsid w:val="00AB1764"/>
    <w:rsid w:val="00AB1B90"/>
    <w:rsid w:val="00AB1FA0"/>
    <w:rsid w:val="00AB22DA"/>
    <w:rsid w:val="00AB2760"/>
    <w:rsid w:val="00AB28C2"/>
    <w:rsid w:val="00AB2D24"/>
    <w:rsid w:val="00AB2FAF"/>
    <w:rsid w:val="00AB3141"/>
    <w:rsid w:val="00AB38CC"/>
    <w:rsid w:val="00AB3BA4"/>
    <w:rsid w:val="00AB3EDD"/>
    <w:rsid w:val="00AB40B1"/>
    <w:rsid w:val="00AB4322"/>
    <w:rsid w:val="00AB4643"/>
    <w:rsid w:val="00AB4890"/>
    <w:rsid w:val="00AB48EE"/>
    <w:rsid w:val="00AB4D68"/>
    <w:rsid w:val="00AB521B"/>
    <w:rsid w:val="00AB5558"/>
    <w:rsid w:val="00AB55A5"/>
    <w:rsid w:val="00AB58FA"/>
    <w:rsid w:val="00AB5CB2"/>
    <w:rsid w:val="00AB5F8A"/>
    <w:rsid w:val="00AB7AF5"/>
    <w:rsid w:val="00AB7D9E"/>
    <w:rsid w:val="00AB7F0E"/>
    <w:rsid w:val="00AC03C2"/>
    <w:rsid w:val="00AC0411"/>
    <w:rsid w:val="00AC0623"/>
    <w:rsid w:val="00AC0B92"/>
    <w:rsid w:val="00AC0C92"/>
    <w:rsid w:val="00AC10AE"/>
    <w:rsid w:val="00AC1177"/>
    <w:rsid w:val="00AC1284"/>
    <w:rsid w:val="00AC1CEC"/>
    <w:rsid w:val="00AC1D80"/>
    <w:rsid w:val="00AC2345"/>
    <w:rsid w:val="00AC255B"/>
    <w:rsid w:val="00AC2565"/>
    <w:rsid w:val="00AC2714"/>
    <w:rsid w:val="00AC34C7"/>
    <w:rsid w:val="00AC3EAD"/>
    <w:rsid w:val="00AC4132"/>
    <w:rsid w:val="00AC4A49"/>
    <w:rsid w:val="00AC51B1"/>
    <w:rsid w:val="00AC59FD"/>
    <w:rsid w:val="00AC62B3"/>
    <w:rsid w:val="00AC680F"/>
    <w:rsid w:val="00AC6D16"/>
    <w:rsid w:val="00AC6FB6"/>
    <w:rsid w:val="00AC721C"/>
    <w:rsid w:val="00AC7EF3"/>
    <w:rsid w:val="00AD0067"/>
    <w:rsid w:val="00AD0184"/>
    <w:rsid w:val="00AD0549"/>
    <w:rsid w:val="00AD08EB"/>
    <w:rsid w:val="00AD0AA4"/>
    <w:rsid w:val="00AD0DE6"/>
    <w:rsid w:val="00AD115A"/>
    <w:rsid w:val="00AD1794"/>
    <w:rsid w:val="00AD194F"/>
    <w:rsid w:val="00AD25C3"/>
    <w:rsid w:val="00AD283E"/>
    <w:rsid w:val="00AD2CFA"/>
    <w:rsid w:val="00AD3294"/>
    <w:rsid w:val="00AD3604"/>
    <w:rsid w:val="00AD37E4"/>
    <w:rsid w:val="00AD387F"/>
    <w:rsid w:val="00AD3C0E"/>
    <w:rsid w:val="00AD3DDE"/>
    <w:rsid w:val="00AD3E18"/>
    <w:rsid w:val="00AD4817"/>
    <w:rsid w:val="00AD4961"/>
    <w:rsid w:val="00AD50A8"/>
    <w:rsid w:val="00AD5428"/>
    <w:rsid w:val="00AD56AB"/>
    <w:rsid w:val="00AD58C9"/>
    <w:rsid w:val="00AD65B8"/>
    <w:rsid w:val="00AD697B"/>
    <w:rsid w:val="00AD6D34"/>
    <w:rsid w:val="00AD7110"/>
    <w:rsid w:val="00AD72A6"/>
    <w:rsid w:val="00AD759F"/>
    <w:rsid w:val="00AD7600"/>
    <w:rsid w:val="00AE0595"/>
    <w:rsid w:val="00AE05E8"/>
    <w:rsid w:val="00AE0A20"/>
    <w:rsid w:val="00AE0DA7"/>
    <w:rsid w:val="00AE0E9B"/>
    <w:rsid w:val="00AE19C3"/>
    <w:rsid w:val="00AE1E48"/>
    <w:rsid w:val="00AE2519"/>
    <w:rsid w:val="00AE2B6B"/>
    <w:rsid w:val="00AE2FC8"/>
    <w:rsid w:val="00AE3264"/>
    <w:rsid w:val="00AE36A7"/>
    <w:rsid w:val="00AE3A5C"/>
    <w:rsid w:val="00AE3F13"/>
    <w:rsid w:val="00AE3FFD"/>
    <w:rsid w:val="00AE4939"/>
    <w:rsid w:val="00AE50D6"/>
    <w:rsid w:val="00AE51BD"/>
    <w:rsid w:val="00AE5426"/>
    <w:rsid w:val="00AE5514"/>
    <w:rsid w:val="00AE5521"/>
    <w:rsid w:val="00AE5C82"/>
    <w:rsid w:val="00AE5F93"/>
    <w:rsid w:val="00AE6222"/>
    <w:rsid w:val="00AE6973"/>
    <w:rsid w:val="00AE6BBA"/>
    <w:rsid w:val="00AE6E59"/>
    <w:rsid w:val="00AE7054"/>
    <w:rsid w:val="00AE71AF"/>
    <w:rsid w:val="00AE7BD0"/>
    <w:rsid w:val="00AF03AE"/>
    <w:rsid w:val="00AF052A"/>
    <w:rsid w:val="00AF0670"/>
    <w:rsid w:val="00AF092A"/>
    <w:rsid w:val="00AF0A50"/>
    <w:rsid w:val="00AF15E0"/>
    <w:rsid w:val="00AF17C8"/>
    <w:rsid w:val="00AF1BED"/>
    <w:rsid w:val="00AF2075"/>
    <w:rsid w:val="00AF22F7"/>
    <w:rsid w:val="00AF2865"/>
    <w:rsid w:val="00AF28B9"/>
    <w:rsid w:val="00AF3067"/>
    <w:rsid w:val="00AF3836"/>
    <w:rsid w:val="00AF3C94"/>
    <w:rsid w:val="00AF41CB"/>
    <w:rsid w:val="00AF4494"/>
    <w:rsid w:val="00AF483D"/>
    <w:rsid w:val="00AF4B98"/>
    <w:rsid w:val="00AF4CEE"/>
    <w:rsid w:val="00AF4ED0"/>
    <w:rsid w:val="00AF4F54"/>
    <w:rsid w:val="00AF521B"/>
    <w:rsid w:val="00AF521C"/>
    <w:rsid w:val="00AF5442"/>
    <w:rsid w:val="00AF5987"/>
    <w:rsid w:val="00AF5EBE"/>
    <w:rsid w:val="00AF5F0E"/>
    <w:rsid w:val="00AF77C4"/>
    <w:rsid w:val="00AF7D20"/>
    <w:rsid w:val="00B001C5"/>
    <w:rsid w:val="00B0028D"/>
    <w:rsid w:val="00B00AE6"/>
    <w:rsid w:val="00B00C20"/>
    <w:rsid w:val="00B01F70"/>
    <w:rsid w:val="00B020A0"/>
    <w:rsid w:val="00B028B6"/>
    <w:rsid w:val="00B02AC6"/>
    <w:rsid w:val="00B02E9F"/>
    <w:rsid w:val="00B0333D"/>
    <w:rsid w:val="00B03690"/>
    <w:rsid w:val="00B0381B"/>
    <w:rsid w:val="00B039AB"/>
    <w:rsid w:val="00B03A26"/>
    <w:rsid w:val="00B0405C"/>
    <w:rsid w:val="00B0473F"/>
    <w:rsid w:val="00B04E6B"/>
    <w:rsid w:val="00B050E2"/>
    <w:rsid w:val="00B05539"/>
    <w:rsid w:val="00B056D6"/>
    <w:rsid w:val="00B067B5"/>
    <w:rsid w:val="00B06A27"/>
    <w:rsid w:val="00B06BC6"/>
    <w:rsid w:val="00B074EB"/>
    <w:rsid w:val="00B0771B"/>
    <w:rsid w:val="00B07750"/>
    <w:rsid w:val="00B100BB"/>
    <w:rsid w:val="00B10262"/>
    <w:rsid w:val="00B103C5"/>
    <w:rsid w:val="00B1071A"/>
    <w:rsid w:val="00B10B2B"/>
    <w:rsid w:val="00B11359"/>
    <w:rsid w:val="00B11483"/>
    <w:rsid w:val="00B11508"/>
    <w:rsid w:val="00B1182F"/>
    <w:rsid w:val="00B118BE"/>
    <w:rsid w:val="00B11C3C"/>
    <w:rsid w:val="00B1243E"/>
    <w:rsid w:val="00B12A07"/>
    <w:rsid w:val="00B12B6B"/>
    <w:rsid w:val="00B12BD4"/>
    <w:rsid w:val="00B12D71"/>
    <w:rsid w:val="00B12D78"/>
    <w:rsid w:val="00B12F2B"/>
    <w:rsid w:val="00B131FD"/>
    <w:rsid w:val="00B1471F"/>
    <w:rsid w:val="00B154A0"/>
    <w:rsid w:val="00B15860"/>
    <w:rsid w:val="00B15DC8"/>
    <w:rsid w:val="00B15DEF"/>
    <w:rsid w:val="00B161AD"/>
    <w:rsid w:val="00B1685F"/>
    <w:rsid w:val="00B16B9F"/>
    <w:rsid w:val="00B1742F"/>
    <w:rsid w:val="00B17E19"/>
    <w:rsid w:val="00B17E78"/>
    <w:rsid w:val="00B17F15"/>
    <w:rsid w:val="00B2022D"/>
    <w:rsid w:val="00B202D1"/>
    <w:rsid w:val="00B203E7"/>
    <w:rsid w:val="00B20A9A"/>
    <w:rsid w:val="00B20EE9"/>
    <w:rsid w:val="00B21191"/>
    <w:rsid w:val="00B214E3"/>
    <w:rsid w:val="00B218BB"/>
    <w:rsid w:val="00B21B12"/>
    <w:rsid w:val="00B22613"/>
    <w:rsid w:val="00B22782"/>
    <w:rsid w:val="00B22864"/>
    <w:rsid w:val="00B232E1"/>
    <w:rsid w:val="00B234FB"/>
    <w:rsid w:val="00B23F14"/>
    <w:rsid w:val="00B23FEC"/>
    <w:rsid w:val="00B24073"/>
    <w:rsid w:val="00B241B3"/>
    <w:rsid w:val="00B2463D"/>
    <w:rsid w:val="00B24711"/>
    <w:rsid w:val="00B249A1"/>
    <w:rsid w:val="00B25202"/>
    <w:rsid w:val="00B25996"/>
    <w:rsid w:val="00B25ADF"/>
    <w:rsid w:val="00B25B2A"/>
    <w:rsid w:val="00B25DFA"/>
    <w:rsid w:val="00B25E04"/>
    <w:rsid w:val="00B26D4B"/>
    <w:rsid w:val="00B270F3"/>
    <w:rsid w:val="00B27593"/>
    <w:rsid w:val="00B27F84"/>
    <w:rsid w:val="00B30AAA"/>
    <w:rsid w:val="00B30CF7"/>
    <w:rsid w:val="00B30DEC"/>
    <w:rsid w:val="00B312E1"/>
    <w:rsid w:val="00B3185E"/>
    <w:rsid w:val="00B319BC"/>
    <w:rsid w:val="00B31E6B"/>
    <w:rsid w:val="00B32699"/>
    <w:rsid w:val="00B32919"/>
    <w:rsid w:val="00B32C3C"/>
    <w:rsid w:val="00B33A53"/>
    <w:rsid w:val="00B33C82"/>
    <w:rsid w:val="00B33C97"/>
    <w:rsid w:val="00B33EEA"/>
    <w:rsid w:val="00B34403"/>
    <w:rsid w:val="00B346F8"/>
    <w:rsid w:val="00B34A2F"/>
    <w:rsid w:val="00B34BA5"/>
    <w:rsid w:val="00B34DF9"/>
    <w:rsid w:val="00B3584D"/>
    <w:rsid w:val="00B3595A"/>
    <w:rsid w:val="00B364D6"/>
    <w:rsid w:val="00B36A8D"/>
    <w:rsid w:val="00B36F6E"/>
    <w:rsid w:val="00B37313"/>
    <w:rsid w:val="00B37454"/>
    <w:rsid w:val="00B37676"/>
    <w:rsid w:val="00B376B8"/>
    <w:rsid w:val="00B3779E"/>
    <w:rsid w:val="00B37E1C"/>
    <w:rsid w:val="00B40003"/>
    <w:rsid w:val="00B401B6"/>
    <w:rsid w:val="00B40C4B"/>
    <w:rsid w:val="00B41146"/>
    <w:rsid w:val="00B413E6"/>
    <w:rsid w:val="00B41555"/>
    <w:rsid w:val="00B426AE"/>
    <w:rsid w:val="00B429F5"/>
    <w:rsid w:val="00B42D00"/>
    <w:rsid w:val="00B430CB"/>
    <w:rsid w:val="00B434CD"/>
    <w:rsid w:val="00B43A9A"/>
    <w:rsid w:val="00B4500D"/>
    <w:rsid w:val="00B450E0"/>
    <w:rsid w:val="00B45335"/>
    <w:rsid w:val="00B45607"/>
    <w:rsid w:val="00B45B3D"/>
    <w:rsid w:val="00B45FA8"/>
    <w:rsid w:val="00B46103"/>
    <w:rsid w:val="00B4673B"/>
    <w:rsid w:val="00B46A65"/>
    <w:rsid w:val="00B46B54"/>
    <w:rsid w:val="00B46BB6"/>
    <w:rsid w:val="00B47003"/>
    <w:rsid w:val="00B4732C"/>
    <w:rsid w:val="00B47883"/>
    <w:rsid w:val="00B5025E"/>
    <w:rsid w:val="00B5040F"/>
    <w:rsid w:val="00B5065B"/>
    <w:rsid w:val="00B50682"/>
    <w:rsid w:val="00B508C0"/>
    <w:rsid w:val="00B50DAA"/>
    <w:rsid w:val="00B515BC"/>
    <w:rsid w:val="00B517FA"/>
    <w:rsid w:val="00B51877"/>
    <w:rsid w:val="00B51878"/>
    <w:rsid w:val="00B51BFE"/>
    <w:rsid w:val="00B51D2C"/>
    <w:rsid w:val="00B52048"/>
    <w:rsid w:val="00B52435"/>
    <w:rsid w:val="00B52906"/>
    <w:rsid w:val="00B52FB7"/>
    <w:rsid w:val="00B534C5"/>
    <w:rsid w:val="00B5355E"/>
    <w:rsid w:val="00B539DA"/>
    <w:rsid w:val="00B5409B"/>
    <w:rsid w:val="00B54377"/>
    <w:rsid w:val="00B544B4"/>
    <w:rsid w:val="00B54505"/>
    <w:rsid w:val="00B55008"/>
    <w:rsid w:val="00B55349"/>
    <w:rsid w:val="00B559F7"/>
    <w:rsid w:val="00B55E11"/>
    <w:rsid w:val="00B566A9"/>
    <w:rsid w:val="00B568F4"/>
    <w:rsid w:val="00B56F68"/>
    <w:rsid w:val="00B574D2"/>
    <w:rsid w:val="00B57B82"/>
    <w:rsid w:val="00B60073"/>
    <w:rsid w:val="00B60298"/>
    <w:rsid w:val="00B60416"/>
    <w:rsid w:val="00B6045F"/>
    <w:rsid w:val="00B60548"/>
    <w:rsid w:val="00B60697"/>
    <w:rsid w:val="00B60A4C"/>
    <w:rsid w:val="00B60A70"/>
    <w:rsid w:val="00B60FC0"/>
    <w:rsid w:val="00B61958"/>
    <w:rsid w:val="00B61970"/>
    <w:rsid w:val="00B61CD6"/>
    <w:rsid w:val="00B61DC8"/>
    <w:rsid w:val="00B624BE"/>
    <w:rsid w:val="00B62748"/>
    <w:rsid w:val="00B62781"/>
    <w:rsid w:val="00B62792"/>
    <w:rsid w:val="00B62F92"/>
    <w:rsid w:val="00B638DC"/>
    <w:rsid w:val="00B63911"/>
    <w:rsid w:val="00B63EC6"/>
    <w:rsid w:val="00B645C6"/>
    <w:rsid w:val="00B6463E"/>
    <w:rsid w:val="00B64698"/>
    <w:rsid w:val="00B64A9E"/>
    <w:rsid w:val="00B64BD2"/>
    <w:rsid w:val="00B6507E"/>
    <w:rsid w:val="00B650DD"/>
    <w:rsid w:val="00B651DC"/>
    <w:rsid w:val="00B652B8"/>
    <w:rsid w:val="00B655D7"/>
    <w:rsid w:val="00B6579D"/>
    <w:rsid w:val="00B65900"/>
    <w:rsid w:val="00B65978"/>
    <w:rsid w:val="00B66249"/>
    <w:rsid w:val="00B66672"/>
    <w:rsid w:val="00B66EDF"/>
    <w:rsid w:val="00B67400"/>
    <w:rsid w:val="00B6756D"/>
    <w:rsid w:val="00B67AD8"/>
    <w:rsid w:val="00B67E03"/>
    <w:rsid w:val="00B67E50"/>
    <w:rsid w:val="00B67F69"/>
    <w:rsid w:val="00B7030B"/>
    <w:rsid w:val="00B70F56"/>
    <w:rsid w:val="00B70FEB"/>
    <w:rsid w:val="00B71039"/>
    <w:rsid w:val="00B7162A"/>
    <w:rsid w:val="00B719D5"/>
    <w:rsid w:val="00B71FB4"/>
    <w:rsid w:val="00B72611"/>
    <w:rsid w:val="00B72667"/>
    <w:rsid w:val="00B72AE6"/>
    <w:rsid w:val="00B73066"/>
    <w:rsid w:val="00B731BF"/>
    <w:rsid w:val="00B735F2"/>
    <w:rsid w:val="00B73826"/>
    <w:rsid w:val="00B73A28"/>
    <w:rsid w:val="00B73CD8"/>
    <w:rsid w:val="00B73CDD"/>
    <w:rsid w:val="00B73E76"/>
    <w:rsid w:val="00B73FB8"/>
    <w:rsid w:val="00B74221"/>
    <w:rsid w:val="00B750EB"/>
    <w:rsid w:val="00B752BE"/>
    <w:rsid w:val="00B75B39"/>
    <w:rsid w:val="00B75CA4"/>
    <w:rsid w:val="00B75E89"/>
    <w:rsid w:val="00B76128"/>
    <w:rsid w:val="00B76155"/>
    <w:rsid w:val="00B76220"/>
    <w:rsid w:val="00B762AB"/>
    <w:rsid w:val="00B763B0"/>
    <w:rsid w:val="00B76771"/>
    <w:rsid w:val="00B769B2"/>
    <w:rsid w:val="00B76D55"/>
    <w:rsid w:val="00B77038"/>
    <w:rsid w:val="00B7729A"/>
    <w:rsid w:val="00B77800"/>
    <w:rsid w:val="00B77BD9"/>
    <w:rsid w:val="00B800A9"/>
    <w:rsid w:val="00B800AA"/>
    <w:rsid w:val="00B803A6"/>
    <w:rsid w:val="00B809A8"/>
    <w:rsid w:val="00B80AD1"/>
    <w:rsid w:val="00B80BE0"/>
    <w:rsid w:val="00B80D31"/>
    <w:rsid w:val="00B80E08"/>
    <w:rsid w:val="00B81E78"/>
    <w:rsid w:val="00B81EBA"/>
    <w:rsid w:val="00B82327"/>
    <w:rsid w:val="00B8281D"/>
    <w:rsid w:val="00B82996"/>
    <w:rsid w:val="00B833A5"/>
    <w:rsid w:val="00B841AD"/>
    <w:rsid w:val="00B8466F"/>
    <w:rsid w:val="00B846E9"/>
    <w:rsid w:val="00B85096"/>
    <w:rsid w:val="00B85200"/>
    <w:rsid w:val="00B85EB1"/>
    <w:rsid w:val="00B85F42"/>
    <w:rsid w:val="00B8648F"/>
    <w:rsid w:val="00B866E7"/>
    <w:rsid w:val="00B8691C"/>
    <w:rsid w:val="00B87127"/>
    <w:rsid w:val="00B8785F"/>
    <w:rsid w:val="00B87A0F"/>
    <w:rsid w:val="00B87A35"/>
    <w:rsid w:val="00B87CA1"/>
    <w:rsid w:val="00B87CBE"/>
    <w:rsid w:val="00B905EE"/>
    <w:rsid w:val="00B90E45"/>
    <w:rsid w:val="00B9158E"/>
    <w:rsid w:val="00B915B2"/>
    <w:rsid w:val="00B916C3"/>
    <w:rsid w:val="00B9170F"/>
    <w:rsid w:val="00B91722"/>
    <w:rsid w:val="00B91B3C"/>
    <w:rsid w:val="00B92729"/>
    <w:rsid w:val="00B928A7"/>
    <w:rsid w:val="00B92905"/>
    <w:rsid w:val="00B92980"/>
    <w:rsid w:val="00B9299D"/>
    <w:rsid w:val="00B92D02"/>
    <w:rsid w:val="00B935E8"/>
    <w:rsid w:val="00B9393F"/>
    <w:rsid w:val="00B939AE"/>
    <w:rsid w:val="00B93BF2"/>
    <w:rsid w:val="00B9427A"/>
    <w:rsid w:val="00B944B9"/>
    <w:rsid w:val="00B94AB6"/>
    <w:rsid w:val="00B9536A"/>
    <w:rsid w:val="00B9548E"/>
    <w:rsid w:val="00B9549F"/>
    <w:rsid w:val="00B95BC2"/>
    <w:rsid w:val="00B95BE6"/>
    <w:rsid w:val="00B96070"/>
    <w:rsid w:val="00B9668E"/>
    <w:rsid w:val="00B96708"/>
    <w:rsid w:val="00B96E6F"/>
    <w:rsid w:val="00B9794F"/>
    <w:rsid w:val="00B97D06"/>
    <w:rsid w:val="00B97E70"/>
    <w:rsid w:val="00B97EDC"/>
    <w:rsid w:val="00B97EF5"/>
    <w:rsid w:val="00BA0116"/>
    <w:rsid w:val="00BA04AD"/>
    <w:rsid w:val="00BA07EA"/>
    <w:rsid w:val="00BA0D3A"/>
    <w:rsid w:val="00BA1171"/>
    <w:rsid w:val="00BA1A36"/>
    <w:rsid w:val="00BA1AC0"/>
    <w:rsid w:val="00BA1D41"/>
    <w:rsid w:val="00BA2296"/>
    <w:rsid w:val="00BA29DD"/>
    <w:rsid w:val="00BA302A"/>
    <w:rsid w:val="00BA31D8"/>
    <w:rsid w:val="00BA3707"/>
    <w:rsid w:val="00BA4033"/>
    <w:rsid w:val="00BA40C5"/>
    <w:rsid w:val="00BA40E7"/>
    <w:rsid w:val="00BA42CD"/>
    <w:rsid w:val="00BA4A44"/>
    <w:rsid w:val="00BA4EE6"/>
    <w:rsid w:val="00BA4F8F"/>
    <w:rsid w:val="00BA5097"/>
    <w:rsid w:val="00BA5140"/>
    <w:rsid w:val="00BA5901"/>
    <w:rsid w:val="00BA5C3B"/>
    <w:rsid w:val="00BA5D1C"/>
    <w:rsid w:val="00BA5EFA"/>
    <w:rsid w:val="00BA5F9F"/>
    <w:rsid w:val="00BA6209"/>
    <w:rsid w:val="00BA62FB"/>
    <w:rsid w:val="00BA6ADA"/>
    <w:rsid w:val="00BA7B98"/>
    <w:rsid w:val="00BA7BDE"/>
    <w:rsid w:val="00BA7CCC"/>
    <w:rsid w:val="00BB058A"/>
    <w:rsid w:val="00BB06FD"/>
    <w:rsid w:val="00BB0A55"/>
    <w:rsid w:val="00BB0E2B"/>
    <w:rsid w:val="00BB14E0"/>
    <w:rsid w:val="00BB177A"/>
    <w:rsid w:val="00BB17EA"/>
    <w:rsid w:val="00BB1922"/>
    <w:rsid w:val="00BB19DE"/>
    <w:rsid w:val="00BB20C7"/>
    <w:rsid w:val="00BB2A9A"/>
    <w:rsid w:val="00BB3875"/>
    <w:rsid w:val="00BB4006"/>
    <w:rsid w:val="00BB4356"/>
    <w:rsid w:val="00BB4837"/>
    <w:rsid w:val="00BB48C2"/>
    <w:rsid w:val="00BB5E0E"/>
    <w:rsid w:val="00BB6459"/>
    <w:rsid w:val="00BB698E"/>
    <w:rsid w:val="00BB730C"/>
    <w:rsid w:val="00BB774F"/>
    <w:rsid w:val="00BB77AC"/>
    <w:rsid w:val="00BB7838"/>
    <w:rsid w:val="00BB7EFF"/>
    <w:rsid w:val="00BC0516"/>
    <w:rsid w:val="00BC0739"/>
    <w:rsid w:val="00BC086F"/>
    <w:rsid w:val="00BC09BE"/>
    <w:rsid w:val="00BC0BC2"/>
    <w:rsid w:val="00BC147A"/>
    <w:rsid w:val="00BC1E48"/>
    <w:rsid w:val="00BC1EC8"/>
    <w:rsid w:val="00BC21BF"/>
    <w:rsid w:val="00BC2299"/>
    <w:rsid w:val="00BC2658"/>
    <w:rsid w:val="00BC27EF"/>
    <w:rsid w:val="00BC282C"/>
    <w:rsid w:val="00BC29C9"/>
    <w:rsid w:val="00BC2BCE"/>
    <w:rsid w:val="00BC31C6"/>
    <w:rsid w:val="00BC3477"/>
    <w:rsid w:val="00BC347C"/>
    <w:rsid w:val="00BC4261"/>
    <w:rsid w:val="00BC49A5"/>
    <w:rsid w:val="00BC4C86"/>
    <w:rsid w:val="00BC55DA"/>
    <w:rsid w:val="00BC5B85"/>
    <w:rsid w:val="00BC5BC6"/>
    <w:rsid w:val="00BC5D8B"/>
    <w:rsid w:val="00BC638A"/>
    <w:rsid w:val="00BC640D"/>
    <w:rsid w:val="00BC708C"/>
    <w:rsid w:val="00BC7629"/>
    <w:rsid w:val="00BC7A37"/>
    <w:rsid w:val="00BD00C0"/>
    <w:rsid w:val="00BD035C"/>
    <w:rsid w:val="00BD03DE"/>
    <w:rsid w:val="00BD0943"/>
    <w:rsid w:val="00BD11AA"/>
    <w:rsid w:val="00BD17D8"/>
    <w:rsid w:val="00BD1816"/>
    <w:rsid w:val="00BD1AB3"/>
    <w:rsid w:val="00BD1FE9"/>
    <w:rsid w:val="00BD2002"/>
    <w:rsid w:val="00BD21D4"/>
    <w:rsid w:val="00BD220E"/>
    <w:rsid w:val="00BD2FD2"/>
    <w:rsid w:val="00BD3034"/>
    <w:rsid w:val="00BD35A8"/>
    <w:rsid w:val="00BD37E8"/>
    <w:rsid w:val="00BD414A"/>
    <w:rsid w:val="00BD4346"/>
    <w:rsid w:val="00BD48BA"/>
    <w:rsid w:val="00BD4943"/>
    <w:rsid w:val="00BD4CCB"/>
    <w:rsid w:val="00BD4D8B"/>
    <w:rsid w:val="00BD5789"/>
    <w:rsid w:val="00BD62FC"/>
    <w:rsid w:val="00BD64F2"/>
    <w:rsid w:val="00BD65F3"/>
    <w:rsid w:val="00BD7099"/>
    <w:rsid w:val="00BD7813"/>
    <w:rsid w:val="00BE0B92"/>
    <w:rsid w:val="00BE0F4F"/>
    <w:rsid w:val="00BE13B8"/>
    <w:rsid w:val="00BE1E0C"/>
    <w:rsid w:val="00BE1EF4"/>
    <w:rsid w:val="00BE1F13"/>
    <w:rsid w:val="00BE25F5"/>
    <w:rsid w:val="00BE2756"/>
    <w:rsid w:val="00BE2CCB"/>
    <w:rsid w:val="00BE3278"/>
    <w:rsid w:val="00BE369F"/>
    <w:rsid w:val="00BE44E4"/>
    <w:rsid w:val="00BE4526"/>
    <w:rsid w:val="00BE5157"/>
    <w:rsid w:val="00BE531C"/>
    <w:rsid w:val="00BE5AF8"/>
    <w:rsid w:val="00BE5E4D"/>
    <w:rsid w:val="00BE67EE"/>
    <w:rsid w:val="00BE6A12"/>
    <w:rsid w:val="00BE6EB4"/>
    <w:rsid w:val="00BE6F97"/>
    <w:rsid w:val="00BE72A4"/>
    <w:rsid w:val="00BE7913"/>
    <w:rsid w:val="00BE7ABA"/>
    <w:rsid w:val="00BE7AEE"/>
    <w:rsid w:val="00BE7AF3"/>
    <w:rsid w:val="00BE7E79"/>
    <w:rsid w:val="00BF00B5"/>
    <w:rsid w:val="00BF00D6"/>
    <w:rsid w:val="00BF01A5"/>
    <w:rsid w:val="00BF0471"/>
    <w:rsid w:val="00BF04ED"/>
    <w:rsid w:val="00BF0A81"/>
    <w:rsid w:val="00BF10DD"/>
    <w:rsid w:val="00BF111B"/>
    <w:rsid w:val="00BF13EF"/>
    <w:rsid w:val="00BF1964"/>
    <w:rsid w:val="00BF1AA3"/>
    <w:rsid w:val="00BF1C31"/>
    <w:rsid w:val="00BF1D5B"/>
    <w:rsid w:val="00BF22CA"/>
    <w:rsid w:val="00BF247E"/>
    <w:rsid w:val="00BF2619"/>
    <w:rsid w:val="00BF27C8"/>
    <w:rsid w:val="00BF2854"/>
    <w:rsid w:val="00BF29AE"/>
    <w:rsid w:val="00BF314D"/>
    <w:rsid w:val="00BF324F"/>
    <w:rsid w:val="00BF45C2"/>
    <w:rsid w:val="00BF46F1"/>
    <w:rsid w:val="00BF4B61"/>
    <w:rsid w:val="00BF5147"/>
    <w:rsid w:val="00BF5613"/>
    <w:rsid w:val="00BF56E1"/>
    <w:rsid w:val="00BF5737"/>
    <w:rsid w:val="00BF5874"/>
    <w:rsid w:val="00BF595E"/>
    <w:rsid w:val="00BF59E7"/>
    <w:rsid w:val="00BF5DC4"/>
    <w:rsid w:val="00BF6863"/>
    <w:rsid w:val="00BF6C67"/>
    <w:rsid w:val="00BF6F98"/>
    <w:rsid w:val="00BF74D3"/>
    <w:rsid w:val="00BF755E"/>
    <w:rsid w:val="00BF7BAA"/>
    <w:rsid w:val="00C00198"/>
    <w:rsid w:val="00C0036A"/>
    <w:rsid w:val="00C004BB"/>
    <w:rsid w:val="00C00C58"/>
    <w:rsid w:val="00C00D3E"/>
    <w:rsid w:val="00C0109E"/>
    <w:rsid w:val="00C01707"/>
    <w:rsid w:val="00C01730"/>
    <w:rsid w:val="00C01A8F"/>
    <w:rsid w:val="00C01C58"/>
    <w:rsid w:val="00C01DB5"/>
    <w:rsid w:val="00C02649"/>
    <w:rsid w:val="00C0271E"/>
    <w:rsid w:val="00C02B51"/>
    <w:rsid w:val="00C02DBB"/>
    <w:rsid w:val="00C04180"/>
    <w:rsid w:val="00C043AF"/>
    <w:rsid w:val="00C0454E"/>
    <w:rsid w:val="00C0470F"/>
    <w:rsid w:val="00C049DB"/>
    <w:rsid w:val="00C04A4D"/>
    <w:rsid w:val="00C05B3F"/>
    <w:rsid w:val="00C05C2D"/>
    <w:rsid w:val="00C06421"/>
    <w:rsid w:val="00C073DC"/>
    <w:rsid w:val="00C074D4"/>
    <w:rsid w:val="00C0791D"/>
    <w:rsid w:val="00C07E00"/>
    <w:rsid w:val="00C07F24"/>
    <w:rsid w:val="00C102F8"/>
    <w:rsid w:val="00C1073A"/>
    <w:rsid w:val="00C10C66"/>
    <w:rsid w:val="00C10E08"/>
    <w:rsid w:val="00C11035"/>
    <w:rsid w:val="00C1136B"/>
    <w:rsid w:val="00C1138D"/>
    <w:rsid w:val="00C1150B"/>
    <w:rsid w:val="00C11ED9"/>
    <w:rsid w:val="00C121D9"/>
    <w:rsid w:val="00C122B4"/>
    <w:rsid w:val="00C12618"/>
    <w:rsid w:val="00C13188"/>
    <w:rsid w:val="00C13696"/>
    <w:rsid w:val="00C13F4F"/>
    <w:rsid w:val="00C14273"/>
    <w:rsid w:val="00C14338"/>
    <w:rsid w:val="00C144B9"/>
    <w:rsid w:val="00C14589"/>
    <w:rsid w:val="00C14986"/>
    <w:rsid w:val="00C14B04"/>
    <w:rsid w:val="00C1517B"/>
    <w:rsid w:val="00C15258"/>
    <w:rsid w:val="00C154DA"/>
    <w:rsid w:val="00C158E2"/>
    <w:rsid w:val="00C15BD4"/>
    <w:rsid w:val="00C15E4C"/>
    <w:rsid w:val="00C15FF9"/>
    <w:rsid w:val="00C1607D"/>
    <w:rsid w:val="00C16455"/>
    <w:rsid w:val="00C1669C"/>
    <w:rsid w:val="00C16B56"/>
    <w:rsid w:val="00C16BF1"/>
    <w:rsid w:val="00C16FB1"/>
    <w:rsid w:val="00C1732B"/>
    <w:rsid w:val="00C1752F"/>
    <w:rsid w:val="00C176C9"/>
    <w:rsid w:val="00C1D5E5"/>
    <w:rsid w:val="00C20A07"/>
    <w:rsid w:val="00C20D65"/>
    <w:rsid w:val="00C21820"/>
    <w:rsid w:val="00C21930"/>
    <w:rsid w:val="00C22197"/>
    <w:rsid w:val="00C221A3"/>
    <w:rsid w:val="00C22704"/>
    <w:rsid w:val="00C22A10"/>
    <w:rsid w:val="00C230C7"/>
    <w:rsid w:val="00C23633"/>
    <w:rsid w:val="00C23742"/>
    <w:rsid w:val="00C23C55"/>
    <w:rsid w:val="00C2472E"/>
    <w:rsid w:val="00C24E4A"/>
    <w:rsid w:val="00C25480"/>
    <w:rsid w:val="00C255D4"/>
    <w:rsid w:val="00C2576C"/>
    <w:rsid w:val="00C25B9D"/>
    <w:rsid w:val="00C265D7"/>
    <w:rsid w:val="00C26A0F"/>
    <w:rsid w:val="00C26E8A"/>
    <w:rsid w:val="00C27440"/>
    <w:rsid w:val="00C274DA"/>
    <w:rsid w:val="00C2783F"/>
    <w:rsid w:val="00C27C2B"/>
    <w:rsid w:val="00C27F39"/>
    <w:rsid w:val="00C301D3"/>
    <w:rsid w:val="00C3050E"/>
    <w:rsid w:val="00C3075E"/>
    <w:rsid w:val="00C309D5"/>
    <w:rsid w:val="00C30A99"/>
    <w:rsid w:val="00C30F26"/>
    <w:rsid w:val="00C312C6"/>
    <w:rsid w:val="00C31607"/>
    <w:rsid w:val="00C317AC"/>
    <w:rsid w:val="00C32405"/>
    <w:rsid w:val="00C325CA"/>
    <w:rsid w:val="00C32AEC"/>
    <w:rsid w:val="00C33165"/>
    <w:rsid w:val="00C33FAC"/>
    <w:rsid w:val="00C34239"/>
    <w:rsid w:val="00C34260"/>
    <w:rsid w:val="00C343CC"/>
    <w:rsid w:val="00C34759"/>
    <w:rsid w:val="00C348DE"/>
    <w:rsid w:val="00C34C91"/>
    <w:rsid w:val="00C3505F"/>
    <w:rsid w:val="00C357D2"/>
    <w:rsid w:val="00C35DF3"/>
    <w:rsid w:val="00C361BE"/>
    <w:rsid w:val="00C37A29"/>
    <w:rsid w:val="00C40015"/>
    <w:rsid w:val="00C409CF"/>
    <w:rsid w:val="00C41159"/>
    <w:rsid w:val="00C4172E"/>
    <w:rsid w:val="00C41844"/>
    <w:rsid w:val="00C41BAD"/>
    <w:rsid w:val="00C42080"/>
    <w:rsid w:val="00C42140"/>
    <w:rsid w:val="00C42B39"/>
    <w:rsid w:val="00C430DF"/>
    <w:rsid w:val="00C43163"/>
    <w:rsid w:val="00C43495"/>
    <w:rsid w:val="00C43967"/>
    <w:rsid w:val="00C43AF0"/>
    <w:rsid w:val="00C43F4F"/>
    <w:rsid w:val="00C443D2"/>
    <w:rsid w:val="00C4446F"/>
    <w:rsid w:val="00C44BB8"/>
    <w:rsid w:val="00C45109"/>
    <w:rsid w:val="00C4536F"/>
    <w:rsid w:val="00C456DB"/>
    <w:rsid w:val="00C458B8"/>
    <w:rsid w:val="00C460B7"/>
    <w:rsid w:val="00C46127"/>
    <w:rsid w:val="00C46FFD"/>
    <w:rsid w:val="00C471BE"/>
    <w:rsid w:val="00C474A9"/>
    <w:rsid w:val="00C475F8"/>
    <w:rsid w:val="00C47912"/>
    <w:rsid w:val="00C47BB3"/>
    <w:rsid w:val="00C47CEC"/>
    <w:rsid w:val="00C47F52"/>
    <w:rsid w:val="00C47FDE"/>
    <w:rsid w:val="00C5072D"/>
    <w:rsid w:val="00C50885"/>
    <w:rsid w:val="00C50A59"/>
    <w:rsid w:val="00C50DC1"/>
    <w:rsid w:val="00C50FE6"/>
    <w:rsid w:val="00C5171A"/>
    <w:rsid w:val="00C51F44"/>
    <w:rsid w:val="00C51F97"/>
    <w:rsid w:val="00C52169"/>
    <w:rsid w:val="00C52240"/>
    <w:rsid w:val="00C5234E"/>
    <w:rsid w:val="00C52423"/>
    <w:rsid w:val="00C5277E"/>
    <w:rsid w:val="00C52B53"/>
    <w:rsid w:val="00C52B57"/>
    <w:rsid w:val="00C52C75"/>
    <w:rsid w:val="00C52DCB"/>
    <w:rsid w:val="00C5355B"/>
    <w:rsid w:val="00C539CC"/>
    <w:rsid w:val="00C53BEC"/>
    <w:rsid w:val="00C53CA9"/>
    <w:rsid w:val="00C5418C"/>
    <w:rsid w:val="00C5466A"/>
    <w:rsid w:val="00C54A4C"/>
    <w:rsid w:val="00C54A91"/>
    <w:rsid w:val="00C54CDB"/>
    <w:rsid w:val="00C55D16"/>
    <w:rsid w:val="00C56017"/>
    <w:rsid w:val="00C56B3C"/>
    <w:rsid w:val="00C56E85"/>
    <w:rsid w:val="00C56F4C"/>
    <w:rsid w:val="00C57F58"/>
    <w:rsid w:val="00C60210"/>
    <w:rsid w:val="00C60779"/>
    <w:rsid w:val="00C60CA6"/>
    <w:rsid w:val="00C60F74"/>
    <w:rsid w:val="00C6151E"/>
    <w:rsid w:val="00C6180F"/>
    <w:rsid w:val="00C61F43"/>
    <w:rsid w:val="00C61F63"/>
    <w:rsid w:val="00C626F7"/>
    <w:rsid w:val="00C6278A"/>
    <w:rsid w:val="00C62CF9"/>
    <w:rsid w:val="00C640B0"/>
    <w:rsid w:val="00C6458D"/>
    <w:rsid w:val="00C64A95"/>
    <w:rsid w:val="00C64F94"/>
    <w:rsid w:val="00C656F0"/>
    <w:rsid w:val="00C65A6A"/>
    <w:rsid w:val="00C660D5"/>
    <w:rsid w:val="00C66585"/>
    <w:rsid w:val="00C674E0"/>
    <w:rsid w:val="00C6756D"/>
    <w:rsid w:val="00C67FCB"/>
    <w:rsid w:val="00C70366"/>
    <w:rsid w:val="00C704B5"/>
    <w:rsid w:val="00C7060D"/>
    <w:rsid w:val="00C70EE1"/>
    <w:rsid w:val="00C714E8"/>
    <w:rsid w:val="00C7165A"/>
    <w:rsid w:val="00C716DF"/>
    <w:rsid w:val="00C71CA6"/>
    <w:rsid w:val="00C71E74"/>
    <w:rsid w:val="00C71FA8"/>
    <w:rsid w:val="00C72499"/>
    <w:rsid w:val="00C725C6"/>
    <w:rsid w:val="00C72AF6"/>
    <w:rsid w:val="00C72B6A"/>
    <w:rsid w:val="00C7336C"/>
    <w:rsid w:val="00C733E4"/>
    <w:rsid w:val="00C740B8"/>
    <w:rsid w:val="00C740C0"/>
    <w:rsid w:val="00C7467A"/>
    <w:rsid w:val="00C753A8"/>
    <w:rsid w:val="00C754F2"/>
    <w:rsid w:val="00C7562D"/>
    <w:rsid w:val="00C756C5"/>
    <w:rsid w:val="00C76458"/>
    <w:rsid w:val="00C767EA"/>
    <w:rsid w:val="00C76B98"/>
    <w:rsid w:val="00C76C65"/>
    <w:rsid w:val="00C76ED1"/>
    <w:rsid w:val="00C7777D"/>
    <w:rsid w:val="00C77CD3"/>
    <w:rsid w:val="00C77FA4"/>
    <w:rsid w:val="00C8085C"/>
    <w:rsid w:val="00C80AA2"/>
    <w:rsid w:val="00C80C4B"/>
    <w:rsid w:val="00C80D74"/>
    <w:rsid w:val="00C81331"/>
    <w:rsid w:val="00C813E0"/>
    <w:rsid w:val="00C8169C"/>
    <w:rsid w:val="00C81EDD"/>
    <w:rsid w:val="00C820E8"/>
    <w:rsid w:val="00C82973"/>
    <w:rsid w:val="00C82BBC"/>
    <w:rsid w:val="00C82EB5"/>
    <w:rsid w:val="00C835E9"/>
    <w:rsid w:val="00C836AD"/>
    <w:rsid w:val="00C842F0"/>
    <w:rsid w:val="00C845CE"/>
    <w:rsid w:val="00C84752"/>
    <w:rsid w:val="00C848FB"/>
    <w:rsid w:val="00C84ED4"/>
    <w:rsid w:val="00C8515B"/>
    <w:rsid w:val="00C8520E"/>
    <w:rsid w:val="00C86662"/>
    <w:rsid w:val="00C86C21"/>
    <w:rsid w:val="00C87B9F"/>
    <w:rsid w:val="00C87C1C"/>
    <w:rsid w:val="00C87E4A"/>
    <w:rsid w:val="00C87FB5"/>
    <w:rsid w:val="00C90965"/>
    <w:rsid w:val="00C9098F"/>
    <w:rsid w:val="00C90AE1"/>
    <w:rsid w:val="00C91B58"/>
    <w:rsid w:val="00C92273"/>
    <w:rsid w:val="00C924AB"/>
    <w:rsid w:val="00C924CF"/>
    <w:rsid w:val="00C92AF8"/>
    <w:rsid w:val="00C92D88"/>
    <w:rsid w:val="00C92F51"/>
    <w:rsid w:val="00C9377D"/>
    <w:rsid w:val="00C93DB2"/>
    <w:rsid w:val="00C93F42"/>
    <w:rsid w:val="00C9460B"/>
    <w:rsid w:val="00C94706"/>
    <w:rsid w:val="00C948F9"/>
    <w:rsid w:val="00C952B0"/>
    <w:rsid w:val="00C9545C"/>
    <w:rsid w:val="00C95EB7"/>
    <w:rsid w:val="00C966F9"/>
    <w:rsid w:val="00C96E3D"/>
    <w:rsid w:val="00C9701D"/>
    <w:rsid w:val="00C9748D"/>
    <w:rsid w:val="00C97697"/>
    <w:rsid w:val="00C97952"/>
    <w:rsid w:val="00C97B35"/>
    <w:rsid w:val="00C97EE2"/>
    <w:rsid w:val="00CA092E"/>
    <w:rsid w:val="00CA0A91"/>
    <w:rsid w:val="00CA0DC5"/>
    <w:rsid w:val="00CA12FB"/>
    <w:rsid w:val="00CA13B6"/>
    <w:rsid w:val="00CA1F9E"/>
    <w:rsid w:val="00CA22B4"/>
    <w:rsid w:val="00CA298A"/>
    <w:rsid w:val="00CA29B5"/>
    <w:rsid w:val="00CA2A94"/>
    <w:rsid w:val="00CA2F58"/>
    <w:rsid w:val="00CA380C"/>
    <w:rsid w:val="00CA38F7"/>
    <w:rsid w:val="00CA3F92"/>
    <w:rsid w:val="00CA4AC0"/>
    <w:rsid w:val="00CA4F0E"/>
    <w:rsid w:val="00CA53A7"/>
    <w:rsid w:val="00CA5402"/>
    <w:rsid w:val="00CA5650"/>
    <w:rsid w:val="00CA573C"/>
    <w:rsid w:val="00CA58D2"/>
    <w:rsid w:val="00CA5BE8"/>
    <w:rsid w:val="00CA687C"/>
    <w:rsid w:val="00CA6894"/>
    <w:rsid w:val="00CA6993"/>
    <w:rsid w:val="00CA6ABF"/>
    <w:rsid w:val="00CA6DA8"/>
    <w:rsid w:val="00CA6E0D"/>
    <w:rsid w:val="00CA76CD"/>
    <w:rsid w:val="00CA792E"/>
    <w:rsid w:val="00CA7B03"/>
    <w:rsid w:val="00CA7CB9"/>
    <w:rsid w:val="00CB0123"/>
    <w:rsid w:val="00CB0630"/>
    <w:rsid w:val="00CB0B85"/>
    <w:rsid w:val="00CB16C1"/>
    <w:rsid w:val="00CB17B6"/>
    <w:rsid w:val="00CB195E"/>
    <w:rsid w:val="00CB24DC"/>
    <w:rsid w:val="00CB258A"/>
    <w:rsid w:val="00CB2AA0"/>
    <w:rsid w:val="00CB2B0E"/>
    <w:rsid w:val="00CB2EB9"/>
    <w:rsid w:val="00CB2EDC"/>
    <w:rsid w:val="00CB34B4"/>
    <w:rsid w:val="00CB3CDB"/>
    <w:rsid w:val="00CB40B4"/>
    <w:rsid w:val="00CB44CF"/>
    <w:rsid w:val="00CB4777"/>
    <w:rsid w:val="00CB4936"/>
    <w:rsid w:val="00CB5232"/>
    <w:rsid w:val="00CB528B"/>
    <w:rsid w:val="00CB5752"/>
    <w:rsid w:val="00CB6B0C"/>
    <w:rsid w:val="00CB703B"/>
    <w:rsid w:val="00CB7071"/>
    <w:rsid w:val="00CB70EC"/>
    <w:rsid w:val="00CB7293"/>
    <w:rsid w:val="00CB76EF"/>
    <w:rsid w:val="00CB792B"/>
    <w:rsid w:val="00CB7DAC"/>
    <w:rsid w:val="00CB7F3E"/>
    <w:rsid w:val="00CC03F7"/>
    <w:rsid w:val="00CC048D"/>
    <w:rsid w:val="00CC0515"/>
    <w:rsid w:val="00CC067B"/>
    <w:rsid w:val="00CC10E6"/>
    <w:rsid w:val="00CC1637"/>
    <w:rsid w:val="00CC2712"/>
    <w:rsid w:val="00CC2896"/>
    <w:rsid w:val="00CC2E3D"/>
    <w:rsid w:val="00CC3213"/>
    <w:rsid w:val="00CC3267"/>
    <w:rsid w:val="00CC3348"/>
    <w:rsid w:val="00CC3407"/>
    <w:rsid w:val="00CC35E1"/>
    <w:rsid w:val="00CC3A2D"/>
    <w:rsid w:val="00CC3BF2"/>
    <w:rsid w:val="00CC3E96"/>
    <w:rsid w:val="00CC4492"/>
    <w:rsid w:val="00CC456A"/>
    <w:rsid w:val="00CC4B50"/>
    <w:rsid w:val="00CC50F9"/>
    <w:rsid w:val="00CC56F3"/>
    <w:rsid w:val="00CC5D04"/>
    <w:rsid w:val="00CC5D8D"/>
    <w:rsid w:val="00CC5F03"/>
    <w:rsid w:val="00CC7005"/>
    <w:rsid w:val="00CC7401"/>
    <w:rsid w:val="00CC7A53"/>
    <w:rsid w:val="00CC7EBB"/>
    <w:rsid w:val="00CC7FA9"/>
    <w:rsid w:val="00CC7FC0"/>
    <w:rsid w:val="00CD043B"/>
    <w:rsid w:val="00CD0467"/>
    <w:rsid w:val="00CD0547"/>
    <w:rsid w:val="00CD12C9"/>
    <w:rsid w:val="00CD136C"/>
    <w:rsid w:val="00CD13C9"/>
    <w:rsid w:val="00CD1D11"/>
    <w:rsid w:val="00CD26D6"/>
    <w:rsid w:val="00CD30D0"/>
    <w:rsid w:val="00CD330D"/>
    <w:rsid w:val="00CD33DD"/>
    <w:rsid w:val="00CD34E0"/>
    <w:rsid w:val="00CD36BA"/>
    <w:rsid w:val="00CD3A46"/>
    <w:rsid w:val="00CD3AB6"/>
    <w:rsid w:val="00CD4666"/>
    <w:rsid w:val="00CD49E9"/>
    <w:rsid w:val="00CD4B66"/>
    <w:rsid w:val="00CD4DAF"/>
    <w:rsid w:val="00CD4F01"/>
    <w:rsid w:val="00CD57B3"/>
    <w:rsid w:val="00CD5A19"/>
    <w:rsid w:val="00CD624C"/>
    <w:rsid w:val="00CD6828"/>
    <w:rsid w:val="00CD68B1"/>
    <w:rsid w:val="00CD7369"/>
    <w:rsid w:val="00CD73EE"/>
    <w:rsid w:val="00CD77DD"/>
    <w:rsid w:val="00CE03B8"/>
    <w:rsid w:val="00CE0666"/>
    <w:rsid w:val="00CE0811"/>
    <w:rsid w:val="00CE1315"/>
    <w:rsid w:val="00CE1452"/>
    <w:rsid w:val="00CE15B1"/>
    <w:rsid w:val="00CE19D0"/>
    <w:rsid w:val="00CE1BB5"/>
    <w:rsid w:val="00CE1C8A"/>
    <w:rsid w:val="00CE1E5E"/>
    <w:rsid w:val="00CE1F6D"/>
    <w:rsid w:val="00CE2216"/>
    <w:rsid w:val="00CE2396"/>
    <w:rsid w:val="00CE4235"/>
    <w:rsid w:val="00CE4CF4"/>
    <w:rsid w:val="00CE4EA1"/>
    <w:rsid w:val="00CE5799"/>
    <w:rsid w:val="00CE599F"/>
    <w:rsid w:val="00CE5C67"/>
    <w:rsid w:val="00CE5F49"/>
    <w:rsid w:val="00CE5F56"/>
    <w:rsid w:val="00CE669A"/>
    <w:rsid w:val="00CE6E80"/>
    <w:rsid w:val="00CE6EBE"/>
    <w:rsid w:val="00CE70F7"/>
    <w:rsid w:val="00CE727D"/>
    <w:rsid w:val="00CE7887"/>
    <w:rsid w:val="00CE7CAA"/>
    <w:rsid w:val="00CE7CFB"/>
    <w:rsid w:val="00CE7F2A"/>
    <w:rsid w:val="00CE7FDD"/>
    <w:rsid w:val="00CF024C"/>
    <w:rsid w:val="00CF0295"/>
    <w:rsid w:val="00CF0733"/>
    <w:rsid w:val="00CF0BC9"/>
    <w:rsid w:val="00CF0BF4"/>
    <w:rsid w:val="00CF1457"/>
    <w:rsid w:val="00CF1C12"/>
    <w:rsid w:val="00CF2CCF"/>
    <w:rsid w:val="00CF2DF5"/>
    <w:rsid w:val="00CF3873"/>
    <w:rsid w:val="00CF39AF"/>
    <w:rsid w:val="00CF3BE8"/>
    <w:rsid w:val="00CF3CD4"/>
    <w:rsid w:val="00CF4482"/>
    <w:rsid w:val="00CF4B48"/>
    <w:rsid w:val="00CF4B7C"/>
    <w:rsid w:val="00CF4E4F"/>
    <w:rsid w:val="00CF5424"/>
    <w:rsid w:val="00CF583B"/>
    <w:rsid w:val="00CF5E9C"/>
    <w:rsid w:val="00CF5F3A"/>
    <w:rsid w:val="00CF60C5"/>
    <w:rsid w:val="00CF616C"/>
    <w:rsid w:val="00CF6C3F"/>
    <w:rsid w:val="00CF7004"/>
    <w:rsid w:val="00CF763B"/>
    <w:rsid w:val="00CF7746"/>
    <w:rsid w:val="00CF7B45"/>
    <w:rsid w:val="00CF7C6D"/>
    <w:rsid w:val="00CF7E49"/>
    <w:rsid w:val="00D00CB8"/>
    <w:rsid w:val="00D00DC8"/>
    <w:rsid w:val="00D01042"/>
    <w:rsid w:val="00D01A21"/>
    <w:rsid w:val="00D025B3"/>
    <w:rsid w:val="00D027A3"/>
    <w:rsid w:val="00D02851"/>
    <w:rsid w:val="00D03563"/>
    <w:rsid w:val="00D0366A"/>
    <w:rsid w:val="00D043B8"/>
    <w:rsid w:val="00D0530A"/>
    <w:rsid w:val="00D054BA"/>
    <w:rsid w:val="00D06103"/>
    <w:rsid w:val="00D0696D"/>
    <w:rsid w:val="00D06BD8"/>
    <w:rsid w:val="00D06C24"/>
    <w:rsid w:val="00D06C78"/>
    <w:rsid w:val="00D06D94"/>
    <w:rsid w:val="00D0746F"/>
    <w:rsid w:val="00D07662"/>
    <w:rsid w:val="00D07794"/>
    <w:rsid w:val="00D07857"/>
    <w:rsid w:val="00D07D74"/>
    <w:rsid w:val="00D102E8"/>
    <w:rsid w:val="00D1034D"/>
    <w:rsid w:val="00D1069B"/>
    <w:rsid w:val="00D12135"/>
    <w:rsid w:val="00D122F6"/>
    <w:rsid w:val="00D127CD"/>
    <w:rsid w:val="00D12CBE"/>
    <w:rsid w:val="00D12D20"/>
    <w:rsid w:val="00D135D7"/>
    <w:rsid w:val="00D13F8A"/>
    <w:rsid w:val="00D145FA"/>
    <w:rsid w:val="00D14D07"/>
    <w:rsid w:val="00D14EB2"/>
    <w:rsid w:val="00D1545D"/>
    <w:rsid w:val="00D1546A"/>
    <w:rsid w:val="00D15F54"/>
    <w:rsid w:val="00D15F6E"/>
    <w:rsid w:val="00D1602C"/>
    <w:rsid w:val="00D1703A"/>
    <w:rsid w:val="00D17433"/>
    <w:rsid w:val="00D17A0F"/>
    <w:rsid w:val="00D20707"/>
    <w:rsid w:val="00D21239"/>
    <w:rsid w:val="00D2157B"/>
    <w:rsid w:val="00D21886"/>
    <w:rsid w:val="00D21D7D"/>
    <w:rsid w:val="00D222E7"/>
    <w:rsid w:val="00D224F0"/>
    <w:rsid w:val="00D229CD"/>
    <w:rsid w:val="00D22BEB"/>
    <w:rsid w:val="00D22CFA"/>
    <w:rsid w:val="00D22D04"/>
    <w:rsid w:val="00D230BC"/>
    <w:rsid w:val="00D234C2"/>
    <w:rsid w:val="00D238AF"/>
    <w:rsid w:val="00D23E13"/>
    <w:rsid w:val="00D240DE"/>
    <w:rsid w:val="00D24223"/>
    <w:rsid w:val="00D24BA7"/>
    <w:rsid w:val="00D25757"/>
    <w:rsid w:val="00D25CAD"/>
    <w:rsid w:val="00D25E03"/>
    <w:rsid w:val="00D2658E"/>
    <w:rsid w:val="00D26693"/>
    <w:rsid w:val="00D266C0"/>
    <w:rsid w:val="00D26B23"/>
    <w:rsid w:val="00D26D97"/>
    <w:rsid w:val="00D26F5E"/>
    <w:rsid w:val="00D273BE"/>
    <w:rsid w:val="00D27F08"/>
    <w:rsid w:val="00D304C8"/>
    <w:rsid w:val="00D30C84"/>
    <w:rsid w:val="00D30C9B"/>
    <w:rsid w:val="00D30EAB"/>
    <w:rsid w:val="00D30F24"/>
    <w:rsid w:val="00D31076"/>
    <w:rsid w:val="00D311C7"/>
    <w:rsid w:val="00D31F62"/>
    <w:rsid w:val="00D328AE"/>
    <w:rsid w:val="00D328C6"/>
    <w:rsid w:val="00D329DA"/>
    <w:rsid w:val="00D334A2"/>
    <w:rsid w:val="00D340BF"/>
    <w:rsid w:val="00D34350"/>
    <w:rsid w:val="00D34415"/>
    <w:rsid w:val="00D3446B"/>
    <w:rsid w:val="00D35175"/>
    <w:rsid w:val="00D357FC"/>
    <w:rsid w:val="00D361D5"/>
    <w:rsid w:val="00D365B2"/>
    <w:rsid w:val="00D36749"/>
    <w:rsid w:val="00D403EB"/>
    <w:rsid w:val="00D409DE"/>
    <w:rsid w:val="00D40BD6"/>
    <w:rsid w:val="00D4150C"/>
    <w:rsid w:val="00D419C0"/>
    <w:rsid w:val="00D4223C"/>
    <w:rsid w:val="00D427FA"/>
    <w:rsid w:val="00D429CE"/>
    <w:rsid w:val="00D42C91"/>
    <w:rsid w:val="00D42E3E"/>
    <w:rsid w:val="00D43147"/>
    <w:rsid w:val="00D4373B"/>
    <w:rsid w:val="00D4381C"/>
    <w:rsid w:val="00D43998"/>
    <w:rsid w:val="00D43C8B"/>
    <w:rsid w:val="00D43CF5"/>
    <w:rsid w:val="00D43D0B"/>
    <w:rsid w:val="00D43F36"/>
    <w:rsid w:val="00D44515"/>
    <w:rsid w:val="00D45DE6"/>
    <w:rsid w:val="00D45E7C"/>
    <w:rsid w:val="00D46BD6"/>
    <w:rsid w:val="00D4703D"/>
    <w:rsid w:val="00D47239"/>
    <w:rsid w:val="00D4736E"/>
    <w:rsid w:val="00D47588"/>
    <w:rsid w:val="00D475CB"/>
    <w:rsid w:val="00D4792C"/>
    <w:rsid w:val="00D47961"/>
    <w:rsid w:val="00D47BC8"/>
    <w:rsid w:val="00D47C79"/>
    <w:rsid w:val="00D47D3E"/>
    <w:rsid w:val="00D502A7"/>
    <w:rsid w:val="00D5037C"/>
    <w:rsid w:val="00D50F10"/>
    <w:rsid w:val="00D5102F"/>
    <w:rsid w:val="00D515D5"/>
    <w:rsid w:val="00D51A0A"/>
    <w:rsid w:val="00D51B84"/>
    <w:rsid w:val="00D51ECA"/>
    <w:rsid w:val="00D51F3B"/>
    <w:rsid w:val="00D51F4A"/>
    <w:rsid w:val="00D520F0"/>
    <w:rsid w:val="00D523CA"/>
    <w:rsid w:val="00D5270D"/>
    <w:rsid w:val="00D53088"/>
    <w:rsid w:val="00D53781"/>
    <w:rsid w:val="00D53996"/>
    <w:rsid w:val="00D5408D"/>
    <w:rsid w:val="00D54ACB"/>
    <w:rsid w:val="00D5535E"/>
    <w:rsid w:val="00D5546B"/>
    <w:rsid w:val="00D558E2"/>
    <w:rsid w:val="00D5650A"/>
    <w:rsid w:val="00D56C1F"/>
    <w:rsid w:val="00D5711C"/>
    <w:rsid w:val="00D573E0"/>
    <w:rsid w:val="00D573EC"/>
    <w:rsid w:val="00D5742B"/>
    <w:rsid w:val="00D57A94"/>
    <w:rsid w:val="00D57EF8"/>
    <w:rsid w:val="00D57F28"/>
    <w:rsid w:val="00D57F6B"/>
    <w:rsid w:val="00D60097"/>
    <w:rsid w:val="00D605D0"/>
    <w:rsid w:val="00D60791"/>
    <w:rsid w:val="00D60ABA"/>
    <w:rsid w:val="00D613C6"/>
    <w:rsid w:val="00D61B89"/>
    <w:rsid w:val="00D61D58"/>
    <w:rsid w:val="00D623ED"/>
    <w:rsid w:val="00D624B8"/>
    <w:rsid w:val="00D62538"/>
    <w:rsid w:val="00D62571"/>
    <w:rsid w:val="00D62ED1"/>
    <w:rsid w:val="00D6315D"/>
    <w:rsid w:val="00D63DF6"/>
    <w:rsid w:val="00D64060"/>
    <w:rsid w:val="00D64368"/>
    <w:rsid w:val="00D64427"/>
    <w:rsid w:val="00D64969"/>
    <w:rsid w:val="00D64B0E"/>
    <w:rsid w:val="00D64C26"/>
    <w:rsid w:val="00D64DB0"/>
    <w:rsid w:val="00D64F0E"/>
    <w:rsid w:val="00D64FF2"/>
    <w:rsid w:val="00D654E4"/>
    <w:rsid w:val="00D65A47"/>
    <w:rsid w:val="00D65D09"/>
    <w:rsid w:val="00D65DFF"/>
    <w:rsid w:val="00D65FFA"/>
    <w:rsid w:val="00D66118"/>
    <w:rsid w:val="00D662DE"/>
    <w:rsid w:val="00D663A3"/>
    <w:rsid w:val="00D6642C"/>
    <w:rsid w:val="00D66452"/>
    <w:rsid w:val="00D66E05"/>
    <w:rsid w:val="00D66F4C"/>
    <w:rsid w:val="00D673BC"/>
    <w:rsid w:val="00D6758B"/>
    <w:rsid w:val="00D67747"/>
    <w:rsid w:val="00D67A38"/>
    <w:rsid w:val="00D67B57"/>
    <w:rsid w:val="00D67BE7"/>
    <w:rsid w:val="00D67F14"/>
    <w:rsid w:val="00D70B21"/>
    <w:rsid w:val="00D70BEF"/>
    <w:rsid w:val="00D70C82"/>
    <w:rsid w:val="00D71B61"/>
    <w:rsid w:val="00D71B9B"/>
    <w:rsid w:val="00D71E22"/>
    <w:rsid w:val="00D72633"/>
    <w:rsid w:val="00D73317"/>
    <w:rsid w:val="00D73AEF"/>
    <w:rsid w:val="00D7442D"/>
    <w:rsid w:val="00D74789"/>
    <w:rsid w:val="00D75112"/>
    <w:rsid w:val="00D7515D"/>
    <w:rsid w:val="00D75DB4"/>
    <w:rsid w:val="00D75FCD"/>
    <w:rsid w:val="00D76AA4"/>
    <w:rsid w:val="00D778CB"/>
    <w:rsid w:val="00D80044"/>
    <w:rsid w:val="00D80121"/>
    <w:rsid w:val="00D804CE"/>
    <w:rsid w:val="00D80B0A"/>
    <w:rsid w:val="00D8101E"/>
    <w:rsid w:val="00D810B8"/>
    <w:rsid w:val="00D815B6"/>
    <w:rsid w:val="00D81FF2"/>
    <w:rsid w:val="00D82068"/>
    <w:rsid w:val="00D82B03"/>
    <w:rsid w:val="00D82B4A"/>
    <w:rsid w:val="00D82C9D"/>
    <w:rsid w:val="00D83103"/>
    <w:rsid w:val="00D83230"/>
    <w:rsid w:val="00D83817"/>
    <w:rsid w:val="00D83994"/>
    <w:rsid w:val="00D83AC9"/>
    <w:rsid w:val="00D83F9D"/>
    <w:rsid w:val="00D84281"/>
    <w:rsid w:val="00D84519"/>
    <w:rsid w:val="00D84808"/>
    <w:rsid w:val="00D85033"/>
    <w:rsid w:val="00D85039"/>
    <w:rsid w:val="00D853B7"/>
    <w:rsid w:val="00D85973"/>
    <w:rsid w:val="00D859D4"/>
    <w:rsid w:val="00D86248"/>
    <w:rsid w:val="00D86309"/>
    <w:rsid w:val="00D8647A"/>
    <w:rsid w:val="00D86548"/>
    <w:rsid w:val="00D86D50"/>
    <w:rsid w:val="00D86E93"/>
    <w:rsid w:val="00D87299"/>
    <w:rsid w:val="00D872D6"/>
    <w:rsid w:val="00D87CCB"/>
    <w:rsid w:val="00D87D86"/>
    <w:rsid w:val="00D87DAC"/>
    <w:rsid w:val="00D90852"/>
    <w:rsid w:val="00D90A35"/>
    <w:rsid w:val="00D90E93"/>
    <w:rsid w:val="00D90FAA"/>
    <w:rsid w:val="00D9115B"/>
    <w:rsid w:val="00D91B92"/>
    <w:rsid w:val="00D91CAD"/>
    <w:rsid w:val="00D92072"/>
    <w:rsid w:val="00D920C6"/>
    <w:rsid w:val="00D9232C"/>
    <w:rsid w:val="00D92B70"/>
    <w:rsid w:val="00D93CB5"/>
    <w:rsid w:val="00D94282"/>
    <w:rsid w:val="00D944C4"/>
    <w:rsid w:val="00D94BA8"/>
    <w:rsid w:val="00D94D0B"/>
    <w:rsid w:val="00D9519E"/>
    <w:rsid w:val="00D95692"/>
    <w:rsid w:val="00D95766"/>
    <w:rsid w:val="00D958CF"/>
    <w:rsid w:val="00D95DA7"/>
    <w:rsid w:val="00D95EB0"/>
    <w:rsid w:val="00D96DE1"/>
    <w:rsid w:val="00D97047"/>
    <w:rsid w:val="00D97080"/>
    <w:rsid w:val="00D971D1"/>
    <w:rsid w:val="00D97BEF"/>
    <w:rsid w:val="00D97CE4"/>
    <w:rsid w:val="00D97F8F"/>
    <w:rsid w:val="00D97FE6"/>
    <w:rsid w:val="00DA0AA8"/>
    <w:rsid w:val="00DA0F6C"/>
    <w:rsid w:val="00DA109C"/>
    <w:rsid w:val="00DA16BC"/>
    <w:rsid w:val="00DA1CFB"/>
    <w:rsid w:val="00DA1D2E"/>
    <w:rsid w:val="00DA1E7D"/>
    <w:rsid w:val="00DA249E"/>
    <w:rsid w:val="00DA25B9"/>
    <w:rsid w:val="00DA2716"/>
    <w:rsid w:val="00DA31DE"/>
    <w:rsid w:val="00DA32F2"/>
    <w:rsid w:val="00DA3541"/>
    <w:rsid w:val="00DA39FD"/>
    <w:rsid w:val="00DA3E26"/>
    <w:rsid w:val="00DA3F4B"/>
    <w:rsid w:val="00DA48CF"/>
    <w:rsid w:val="00DA4EAF"/>
    <w:rsid w:val="00DA5175"/>
    <w:rsid w:val="00DA566C"/>
    <w:rsid w:val="00DA575E"/>
    <w:rsid w:val="00DA590D"/>
    <w:rsid w:val="00DA5AE5"/>
    <w:rsid w:val="00DA5DD8"/>
    <w:rsid w:val="00DA5FE7"/>
    <w:rsid w:val="00DA6021"/>
    <w:rsid w:val="00DA6359"/>
    <w:rsid w:val="00DA6803"/>
    <w:rsid w:val="00DA6B05"/>
    <w:rsid w:val="00DA77BC"/>
    <w:rsid w:val="00DA7C98"/>
    <w:rsid w:val="00DA7DA0"/>
    <w:rsid w:val="00DA7DE4"/>
    <w:rsid w:val="00DB093C"/>
    <w:rsid w:val="00DB0CDD"/>
    <w:rsid w:val="00DB0DC4"/>
    <w:rsid w:val="00DB0DCC"/>
    <w:rsid w:val="00DB1F02"/>
    <w:rsid w:val="00DB2062"/>
    <w:rsid w:val="00DB2144"/>
    <w:rsid w:val="00DB28F2"/>
    <w:rsid w:val="00DB2A65"/>
    <w:rsid w:val="00DB2FE4"/>
    <w:rsid w:val="00DB43DD"/>
    <w:rsid w:val="00DB44F0"/>
    <w:rsid w:val="00DB4582"/>
    <w:rsid w:val="00DB4E5A"/>
    <w:rsid w:val="00DB596F"/>
    <w:rsid w:val="00DB5A8F"/>
    <w:rsid w:val="00DB6354"/>
    <w:rsid w:val="00DB67CA"/>
    <w:rsid w:val="00DB6A22"/>
    <w:rsid w:val="00DB6B09"/>
    <w:rsid w:val="00DB6C17"/>
    <w:rsid w:val="00DB6F46"/>
    <w:rsid w:val="00DB7198"/>
    <w:rsid w:val="00DB7227"/>
    <w:rsid w:val="00DB75ED"/>
    <w:rsid w:val="00DB7BBC"/>
    <w:rsid w:val="00DB7DDC"/>
    <w:rsid w:val="00DC0770"/>
    <w:rsid w:val="00DC0D21"/>
    <w:rsid w:val="00DC122B"/>
    <w:rsid w:val="00DC124A"/>
    <w:rsid w:val="00DC12DE"/>
    <w:rsid w:val="00DC131D"/>
    <w:rsid w:val="00DC14B2"/>
    <w:rsid w:val="00DC1C5F"/>
    <w:rsid w:val="00DC26CD"/>
    <w:rsid w:val="00DC2788"/>
    <w:rsid w:val="00DC2BFA"/>
    <w:rsid w:val="00DC30CC"/>
    <w:rsid w:val="00DC3338"/>
    <w:rsid w:val="00DC33C2"/>
    <w:rsid w:val="00DC33D1"/>
    <w:rsid w:val="00DC4A74"/>
    <w:rsid w:val="00DC4B7E"/>
    <w:rsid w:val="00DC50D5"/>
    <w:rsid w:val="00DC50E8"/>
    <w:rsid w:val="00DC5340"/>
    <w:rsid w:val="00DC57C9"/>
    <w:rsid w:val="00DC5923"/>
    <w:rsid w:val="00DC5E18"/>
    <w:rsid w:val="00DC5E4C"/>
    <w:rsid w:val="00DC6386"/>
    <w:rsid w:val="00DC711E"/>
    <w:rsid w:val="00DC75B4"/>
    <w:rsid w:val="00DC782A"/>
    <w:rsid w:val="00DC792A"/>
    <w:rsid w:val="00DC7C18"/>
    <w:rsid w:val="00DD057B"/>
    <w:rsid w:val="00DD05A4"/>
    <w:rsid w:val="00DD0E62"/>
    <w:rsid w:val="00DD0E77"/>
    <w:rsid w:val="00DD13CF"/>
    <w:rsid w:val="00DD1CBF"/>
    <w:rsid w:val="00DD1D2C"/>
    <w:rsid w:val="00DD2045"/>
    <w:rsid w:val="00DD295C"/>
    <w:rsid w:val="00DD2E72"/>
    <w:rsid w:val="00DD33EC"/>
    <w:rsid w:val="00DD447C"/>
    <w:rsid w:val="00DD4DEB"/>
    <w:rsid w:val="00DD58C7"/>
    <w:rsid w:val="00DD61FE"/>
    <w:rsid w:val="00DD63D8"/>
    <w:rsid w:val="00DD6482"/>
    <w:rsid w:val="00DD6569"/>
    <w:rsid w:val="00DD6808"/>
    <w:rsid w:val="00DD6BFB"/>
    <w:rsid w:val="00DD7626"/>
    <w:rsid w:val="00DD7A09"/>
    <w:rsid w:val="00DD7D47"/>
    <w:rsid w:val="00DD7E70"/>
    <w:rsid w:val="00DE06AF"/>
    <w:rsid w:val="00DE085B"/>
    <w:rsid w:val="00DE11B3"/>
    <w:rsid w:val="00DE11FC"/>
    <w:rsid w:val="00DE1AA3"/>
    <w:rsid w:val="00DE1D6A"/>
    <w:rsid w:val="00DE1DBB"/>
    <w:rsid w:val="00DE1E72"/>
    <w:rsid w:val="00DE1F89"/>
    <w:rsid w:val="00DE1FE2"/>
    <w:rsid w:val="00DE1FFD"/>
    <w:rsid w:val="00DE22FA"/>
    <w:rsid w:val="00DE2D17"/>
    <w:rsid w:val="00DE33F5"/>
    <w:rsid w:val="00DE33FF"/>
    <w:rsid w:val="00DE34AE"/>
    <w:rsid w:val="00DE3680"/>
    <w:rsid w:val="00DE4631"/>
    <w:rsid w:val="00DE4755"/>
    <w:rsid w:val="00DE4E76"/>
    <w:rsid w:val="00DE552B"/>
    <w:rsid w:val="00DE5DCE"/>
    <w:rsid w:val="00DE5FD2"/>
    <w:rsid w:val="00DE6510"/>
    <w:rsid w:val="00DE69BA"/>
    <w:rsid w:val="00DE6C7C"/>
    <w:rsid w:val="00DE6D83"/>
    <w:rsid w:val="00DE7AC7"/>
    <w:rsid w:val="00DF07E3"/>
    <w:rsid w:val="00DF094F"/>
    <w:rsid w:val="00DF0D5D"/>
    <w:rsid w:val="00DF0F73"/>
    <w:rsid w:val="00DF11BD"/>
    <w:rsid w:val="00DF11FE"/>
    <w:rsid w:val="00DF200D"/>
    <w:rsid w:val="00DF2CF3"/>
    <w:rsid w:val="00DF3938"/>
    <w:rsid w:val="00DF42A2"/>
    <w:rsid w:val="00DF543F"/>
    <w:rsid w:val="00DF584E"/>
    <w:rsid w:val="00DF59A7"/>
    <w:rsid w:val="00DF6600"/>
    <w:rsid w:val="00DF7749"/>
    <w:rsid w:val="00E00236"/>
    <w:rsid w:val="00E004EF"/>
    <w:rsid w:val="00E0053F"/>
    <w:rsid w:val="00E00685"/>
    <w:rsid w:val="00E00E6F"/>
    <w:rsid w:val="00E01007"/>
    <w:rsid w:val="00E01CB5"/>
    <w:rsid w:val="00E01CCD"/>
    <w:rsid w:val="00E025F7"/>
    <w:rsid w:val="00E027AA"/>
    <w:rsid w:val="00E02CF6"/>
    <w:rsid w:val="00E02D96"/>
    <w:rsid w:val="00E03D53"/>
    <w:rsid w:val="00E03DF1"/>
    <w:rsid w:val="00E03E21"/>
    <w:rsid w:val="00E0455D"/>
    <w:rsid w:val="00E04904"/>
    <w:rsid w:val="00E04D6B"/>
    <w:rsid w:val="00E05467"/>
    <w:rsid w:val="00E05606"/>
    <w:rsid w:val="00E05C38"/>
    <w:rsid w:val="00E05FAE"/>
    <w:rsid w:val="00E062BD"/>
    <w:rsid w:val="00E06505"/>
    <w:rsid w:val="00E065CF"/>
    <w:rsid w:val="00E06CA1"/>
    <w:rsid w:val="00E07063"/>
    <w:rsid w:val="00E07635"/>
    <w:rsid w:val="00E0778F"/>
    <w:rsid w:val="00E07819"/>
    <w:rsid w:val="00E10B9C"/>
    <w:rsid w:val="00E10BD2"/>
    <w:rsid w:val="00E10DB4"/>
    <w:rsid w:val="00E11953"/>
    <w:rsid w:val="00E11BA9"/>
    <w:rsid w:val="00E1206E"/>
    <w:rsid w:val="00E12388"/>
    <w:rsid w:val="00E12A2F"/>
    <w:rsid w:val="00E12F2D"/>
    <w:rsid w:val="00E12FD1"/>
    <w:rsid w:val="00E13701"/>
    <w:rsid w:val="00E138CB"/>
    <w:rsid w:val="00E13E59"/>
    <w:rsid w:val="00E14358"/>
    <w:rsid w:val="00E143F3"/>
    <w:rsid w:val="00E14524"/>
    <w:rsid w:val="00E14971"/>
    <w:rsid w:val="00E156FB"/>
    <w:rsid w:val="00E164B4"/>
    <w:rsid w:val="00E165EE"/>
    <w:rsid w:val="00E1660D"/>
    <w:rsid w:val="00E16AAA"/>
    <w:rsid w:val="00E16F0E"/>
    <w:rsid w:val="00E1731B"/>
    <w:rsid w:val="00E176E7"/>
    <w:rsid w:val="00E17838"/>
    <w:rsid w:val="00E17E94"/>
    <w:rsid w:val="00E17F32"/>
    <w:rsid w:val="00E17F54"/>
    <w:rsid w:val="00E201DE"/>
    <w:rsid w:val="00E2071F"/>
    <w:rsid w:val="00E20E06"/>
    <w:rsid w:val="00E20E89"/>
    <w:rsid w:val="00E21208"/>
    <w:rsid w:val="00E21F1E"/>
    <w:rsid w:val="00E220BF"/>
    <w:rsid w:val="00E220F7"/>
    <w:rsid w:val="00E222F5"/>
    <w:rsid w:val="00E2257E"/>
    <w:rsid w:val="00E226D7"/>
    <w:rsid w:val="00E2279B"/>
    <w:rsid w:val="00E22C72"/>
    <w:rsid w:val="00E231C9"/>
    <w:rsid w:val="00E23BAF"/>
    <w:rsid w:val="00E23FC6"/>
    <w:rsid w:val="00E240EC"/>
    <w:rsid w:val="00E2425F"/>
    <w:rsid w:val="00E24445"/>
    <w:rsid w:val="00E24F0E"/>
    <w:rsid w:val="00E251EF"/>
    <w:rsid w:val="00E25626"/>
    <w:rsid w:val="00E25E12"/>
    <w:rsid w:val="00E261C3"/>
    <w:rsid w:val="00E2642E"/>
    <w:rsid w:val="00E26937"/>
    <w:rsid w:val="00E26A4C"/>
    <w:rsid w:val="00E26AC9"/>
    <w:rsid w:val="00E26FEE"/>
    <w:rsid w:val="00E27733"/>
    <w:rsid w:val="00E27A86"/>
    <w:rsid w:val="00E27AF7"/>
    <w:rsid w:val="00E301D4"/>
    <w:rsid w:val="00E301E5"/>
    <w:rsid w:val="00E303CA"/>
    <w:rsid w:val="00E3084F"/>
    <w:rsid w:val="00E30C48"/>
    <w:rsid w:val="00E310B6"/>
    <w:rsid w:val="00E311C0"/>
    <w:rsid w:val="00E3136C"/>
    <w:rsid w:val="00E31595"/>
    <w:rsid w:val="00E315F9"/>
    <w:rsid w:val="00E31B7A"/>
    <w:rsid w:val="00E32339"/>
    <w:rsid w:val="00E323F0"/>
    <w:rsid w:val="00E32F8A"/>
    <w:rsid w:val="00E330CE"/>
    <w:rsid w:val="00E336F6"/>
    <w:rsid w:val="00E338EA"/>
    <w:rsid w:val="00E339EA"/>
    <w:rsid w:val="00E33CE6"/>
    <w:rsid w:val="00E3476C"/>
    <w:rsid w:val="00E34ACE"/>
    <w:rsid w:val="00E34E03"/>
    <w:rsid w:val="00E350FE"/>
    <w:rsid w:val="00E35191"/>
    <w:rsid w:val="00E3599C"/>
    <w:rsid w:val="00E35CC9"/>
    <w:rsid w:val="00E36371"/>
    <w:rsid w:val="00E367F6"/>
    <w:rsid w:val="00E36E71"/>
    <w:rsid w:val="00E376F6"/>
    <w:rsid w:val="00E3770E"/>
    <w:rsid w:val="00E37729"/>
    <w:rsid w:val="00E40458"/>
    <w:rsid w:val="00E407AC"/>
    <w:rsid w:val="00E40A83"/>
    <w:rsid w:val="00E40B04"/>
    <w:rsid w:val="00E40EB7"/>
    <w:rsid w:val="00E41581"/>
    <w:rsid w:val="00E4207A"/>
    <w:rsid w:val="00E421AD"/>
    <w:rsid w:val="00E4249F"/>
    <w:rsid w:val="00E428FB"/>
    <w:rsid w:val="00E429E3"/>
    <w:rsid w:val="00E43044"/>
    <w:rsid w:val="00E4327B"/>
    <w:rsid w:val="00E43305"/>
    <w:rsid w:val="00E43431"/>
    <w:rsid w:val="00E43729"/>
    <w:rsid w:val="00E43A9F"/>
    <w:rsid w:val="00E43F2E"/>
    <w:rsid w:val="00E44358"/>
    <w:rsid w:val="00E443C6"/>
    <w:rsid w:val="00E445E5"/>
    <w:rsid w:val="00E44651"/>
    <w:rsid w:val="00E44804"/>
    <w:rsid w:val="00E44C64"/>
    <w:rsid w:val="00E44DF4"/>
    <w:rsid w:val="00E44F75"/>
    <w:rsid w:val="00E45879"/>
    <w:rsid w:val="00E45D21"/>
    <w:rsid w:val="00E45E44"/>
    <w:rsid w:val="00E46029"/>
    <w:rsid w:val="00E4608A"/>
    <w:rsid w:val="00E46D83"/>
    <w:rsid w:val="00E47187"/>
    <w:rsid w:val="00E474D7"/>
    <w:rsid w:val="00E500C7"/>
    <w:rsid w:val="00E501B8"/>
    <w:rsid w:val="00E503D6"/>
    <w:rsid w:val="00E5081E"/>
    <w:rsid w:val="00E509CB"/>
    <w:rsid w:val="00E50E24"/>
    <w:rsid w:val="00E50F2A"/>
    <w:rsid w:val="00E515DF"/>
    <w:rsid w:val="00E518DB"/>
    <w:rsid w:val="00E518DF"/>
    <w:rsid w:val="00E51DDD"/>
    <w:rsid w:val="00E524C7"/>
    <w:rsid w:val="00E52596"/>
    <w:rsid w:val="00E52AF8"/>
    <w:rsid w:val="00E52BC2"/>
    <w:rsid w:val="00E52C57"/>
    <w:rsid w:val="00E5345E"/>
    <w:rsid w:val="00E5369B"/>
    <w:rsid w:val="00E53AC3"/>
    <w:rsid w:val="00E5492C"/>
    <w:rsid w:val="00E54BD1"/>
    <w:rsid w:val="00E54EB7"/>
    <w:rsid w:val="00E55295"/>
    <w:rsid w:val="00E555BE"/>
    <w:rsid w:val="00E56905"/>
    <w:rsid w:val="00E56B89"/>
    <w:rsid w:val="00E56C20"/>
    <w:rsid w:val="00E571B5"/>
    <w:rsid w:val="00E574C8"/>
    <w:rsid w:val="00E57734"/>
    <w:rsid w:val="00E57804"/>
    <w:rsid w:val="00E57BCE"/>
    <w:rsid w:val="00E57C2F"/>
    <w:rsid w:val="00E57DB9"/>
    <w:rsid w:val="00E57F94"/>
    <w:rsid w:val="00E60517"/>
    <w:rsid w:val="00E60AF7"/>
    <w:rsid w:val="00E60DED"/>
    <w:rsid w:val="00E619E8"/>
    <w:rsid w:val="00E61AB0"/>
    <w:rsid w:val="00E61B41"/>
    <w:rsid w:val="00E61B8C"/>
    <w:rsid w:val="00E61DC4"/>
    <w:rsid w:val="00E61DE1"/>
    <w:rsid w:val="00E6257A"/>
    <w:rsid w:val="00E628F8"/>
    <w:rsid w:val="00E62BD3"/>
    <w:rsid w:val="00E630E0"/>
    <w:rsid w:val="00E63373"/>
    <w:rsid w:val="00E633E7"/>
    <w:rsid w:val="00E633F6"/>
    <w:rsid w:val="00E6384F"/>
    <w:rsid w:val="00E63B87"/>
    <w:rsid w:val="00E64FDF"/>
    <w:rsid w:val="00E655EE"/>
    <w:rsid w:val="00E65780"/>
    <w:rsid w:val="00E65D41"/>
    <w:rsid w:val="00E66118"/>
    <w:rsid w:val="00E665C8"/>
    <w:rsid w:val="00E667F9"/>
    <w:rsid w:val="00E668D4"/>
    <w:rsid w:val="00E66A2E"/>
    <w:rsid w:val="00E66A75"/>
    <w:rsid w:val="00E66D8E"/>
    <w:rsid w:val="00E670B3"/>
    <w:rsid w:val="00E67B5B"/>
    <w:rsid w:val="00E7085C"/>
    <w:rsid w:val="00E7096E"/>
    <w:rsid w:val="00E709CD"/>
    <w:rsid w:val="00E70BFD"/>
    <w:rsid w:val="00E711FA"/>
    <w:rsid w:val="00E71434"/>
    <w:rsid w:val="00E7154C"/>
    <w:rsid w:val="00E71BCB"/>
    <w:rsid w:val="00E71CBD"/>
    <w:rsid w:val="00E721D9"/>
    <w:rsid w:val="00E727B5"/>
    <w:rsid w:val="00E729BD"/>
    <w:rsid w:val="00E72B1E"/>
    <w:rsid w:val="00E72DF8"/>
    <w:rsid w:val="00E73114"/>
    <w:rsid w:val="00E732FE"/>
    <w:rsid w:val="00E73BD8"/>
    <w:rsid w:val="00E73CFD"/>
    <w:rsid w:val="00E74022"/>
    <w:rsid w:val="00E74873"/>
    <w:rsid w:val="00E748EF"/>
    <w:rsid w:val="00E7529A"/>
    <w:rsid w:val="00E7552A"/>
    <w:rsid w:val="00E757ED"/>
    <w:rsid w:val="00E7587E"/>
    <w:rsid w:val="00E7591B"/>
    <w:rsid w:val="00E75BE9"/>
    <w:rsid w:val="00E75F54"/>
    <w:rsid w:val="00E7658B"/>
    <w:rsid w:val="00E76D06"/>
    <w:rsid w:val="00E77038"/>
    <w:rsid w:val="00E7703D"/>
    <w:rsid w:val="00E779D4"/>
    <w:rsid w:val="00E77F73"/>
    <w:rsid w:val="00E8094A"/>
    <w:rsid w:val="00E80B33"/>
    <w:rsid w:val="00E81321"/>
    <w:rsid w:val="00E81359"/>
    <w:rsid w:val="00E8162A"/>
    <w:rsid w:val="00E81F32"/>
    <w:rsid w:val="00E8252C"/>
    <w:rsid w:val="00E825A5"/>
    <w:rsid w:val="00E82BE8"/>
    <w:rsid w:val="00E82F38"/>
    <w:rsid w:val="00E82F5A"/>
    <w:rsid w:val="00E82FBC"/>
    <w:rsid w:val="00E83062"/>
    <w:rsid w:val="00E83223"/>
    <w:rsid w:val="00E83495"/>
    <w:rsid w:val="00E83655"/>
    <w:rsid w:val="00E83726"/>
    <w:rsid w:val="00E83F1D"/>
    <w:rsid w:val="00E83FD7"/>
    <w:rsid w:val="00E84162"/>
    <w:rsid w:val="00E8419F"/>
    <w:rsid w:val="00E85215"/>
    <w:rsid w:val="00E875F0"/>
    <w:rsid w:val="00E87896"/>
    <w:rsid w:val="00E8795B"/>
    <w:rsid w:val="00E87FB8"/>
    <w:rsid w:val="00E9009D"/>
    <w:rsid w:val="00E90450"/>
    <w:rsid w:val="00E90ADE"/>
    <w:rsid w:val="00E911AD"/>
    <w:rsid w:val="00E913C7"/>
    <w:rsid w:val="00E918CA"/>
    <w:rsid w:val="00E91E1F"/>
    <w:rsid w:val="00E91F72"/>
    <w:rsid w:val="00E92616"/>
    <w:rsid w:val="00E92ADB"/>
    <w:rsid w:val="00E933A9"/>
    <w:rsid w:val="00E93508"/>
    <w:rsid w:val="00E9376A"/>
    <w:rsid w:val="00E9476C"/>
    <w:rsid w:val="00E94916"/>
    <w:rsid w:val="00E94B74"/>
    <w:rsid w:val="00E94CB5"/>
    <w:rsid w:val="00E94CDF"/>
    <w:rsid w:val="00E95394"/>
    <w:rsid w:val="00E95638"/>
    <w:rsid w:val="00E95834"/>
    <w:rsid w:val="00E95D69"/>
    <w:rsid w:val="00E95EF1"/>
    <w:rsid w:val="00E96549"/>
    <w:rsid w:val="00E9660E"/>
    <w:rsid w:val="00E96B84"/>
    <w:rsid w:val="00E9707F"/>
    <w:rsid w:val="00E9718F"/>
    <w:rsid w:val="00EA0893"/>
    <w:rsid w:val="00EA0EBE"/>
    <w:rsid w:val="00EA0F43"/>
    <w:rsid w:val="00EA0FD9"/>
    <w:rsid w:val="00EA159E"/>
    <w:rsid w:val="00EA171A"/>
    <w:rsid w:val="00EA22CB"/>
    <w:rsid w:val="00EA2320"/>
    <w:rsid w:val="00EA24C0"/>
    <w:rsid w:val="00EA2CBA"/>
    <w:rsid w:val="00EA319B"/>
    <w:rsid w:val="00EA3692"/>
    <w:rsid w:val="00EA388B"/>
    <w:rsid w:val="00EA3907"/>
    <w:rsid w:val="00EA394C"/>
    <w:rsid w:val="00EA3C82"/>
    <w:rsid w:val="00EA3FC9"/>
    <w:rsid w:val="00EA43CE"/>
    <w:rsid w:val="00EA469D"/>
    <w:rsid w:val="00EA46A0"/>
    <w:rsid w:val="00EA4A97"/>
    <w:rsid w:val="00EA4F86"/>
    <w:rsid w:val="00EA4FA6"/>
    <w:rsid w:val="00EA51DD"/>
    <w:rsid w:val="00EA5236"/>
    <w:rsid w:val="00EA5641"/>
    <w:rsid w:val="00EA599D"/>
    <w:rsid w:val="00EA5EED"/>
    <w:rsid w:val="00EA603F"/>
    <w:rsid w:val="00EA6995"/>
    <w:rsid w:val="00EA6B0B"/>
    <w:rsid w:val="00EA6C1B"/>
    <w:rsid w:val="00EA6EF5"/>
    <w:rsid w:val="00EA6FC2"/>
    <w:rsid w:val="00EA724B"/>
    <w:rsid w:val="00EA7666"/>
    <w:rsid w:val="00EA76F4"/>
    <w:rsid w:val="00EA779A"/>
    <w:rsid w:val="00EA78DD"/>
    <w:rsid w:val="00EB01AB"/>
    <w:rsid w:val="00EB0A20"/>
    <w:rsid w:val="00EB0C6C"/>
    <w:rsid w:val="00EB0DB3"/>
    <w:rsid w:val="00EB0E9E"/>
    <w:rsid w:val="00EB108E"/>
    <w:rsid w:val="00EB11CD"/>
    <w:rsid w:val="00EB14BD"/>
    <w:rsid w:val="00EB19E7"/>
    <w:rsid w:val="00EB1F4B"/>
    <w:rsid w:val="00EB27CD"/>
    <w:rsid w:val="00EB2C12"/>
    <w:rsid w:val="00EB3221"/>
    <w:rsid w:val="00EB33F1"/>
    <w:rsid w:val="00EB36A4"/>
    <w:rsid w:val="00EB36B4"/>
    <w:rsid w:val="00EB3DEF"/>
    <w:rsid w:val="00EB3F84"/>
    <w:rsid w:val="00EB42CE"/>
    <w:rsid w:val="00EB44FA"/>
    <w:rsid w:val="00EB4842"/>
    <w:rsid w:val="00EB4B5F"/>
    <w:rsid w:val="00EB5107"/>
    <w:rsid w:val="00EB52A6"/>
    <w:rsid w:val="00EB594A"/>
    <w:rsid w:val="00EB63D0"/>
    <w:rsid w:val="00EB63E7"/>
    <w:rsid w:val="00EB6CCF"/>
    <w:rsid w:val="00EB706C"/>
    <w:rsid w:val="00EB7098"/>
    <w:rsid w:val="00EB74BF"/>
    <w:rsid w:val="00EB764D"/>
    <w:rsid w:val="00EB7744"/>
    <w:rsid w:val="00EB7BF2"/>
    <w:rsid w:val="00EC01E5"/>
    <w:rsid w:val="00EC0558"/>
    <w:rsid w:val="00EC05D6"/>
    <w:rsid w:val="00EC0B2C"/>
    <w:rsid w:val="00EC0B6C"/>
    <w:rsid w:val="00EC1216"/>
    <w:rsid w:val="00EC12E9"/>
    <w:rsid w:val="00EC2337"/>
    <w:rsid w:val="00EC2509"/>
    <w:rsid w:val="00EC28B1"/>
    <w:rsid w:val="00EC2A62"/>
    <w:rsid w:val="00EC2CB0"/>
    <w:rsid w:val="00EC2D4E"/>
    <w:rsid w:val="00EC3268"/>
    <w:rsid w:val="00EC402B"/>
    <w:rsid w:val="00EC40D2"/>
    <w:rsid w:val="00EC40F9"/>
    <w:rsid w:val="00EC4223"/>
    <w:rsid w:val="00EC4261"/>
    <w:rsid w:val="00EC42AF"/>
    <w:rsid w:val="00EC43A9"/>
    <w:rsid w:val="00EC4C5F"/>
    <w:rsid w:val="00EC4CF4"/>
    <w:rsid w:val="00EC4EFC"/>
    <w:rsid w:val="00EC53C2"/>
    <w:rsid w:val="00EC59FC"/>
    <w:rsid w:val="00EC5A51"/>
    <w:rsid w:val="00EC60C9"/>
    <w:rsid w:val="00EC63F7"/>
    <w:rsid w:val="00EC656C"/>
    <w:rsid w:val="00EC76E2"/>
    <w:rsid w:val="00EC7AA2"/>
    <w:rsid w:val="00EC7B6E"/>
    <w:rsid w:val="00EC7EC6"/>
    <w:rsid w:val="00ED010E"/>
    <w:rsid w:val="00ED03A9"/>
    <w:rsid w:val="00ED0819"/>
    <w:rsid w:val="00ED0DB5"/>
    <w:rsid w:val="00ED1064"/>
    <w:rsid w:val="00ED1675"/>
    <w:rsid w:val="00ED1996"/>
    <w:rsid w:val="00ED1B78"/>
    <w:rsid w:val="00ED1EBE"/>
    <w:rsid w:val="00ED21A0"/>
    <w:rsid w:val="00ED32A5"/>
    <w:rsid w:val="00ED3747"/>
    <w:rsid w:val="00ED40F0"/>
    <w:rsid w:val="00ED46D3"/>
    <w:rsid w:val="00ED4E45"/>
    <w:rsid w:val="00ED5913"/>
    <w:rsid w:val="00ED5E99"/>
    <w:rsid w:val="00ED5F7D"/>
    <w:rsid w:val="00ED6D11"/>
    <w:rsid w:val="00ED6EF9"/>
    <w:rsid w:val="00ED7AA0"/>
    <w:rsid w:val="00ED7B89"/>
    <w:rsid w:val="00EE0068"/>
    <w:rsid w:val="00EE0289"/>
    <w:rsid w:val="00EE06EF"/>
    <w:rsid w:val="00EE081C"/>
    <w:rsid w:val="00EE0B81"/>
    <w:rsid w:val="00EE0E50"/>
    <w:rsid w:val="00EE0F64"/>
    <w:rsid w:val="00EE0FCA"/>
    <w:rsid w:val="00EE134D"/>
    <w:rsid w:val="00EE1585"/>
    <w:rsid w:val="00EE170B"/>
    <w:rsid w:val="00EE17BD"/>
    <w:rsid w:val="00EE1946"/>
    <w:rsid w:val="00EE1A62"/>
    <w:rsid w:val="00EE1FF7"/>
    <w:rsid w:val="00EE2096"/>
    <w:rsid w:val="00EE33D6"/>
    <w:rsid w:val="00EE3498"/>
    <w:rsid w:val="00EE3F79"/>
    <w:rsid w:val="00EE421F"/>
    <w:rsid w:val="00EE48AD"/>
    <w:rsid w:val="00EE5003"/>
    <w:rsid w:val="00EE57F6"/>
    <w:rsid w:val="00EE5B87"/>
    <w:rsid w:val="00EE5BE8"/>
    <w:rsid w:val="00EE60B7"/>
    <w:rsid w:val="00EE664C"/>
    <w:rsid w:val="00EE6816"/>
    <w:rsid w:val="00EE6859"/>
    <w:rsid w:val="00EE7525"/>
    <w:rsid w:val="00EE7EC1"/>
    <w:rsid w:val="00EF00B9"/>
    <w:rsid w:val="00EF02C9"/>
    <w:rsid w:val="00EF0320"/>
    <w:rsid w:val="00EF03C5"/>
    <w:rsid w:val="00EF0565"/>
    <w:rsid w:val="00EF068D"/>
    <w:rsid w:val="00EF0A5F"/>
    <w:rsid w:val="00EF12BA"/>
    <w:rsid w:val="00EF1DCB"/>
    <w:rsid w:val="00EF1FA6"/>
    <w:rsid w:val="00EF227F"/>
    <w:rsid w:val="00EF2801"/>
    <w:rsid w:val="00EF2BA6"/>
    <w:rsid w:val="00EF365B"/>
    <w:rsid w:val="00EF3CE4"/>
    <w:rsid w:val="00EF445F"/>
    <w:rsid w:val="00EF4E8E"/>
    <w:rsid w:val="00EF5325"/>
    <w:rsid w:val="00EF5430"/>
    <w:rsid w:val="00EF5A92"/>
    <w:rsid w:val="00EF60A2"/>
    <w:rsid w:val="00EF627A"/>
    <w:rsid w:val="00EF637D"/>
    <w:rsid w:val="00EF641C"/>
    <w:rsid w:val="00EF6F85"/>
    <w:rsid w:val="00EF705B"/>
    <w:rsid w:val="00EF711F"/>
    <w:rsid w:val="00EF767C"/>
    <w:rsid w:val="00EF76B6"/>
    <w:rsid w:val="00EF78FB"/>
    <w:rsid w:val="00EF7A40"/>
    <w:rsid w:val="00EF7FA5"/>
    <w:rsid w:val="00F001A3"/>
    <w:rsid w:val="00F0029F"/>
    <w:rsid w:val="00F00927"/>
    <w:rsid w:val="00F00A14"/>
    <w:rsid w:val="00F00B5F"/>
    <w:rsid w:val="00F01284"/>
    <w:rsid w:val="00F0182F"/>
    <w:rsid w:val="00F01C6B"/>
    <w:rsid w:val="00F01EA7"/>
    <w:rsid w:val="00F01F68"/>
    <w:rsid w:val="00F0208B"/>
    <w:rsid w:val="00F0233D"/>
    <w:rsid w:val="00F025A7"/>
    <w:rsid w:val="00F025FA"/>
    <w:rsid w:val="00F0273F"/>
    <w:rsid w:val="00F02887"/>
    <w:rsid w:val="00F02CD7"/>
    <w:rsid w:val="00F0310E"/>
    <w:rsid w:val="00F0386F"/>
    <w:rsid w:val="00F03917"/>
    <w:rsid w:val="00F0396C"/>
    <w:rsid w:val="00F03CDA"/>
    <w:rsid w:val="00F03EDE"/>
    <w:rsid w:val="00F04057"/>
    <w:rsid w:val="00F045C0"/>
    <w:rsid w:val="00F04A4B"/>
    <w:rsid w:val="00F04A86"/>
    <w:rsid w:val="00F04B77"/>
    <w:rsid w:val="00F04EE4"/>
    <w:rsid w:val="00F05252"/>
    <w:rsid w:val="00F05431"/>
    <w:rsid w:val="00F05B0E"/>
    <w:rsid w:val="00F05B99"/>
    <w:rsid w:val="00F0616F"/>
    <w:rsid w:val="00F06C2B"/>
    <w:rsid w:val="00F0716E"/>
    <w:rsid w:val="00F0733D"/>
    <w:rsid w:val="00F076D5"/>
    <w:rsid w:val="00F078E7"/>
    <w:rsid w:val="00F07F84"/>
    <w:rsid w:val="00F1024D"/>
    <w:rsid w:val="00F10CB9"/>
    <w:rsid w:val="00F114F3"/>
    <w:rsid w:val="00F11E62"/>
    <w:rsid w:val="00F11E95"/>
    <w:rsid w:val="00F120B0"/>
    <w:rsid w:val="00F124B4"/>
    <w:rsid w:val="00F12E6F"/>
    <w:rsid w:val="00F12EA0"/>
    <w:rsid w:val="00F13344"/>
    <w:rsid w:val="00F13A62"/>
    <w:rsid w:val="00F13F22"/>
    <w:rsid w:val="00F143B8"/>
    <w:rsid w:val="00F147B8"/>
    <w:rsid w:val="00F14C4B"/>
    <w:rsid w:val="00F14DC0"/>
    <w:rsid w:val="00F15187"/>
    <w:rsid w:val="00F15421"/>
    <w:rsid w:val="00F15550"/>
    <w:rsid w:val="00F16190"/>
    <w:rsid w:val="00F16351"/>
    <w:rsid w:val="00F1649C"/>
    <w:rsid w:val="00F16A90"/>
    <w:rsid w:val="00F16C20"/>
    <w:rsid w:val="00F173BB"/>
    <w:rsid w:val="00F17616"/>
    <w:rsid w:val="00F20021"/>
    <w:rsid w:val="00F2063B"/>
    <w:rsid w:val="00F2151F"/>
    <w:rsid w:val="00F21D18"/>
    <w:rsid w:val="00F21F43"/>
    <w:rsid w:val="00F223C3"/>
    <w:rsid w:val="00F22A95"/>
    <w:rsid w:val="00F22CE8"/>
    <w:rsid w:val="00F23393"/>
    <w:rsid w:val="00F233B5"/>
    <w:rsid w:val="00F233C9"/>
    <w:rsid w:val="00F23571"/>
    <w:rsid w:val="00F23755"/>
    <w:rsid w:val="00F23B2A"/>
    <w:rsid w:val="00F23CA1"/>
    <w:rsid w:val="00F24240"/>
    <w:rsid w:val="00F245AB"/>
    <w:rsid w:val="00F24D81"/>
    <w:rsid w:val="00F25077"/>
    <w:rsid w:val="00F2560B"/>
    <w:rsid w:val="00F25610"/>
    <w:rsid w:val="00F25981"/>
    <w:rsid w:val="00F25A72"/>
    <w:rsid w:val="00F25CF5"/>
    <w:rsid w:val="00F25D64"/>
    <w:rsid w:val="00F25FB0"/>
    <w:rsid w:val="00F261CD"/>
    <w:rsid w:val="00F26339"/>
    <w:rsid w:val="00F266AC"/>
    <w:rsid w:val="00F26F2D"/>
    <w:rsid w:val="00F2767F"/>
    <w:rsid w:val="00F304F9"/>
    <w:rsid w:val="00F3068B"/>
    <w:rsid w:val="00F30D29"/>
    <w:rsid w:val="00F31324"/>
    <w:rsid w:val="00F31501"/>
    <w:rsid w:val="00F317B7"/>
    <w:rsid w:val="00F31A05"/>
    <w:rsid w:val="00F31AAC"/>
    <w:rsid w:val="00F31EF2"/>
    <w:rsid w:val="00F320BC"/>
    <w:rsid w:val="00F32A9C"/>
    <w:rsid w:val="00F32CA9"/>
    <w:rsid w:val="00F33136"/>
    <w:rsid w:val="00F332F1"/>
    <w:rsid w:val="00F33A28"/>
    <w:rsid w:val="00F34137"/>
    <w:rsid w:val="00F35421"/>
    <w:rsid w:val="00F355CC"/>
    <w:rsid w:val="00F3663A"/>
    <w:rsid w:val="00F36714"/>
    <w:rsid w:val="00F36EDB"/>
    <w:rsid w:val="00F371D8"/>
    <w:rsid w:val="00F3731F"/>
    <w:rsid w:val="00F378C3"/>
    <w:rsid w:val="00F37B77"/>
    <w:rsid w:val="00F3A0F0"/>
    <w:rsid w:val="00F4005B"/>
    <w:rsid w:val="00F40508"/>
    <w:rsid w:val="00F40895"/>
    <w:rsid w:val="00F40D75"/>
    <w:rsid w:val="00F424C7"/>
    <w:rsid w:val="00F42529"/>
    <w:rsid w:val="00F427E0"/>
    <w:rsid w:val="00F43D93"/>
    <w:rsid w:val="00F43E2F"/>
    <w:rsid w:val="00F449B6"/>
    <w:rsid w:val="00F44A0C"/>
    <w:rsid w:val="00F44D32"/>
    <w:rsid w:val="00F44F07"/>
    <w:rsid w:val="00F45054"/>
    <w:rsid w:val="00F458B7"/>
    <w:rsid w:val="00F45A8D"/>
    <w:rsid w:val="00F45F2F"/>
    <w:rsid w:val="00F4619A"/>
    <w:rsid w:val="00F46661"/>
    <w:rsid w:val="00F46839"/>
    <w:rsid w:val="00F468E6"/>
    <w:rsid w:val="00F47A94"/>
    <w:rsid w:val="00F47B3A"/>
    <w:rsid w:val="00F47C1F"/>
    <w:rsid w:val="00F47F4B"/>
    <w:rsid w:val="00F47F5D"/>
    <w:rsid w:val="00F50151"/>
    <w:rsid w:val="00F5016A"/>
    <w:rsid w:val="00F5080A"/>
    <w:rsid w:val="00F5082B"/>
    <w:rsid w:val="00F50AFD"/>
    <w:rsid w:val="00F51133"/>
    <w:rsid w:val="00F515B0"/>
    <w:rsid w:val="00F51808"/>
    <w:rsid w:val="00F51A82"/>
    <w:rsid w:val="00F51DAA"/>
    <w:rsid w:val="00F5286E"/>
    <w:rsid w:val="00F5291A"/>
    <w:rsid w:val="00F52C08"/>
    <w:rsid w:val="00F52E50"/>
    <w:rsid w:val="00F5338C"/>
    <w:rsid w:val="00F537DB"/>
    <w:rsid w:val="00F53B02"/>
    <w:rsid w:val="00F53DBB"/>
    <w:rsid w:val="00F54712"/>
    <w:rsid w:val="00F54A6E"/>
    <w:rsid w:val="00F54FAD"/>
    <w:rsid w:val="00F55104"/>
    <w:rsid w:val="00F55995"/>
    <w:rsid w:val="00F55ECC"/>
    <w:rsid w:val="00F5623F"/>
    <w:rsid w:val="00F56475"/>
    <w:rsid w:val="00F566C4"/>
    <w:rsid w:val="00F574E8"/>
    <w:rsid w:val="00F57B94"/>
    <w:rsid w:val="00F57CFA"/>
    <w:rsid w:val="00F60CA2"/>
    <w:rsid w:val="00F60F30"/>
    <w:rsid w:val="00F613D8"/>
    <w:rsid w:val="00F61891"/>
    <w:rsid w:val="00F61E4F"/>
    <w:rsid w:val="00F61F11"/>
    <w:rsid w:val="00F6209D"/>
    <w:rsid w:val="00F620CE"/>
    <w:rsid w:val="00F6301D"/>
    <w:rsid w:val="00F636F8"/>
    <w:rsid w:val="00F637F4"/>
    <w:rsid w:val="00F63AAB"/>
    <w:rsid w:val="00F64413"/>
    <w:rsid w:val="00F65183"/>
    <w:rsid w:val="00F65338"/>
    <w:rsid w:val="00F6551B"/>
    <w:rsid w:val="00F65B35"/>
    <w:rsid w:val="00F65C37"/>
    <w:rsid w:val="00F6648D"/>
    <w:rsid w:val="00F66990"/>
    <w:rsid w:val="00F66B30"/>
    <w:rsid w:val="00F66BC4"/>
    <w:rsid w:val="00F66DB0"/>
    <w:rsid w:val="00F66F8E"/>
    <w:rsid w:val="00F6722B"/>
    <w:rsid w:val="00F67315"/>
    <w:rsid w:val="00F67606"/>
    <w:rsid w:val="00F67787"/>
    <w:rsid w:val="00F70098"/>
    <w:rsid w:val="00F70246"/>
    <w:rsid w:val="00F70475"/>
    <w:rsid w:val="00F70553"/>
    <w:rsid w:val="00F70558"/>
    <w:rsid w:val="00F70AF3"/>
    <w:rsid w:val="00F7158C"/>
    <w:rsid w:val="00F715CC"/>
    <w:rsid w:val="00F71A26"/>
    <w:rsid w:val="00F71EE9"/>
    <w:rsid w:val="00F7203B"/>
    <w:rsid w:val="00F72165"/>
    <w:rsid w:val="00F72177"/>
    <w:rsid w:val="00F7254D"/>
    <w:rsid w:val="00F72BE7"/>
    <w:rsid w:val="00F72D2A"/>
    <w:rsid w:val="00F73050"/>
    <w:rsid w:val="00F73319"/>
    <w:rsid w:val="00F73BA5"/>
    <w:rsid w:val="00F7509A"/>
    <w:rsid w:val="00F75541"/>
    <w:rsid w:val="00F75811"/>
    <w:rsid w:val="00F75CF2"/>
    <w:rsid w:val="00F7631A"/>
    <w:rsid w:val="00F76D02"/>
    <w:rsid w:val="00F77C8F"/>
    <w:rsid w:val="00F80570"/>
    <w:rsid w:val="00F80A7E"/>
    <w:rsid w:val="00F80C0C"/>
    <w:rsid w:val="00F80E5D"/>
    <w:rsid w:val="00F8146F"/>
    <w:rsid w:val="00F8187F"/>
    <w:rsid w:val="00F81D02"/>
    <w:rsid w:val="00F82132"/>
    <w:rsid w:val="00F826C0"/>
    <w:rsid w:val="00F82B4F"/>
    <w:rsid w:val="00F83088"/>
    <w:rsid w:val="00F831C0"/>
    <w:rsid w:val="00F834D6"/>
    <w:rsid w:val="00F837C9"/>
    <w:rsid w:val="00F83A3C"/>
    <w:rsid w:val="00F83A6D"/>
    <w:rsid w:val="00F83CA9"/>
    <w:rsid w:val="00F83ED0"/>
    <w:rsid w:val="00F841B0"/>
    <w:rsid w:val="00F84533"/>
    <w:rsid w:val="00F845BF"/>
    <w:rsid w:val="00F8468D"/>
    <w:rsid w:val="00F84897"/>
    <w:rsid w:val="00F84AD8"/>
    <w:rsid w:val="00F856FB"/>
    <w:rsid w:val="00F85B25"/>
    <w:rsid w:val="00F85D6E"/>
    <w:rsid w:val="00F85EBD"/>
    <w:rsid w:val="00F85FD1"/>
    <w:rsid w:val="00F86307"/>
    <w:rsid w:val="00F8677E"/>
    <w:rsid w:val="00F86972"/>
    <w:rsid w:val="00F86A48"/>
    <w:rsid w:val="00F86CC7"/>
    <w:rsid w:val="00F879D0"/>
    <w:rsid w:val="00F87FD6"/>
    <w:rsid w:val="00F90078"/>
    <w:rsid w:val="00F90E2E"/>
    <w:rsid w:val="00F91A44"/>
    <w:rsid w:val="00F923B7"/>
    <w:rsid w:val="00F923B8"/>
    <w:rsid w:val="00F93023"/>
    <w:rsid w:val="00F9304C"/>
    <w:rsid w:val="00F94147"/>
    <w:rsid w:val="00F94B35"/>
    <w:rsid w:val="00F94D3F"/>
    <w:rsid w:val="00F94D83"/>
    <w:rsid w:val="00F95397"/>
    <w:rsid w:val="00F958CE"/>
    <w:rsid w:val="00F95CC5"/>
    <w:rsid w:val="00F95DBB"/>
    <w:rsid w:val="00F95E49"/>
    <w:rsid w:val="00F96040"/>
    <w:rsid w:val="00F9608D"/>
    <w:rsid w:val="00F96220"/>
    <w:rsid w:val="00F96684"/>
    <w:rsid w:val="00F968DD"/>
    <w:rsid w:val="00F96C3B"/>
    <w:rsid w:val="00F96DE8"/>
    <w:rsid w:val="00F9716B"/>
    <w:rsid w:val="00F973B7"/>
    <w:rsid w:val="00F97AA8"/>
    <w:rsid w:val="00FA0418"/>
    <w:rsid w:val="00FA08D1"/>
    <w:rsid w:val="00FA0F27"/>
    <w:rsid w:val="00FA0F69"/>
    <w:rsid w:val="00FA10CE"/>
    <w:rsid w:val="00FA12EE"/>
    <w:rsid w:val="00FA1C2E"/>
    <w:rsid w:val="00FA2B67"/>
    <w:rsid w:val="00FA3018"/>
    <w:rsid w:val="00FA33FD"/>
    <w:rsid w:val="00FA395E"/>
    <w:rsid w:val="00FA396A"/>
    <w:rsid w:val="00FA3C1D"/>
    <w:rsid w:val="00FA3FBF"/>
    <w:rsid w:val="00FA43E7"/>
    <w:rsid w:val="00FA4694"/>
    <w:rsid w:val="00FA522C"/>
    <w:rsid w:val="00FA5355"/>
    <w:rsid w:val="00FA565A"/>
    <w:rsid w:val="00FA5754"/>
    <w:rsid w:val="00FA57CE"/>
    <w:rsid w:val="00FA5912"/>
    <w:rsid w:val="00FA5CCC"/>
    <w:rsid w:val="00FA602A"/>
    <w:rsid w:val="00FA60D8"/>
    <w:rsid w:val="00FA6285"/>
    <w:rsid w:val="00FA6361"/>
    <w:rsid w:val="00FA641D"/>
    <w:rsid w:val="00FA68E0"/>
    <w:rsid w:val="00FA6E1D"/>
    <w:rsid w:val="00FA6F64"/>
    <w:rsid w:val="00FB06BE"/>
    <w:rsid w:val="00FB06E1"/>
    <w:rsid w:val="00FB0A46"/>
    <w:rsid w:val="00FB0AF8"/>
    <w:rsid w:val="00FB0E97"/>
    <w:rsid w:val="00FB106F"/>
    <w:rsid w:val="00FB1525"/>
    <w:rsid w:val="00FB2393"/>
    <w:rsid w:val="00FB2431"/>
    <w:rsid w:val="00FB2C1C"/>
    <w:rsid w:val="00FB2D5B"/>
    <w:rsid w:val="00FB30EE"/>
    <w:rsid w:val="00FB4424"/>
    <w:rsid w:val="00FB48D5"/>
    <w:rsid w:val="00FB4978"/>
    <w:rsid w:val="00FB4C44"/>
    <w:rsid w:val="00FB4CFE"/>
    <w:rsid w:val="00FB5534"/>
    <w:rsid w:val="00FB5A2E"/>
    <w:rsid w:val="00FB5D8E"/>
    <w:rsid w:val="00FB64D2"/>
    <w:rsid w:val="00FB74FA"/>
    <w:rsid w:val="00FB7B67"/>
    <w:rsid w:val="00FBD78E"/>
    <w:rsid w:val="00FC0304"/>
    <w:rsid w:val="00FC0997"/>
    <w:rsid w:val="00FC0B4D"/>
    <w:rsid w:val="00FC0C2E"/>
    <w:rsid w:val="00FC11EC"/>
    <w:rsid w:val="00FC1401"/>
    <w:rsid w:val="00FC2A65"/>
    <w:rsid w:val="00FC36BD"/>
    <w:rsid w:val="00FC39AB"/>
    <w:rsid w:val="00FC4C5A"/>
    <w:rsid w:val="00FC4CD4"/>
    <w:rsid w:val="00FC5B34"/>
    <w:rsid w:val="00FC5EA7"/>
    <w:rsid w:val="00FC5FE4"/>
    <w:rsid w:val="00FC5FFC"/>
    <w:rsid w:val="00FC6223"/>
    <w:rsid w:val="00FC699F"/>
    <w:rsid w:val="00FC7470"/>
    <w:rsid w:val="00FC75BB"/>
    <w:rsid w:val="00FC771D"/>
    <w:rsid w:val="00FC78FD"/>
    <w:rsid w:val="00FC79F8"/>
    <w:rsid w:val="00FD04F2"/>
    <w:rsid w:val="00FD0959"/>
    <w:rsid w:val="00FD1427"/>
    <w:rsid w:val="00FD152A"/>
    <w:rsid w:val="00FD1628"/>
    <w:rsid w:val="00FD262C"/>
    <w:rsid w:val="00FD2885"/>
    <w:rsid w:val="00FD2A6F"/>
    <w:rsid w:val="00FD2C76"/>
    <w:rsid w:val="00FD2CF1"/>
    <w:rsid w:val="00FD2D15"/>
    <w:rsid w:val="00FD2D8F"/>
    <w:rsid w:val="00FD33D9"/>
    <w:rsid w:val="00FD363E"/>
    <w:rsid w:val="00FD36C5"/>
    <w:rsid w:val="00FD394A"/>
    <w:rsid w:val="00FD3A27"/>
    <w:rsid w:val="00FD3A9B"/>
    <w:rsid w:val="00FD3D22"/>
    <w:rsid w:val="00FD3F32"/>
    <w:rsid w:val="00FD4153"/>
    <w:rsid w:val="00FD474D"/>
    <w:rsid w:val="00FD48DB"/>
    <w:rsid w:val="00FD4FFD"/>
    <w:rsid w:val="00FD501F"/>
    <w:rsid w:val="00FD551B"/>
    <w:rsid w:val="00FD5A04"/>
    <w:rsid w:val="00FD6056"/>
    <w:rsid w:val="00FD614D"/>
    <w:rsid w:val="00FD6C55"/>
    <w:rsid w:val="00FD7215"/>
    <w:rsid w:val="00FD7523"/>
    <w:rsid w:val="00FD7773"/>
    <w:rsid w:val="00FD77B6"/>
    <w:rsid w:val="00FD792B"/>
    <w:rsid w:val="00FD795C"/>
    <w:rsid w:val="00FD7C66"/>
    <w:rsid w:val="00FD7CA2"/>
    <w:rsid w:val="00FE064D"/>
    <w:rsid w:val="00FE0656"/>
    <w:rsid w:val="00FE0C5C"/>
    <w:rsid w:val="00FE0C6E"/>
    <w:rsid w:val="00FE1201"/>
    <w:rsid w:val="00FE1430"/>
    <w:rsid w:val="00FE1D4D"/>
    <w:rsid w:val="00FE1D65"/>
    <w:rsid w:val="00FE1F5F"/>
    <w:rsid w:val="00FE2812"/>
    <w:rsid w:val="00FE2B16"/>
    <w:rsid w:val="00FE3EC8"/>
    <w:rsid w:val="00FE4031"/>
    <w:rsid w:val="00FE43A0"/>
    <w:rsid w:val="00FE4572"/>
    <w:rsid w:val="00FE45D8"/>
    <w:rsid w:val="00FE5481"/>
    <w:rsid w:val="00FE55F2"/>
    <w:rsid w:val="00FE65F7"/>
    <w:rsid w:val="00FE6B8A"/>
    <w:rsid w:val="00FE77B2"/>
    <w:rsid w:val="00FE7BF7"/>
    <w:rsid w:val="00FF03C5"/>
    <w:rsid w:val="00FF06E2"/>
    <w:rsid w:val="00FF0A1B"/>
    <w:rsid w:val="00FF0B61"/>
    <w:rsid w:val="00FF0C1E"/>
    <w:rsid w:val="00FF0CD3"/>
    <w:rsid w:val="00FF1122"/>
    <w:rsid w:val="00FF12C3"/>
    <w:rsid w:val="00FF16EF"/>
    <w:rsid w:val="00FF202B"/>
    <w:rsid w:val="00FF22EF"/>
    <w:rsid w:val="00FF267A"/>
    <w:rsid w:val="00FF3771"/>
    <w:rsid w:val="00FF3C3F"/>
    <w:rsid w:val="00FF3CC4"/>
    <w:rsid w:val="00FF428A"/>
    <w:rsid w:val="00FF45DD"/>
    <w:rsid w:val="00FF5365"/>
    <w:rsid w:val="00FF59D1"/>
    <w:rsid w:val="00FF5E86"/>
    <w:rsid w:val="00FF660E"/>
    <w:rsid w:val="00FF70FA"/>
    <w:rsid w:val="00FF78A4"/>
    <w:rsid w:val="00FF7AC8"/>
    <w:rsid w:val="00FF7C75"/>
    <w:rsid w:val="0111062C"/>
    <w:rsid w:val="011D7F97"/>
    <w:rsid w:val="013A305C"/>
    <w:rsid w:val="015788B6"/>
    <w:rsid w:val="017F5F5B"/>
    <w:rsid w:val="01856BD8"/>
    <w:rsid w:val="0191B608"/>
    <w:rsid w:val="0191D833"/>
    <w:rsid w:val="01B47912"/>
    <w:rsid w:val="01C3E685"/>
    <w:rsid w:val="01D3CE93"/>
    <w:rsid w:val="01DCF006"/>
    <w:rsid w:val="01E2B9DA"/>
    <w:rsid w:val="01E86251"/>
    <w:rsid w:val="01FB06BF"/>
    <w:rsid w:val="0202871C"/>
    <w:rsid w:val="021726F7"/>
    <w:rsid w:val="0227144F"/>
    <w:rsid w:val="024EA52D"/>
    <w:rsid w:val="025564AB"/>
    <w:rsid w:val="026C7D7A"/>
    <w:rsid w:val="02714145"/>
    <w:rsid w:val="0281E44D"/>
    <w:rsid w:val="0283594D"/>
    <w:rsid w:val="02923676"/>
    <w:rsid w:val="02ACEFA1"/>
    <w:rsid w:val="02C72A88"/>
    <w:rsid w:val="02CB3667"/>
    <w:rsid w:val="02DFA9A8"/>
    <w:rsid w:val="02F35917"/>
    <w:rsid w:val="02FD98EA"/>
    <w:rsid w:val="0301137F"/>
    <w:rsid w:val="0319B2EF"/>
    <w:rsid w:val="031A0E21"/>
    <w:rsid w:val="033A284E"/>
    <w:rsid w:val="034534D6"/>
    <w:rsid w:val="03609982"/>
    <w:rsid w:val="03C29EF4"/>
    <w:rsid w:val="03CC73A3"/>
    <w:rsid w:val="03DE88DD"/>
    <w:rsid w:val="04020005"/>
    <w:rsid w:val="04091AEE"/>
    <w:rsid w:val="04180671"/>
    <w:rsid w:val="0419AE79"/>
    <w:rsid w:val="042DE8B5"/>
    <w:rsid w:val="042EA242"/>
    <w:rsid w:val="04700937"/>
    <w:rsid w:val="04A56D3C"/>
    <w:rsid w:val="04A5F05E"/>
    <w:rsid w:val="04A7668A"/>
    <w:rsid w:val="04A7F700"/>
    <w:rsid w:val="04C0FD16"/>
    <w:rsid w:val="04D616AA"/>
    <w:rsid w:val="050720A0"/>
    <w:rsid w:val="051490C8"/>
    <w:rsid w:val="0549AECD"/>
    <w:rsid w:val="0562E931"/>
    <w:rsid w:val="05699C74"/>
    <w:rsid w:val="056A802C"/>
    <w:rsid w:val="05A7EDF5"/>
    <w:rsid w:val="05B9850F"/>
    <w:rsid w:val="05D95CEF"/>
    <w:rsid w:val="05E358A9"/>
    <w:rsid w:val="05E5D774"/>
    <w:rsid w:val="05FC7814"/>
    <w:rsid w:val="060F9C77"/>
    <w:rsid w:val="0610C665"/>
    <w:rsid w:val="06217C18"/>
    <w:rsid w:val="0634C91A"/>
    <w:rsid w:val="063B3431"/>
    <w:rsid w:val="065C8ECF"/>
    <w:rsid w:val="06642D69"/>
    <w:rsid w:val="06886D44"/>
    <w:rsid w:val="06A68F53"/>
    <w:rsid w:val="06B86853"/>
    <w:rsid w:val="06CCA8F4"/>
    <w:rsid w:val="06E2AE1A"/>
    <w:rsid w:val="06F32BFD"/>
    <w:rsid w:val="077A0B5D"/>
    <w:rsid w:val="07819DDE"/>
    <w:rsid w:val="0783B69C"/>
    <w:rsid w:val="07A196C1"/>
    <w:rsid w:val="07BAD467"/>
    <w:rsid w:val="07BEBF34"/>
    <w:rsid w:val="07C57075"/>
    <w:rsid w:val="07DA1D7E"/>
    <w:rsid w:val="07E1B0E4"/>
    <w:rsid w:val="07E1E03D"/>
    <w:rsid w:val="082088D0"/>
    <w:rsid w:val="08407500"/>
    <w:rsid w:val="0844E133"/>
    <w:rsid w:val="086A4FB4"/>
    <w:rsid w:val="08BD6446"/>
    <w:rsid w:val="08C4C236"/>
    <w:rsid w:val="08C675C7"/>
    <w:rsid w:val="08C98E83"/>
    <w:rsid w:val="08CDF9D4"/>
    <w:rsid w:val="08D7FD74"/>
    <w:rsid w:val="08F14AD1"/>
    <w:rsid w:val="092A84A7"/>
    <w:rsid w:val="093179CC"/>
    <w:rsid w:val="09591CDA"/>
    <w:rsid w:val="096CDA6E"/>
    <w:rsid w:val="096D7076"/>
    <w:rsid w:val="09946E39"/>
    <w:rsid w:val="0A126F94"/>
    <w:rsid w:val="0A153AAA"/>
    <w:rsid w:val="0A26016A"/>
    <w:rsid w:val="0A51ECE5"/>
    <w:rsid w:val="0A67FAA2"/>
    <w:rsid w:val="0A73CDD5"/>
    <w:rsid w:val="0A9B7081"/>
    <w:rsid w:val="0AC65C52"/>
    <w:rsid w:val="0AC91655"/>
    <w:rsid w:val="0AD7711B"/>
    <w:rsid w:val="0AE85B5A"/>
    <w:rsid w:val="0AF27529"/>
    <w:rsid w:val="0AFE717E"/>
    <w:rsid w:val="0B247A65"/>
    <w:rsid w:val="0B303E9A"/>
    <w:rsid w:val="0B5A474F"/>
    <w:rsid w:val="0B5E10FF"/>
    <w:rsid w:val="0B6521D7"/>
    <w:rsid w:val="0B81AD15"/>
    <w:rsid w:val="0BC3CA4C"/>
    <w:rsid w:val="0BC4FB41"/>
    <w:rsid w:val="0BE0C247"/>
    <w:rsid w:val="0C3286BF"/>
    <w:rsid w:val="0C361BEB"/>
    <w:rsid w:val="0C648DC8"/>
    <w:rsid w:val="0C72A2AC"/>
    <w:rsid w:val="0C9C161B"/>
    <w:rsid w:val="0CDB2BA5"/>
    <w:rsid w:val="0CE21CC1"/>
    <w:rsid w:val="0CEB3FAC"/>
    <w:rsid w:val="0CEF77F3"/>
    <w:rsid w:val="0D182AB9"/>
    <w:rsid w:val="0D27DAA8"/>
    <w:rsid w:val="0D2F41BF"/>
    <w:rsid w:val="0D317A97"/>
    <w:rsid w:val="0D33DB37"/>
    <w:rsid w:val="0D3E9A9A"/>
    <w:rsid w:val="0D4FCE23"/>
    <w:rsid w:val="0D5AD85E"/>
    <w:rsid w:val="0D63DE23"/>
    <w:rsid w:val="0D693480"/>
    <w:rsid w:val="0DE45839"/>
    <w:rsid w:val="0DF0CF24"/>
    <w:rsid w:val="0E0D8BC4"/>
    <w:rsid w:val="0E4524D6"/>
    <w:rsid w:val="0E6E905A"/>
    <w:rsid w:val="0EAA914D"/>
    <w:rsid w:val="0EC52508"/>
    <w:rsid w:val="0EE17963"/>
    <w:rsid w:val="0EEF7C32"/>
    <w:rsid w:val="0EF8E2DF"/>
    <w:rsid w:val="0F0FCCE4"/>
    <w:rsid w:val="0F1A3143"/>
    <w:rsid w:val="0F1E81C4"/>
    <w:rsid w:val="0F1EF38F"/>
    <w:rsid w:val="0F3FF6D8"/>
    <w:rsid w:val="0F544EF1"/>
    <w:rsid w:val="0FE33ED3"/>
    <w:rsid w:val="1003AFBD"/>
    <w:rsid w:val="1009AE4B"/>
    <w:rsid w:val="1014AD08"/>
    <w:rsid w:val="10950EDA"/>
    <w:rsid w:val="10C62AF0"/>
    <w:rsid w:val="10E3E301"/>
    <w:rsid w:val="10FB4112"/>
    <w:rsid w:val="11031C55"/>
    <w:rsid w:val="11137499"/>
    <w:rsid w:val="111E44E6"/>
    <w:rsid w:val="11589283"/>
    <w:rsid w:val="11A667C7"/>
    <w:rsid w:val="11D70DE3"/>
    <w:rsid w:val="11DBCC33"/>
    <w:rsid w:val="11DDBAAB"/>
    <w:rsid w:val="11EE2CC6"/>
    <w:rsid w:val="1224C651"/>
    <w:rsid w:val="123A3075"/>
    <w:rsid w:val="12403A0B"/>
    <w:rsid w:val="1240A1B2"/>
    <w:rsid w:val="1264F054"/>
    <w:rsid w:val="128B5611"/>
    <w:rsid w:val="12AED5A2"/>
    <w:rsid w:val="12B7C95C"/>
    <w:rsid w:val="12B8F41E"/>
    <w:rsid w:val="12C91586"/>
    <w:rsid w:val="12F425A9"/>
    <w:rsid w:val="13060DB2"/>
    <w:rsid w:val="13116A67"/>
    <w:rsid w:val="131B203B"/>
    <w:rsid w:val="132D7364"/>
    <w:rsid w:val="133624C0"/>
    <w:rsid w:val="133F11D5"/>
    <w:rsid w:val="133F6C4B"/>
    <w:rsid w:val="134FC15D"/>
    <w:rsid w:val="1358819B"/>
    <w:rsid w:val="1365D947"/>
    <w:rsid w:val="1371A7E0"/>
    <w:rsid w:val="1372AFD0"/>
    <w:rsid w:val="137A245C"/>
    <w:rsid w:val="139FA26F"/>
    <w:rsid w:val="13A005E9"/>
    <w:rsid w:val="13B7D018"/>
    <w:rsid w:val="140B81C1"/>
    <w:rsid w:val="14258291"/>
    <w:rsid w:val="145A10E0"/>
    <w:rsid w:val="146A72A9"/>
    <w:rsid w:val="14796880"/>
    <w:rsid w:val="147EF3CB"/>
    <w:rsid w:val="148E7F2E"/>
    <w:rsid w:val="14ADF651"/>
    <w:rsid w:val="14C3369C"/>
    <w:rsid w:val="14E374EB"/>
    <w:rsid w:val="14FF8A6B"/>
    <w:rsid w:val="1523248A"/>
    <w:rsid w:val="1526EFB4"/>
    <w:rsid w:val="152E057B"/>
    <w:rsid w:val="153B6C1A"/>
    <w:rsid w:val="159A567B"/>
    <w:rsid w:val="15A2C490"/>
    <w:rsid w:val="15A69D25"/>
    <w:rsid w:val="15B81565"/>
    <w:rsid w:val="15E9A9C2"/>
    <w:rsid w:val="160DCC54"/>
    <w:rsid w:val="1624059A"/>
    <w:rsid w:val="1628A872"/>
    <w:rsid w:val="16298AAB"/>
    <w:rsid w:val="16517AAF"/>
    <w:rsid w:val="1652F62A"/>
    <w:rsid w:val="16542AC9"/>
    <w:rsid w:val="1655C0E5"/>
    <w:rsid w:val="165E8C2B"/>
    <w:rsid w:val="1674A0DE"/>
    <w:rsid w:val="167DD890"/>
    <w:rsid w:val="16A18DED"/>
    <w:rsid w:val="16A5DD1E"/>
    <w:rsid w:val="16A948A2"/>
    <w:rsid w:val="16AA83E6"/>
    <w:rsid w:val="16F5D845"/>
    <w:rsid w:val="16F83774"/>
    <w:rsid w:val="16FE945B"/>
    <w:rsid w:val="171066AA"/>
    <w:rsid w:val="175BFCA2"/>
    <w:rsid w:val="1767DB2F"/>
    <w:rsid w:val="1775EE5B"/>
    <w:rsid w:val="1780B209"/>
    <w:rsid w:val="17884A6A"/>
    <w:rsid w:val="178891FA"/>
    <w:rsid w:val="179FAD6A"/>
    <w:rsid w:val="17D86610"/>
    <w:rsid w:val="17DCBAA7"/>
    <w:rsid w:val="17DF14B3"/>
    <w:rsid w:val="17E3ED4F"/>
    <w:rsid w:val="17EECD26"/>
    <w:rsid w:val="17F68209"/>
    <w:rsid w:val="17FCCA2D"/>
    <w:rsid w:val="181D50F5"/>
    <w:rsid w:val="18422C9B"/>
    <w:rsid w:val="18716A36"/>
    <w:rsid w:val="18CF933C"/>
    <w:rsid w:val="18D38C78"/>
    <w:rsid w:val="18D95823"/>
    <w:rsid w:val="18E4FCB4"/>
    <w:rsid w:val="18E56BBC"/>
    <w:rsid w:val="18F2D014"/>
    <w:rsid w:val="1913FF78"/>
    <w:rsid w:val="19185EDA"/>
    <w:rsid w:val="192EA715"/>
    <w:rsid w:val="193CA303"/>
    <w:rsid w:val="193E137F"/>
    <w:rsid w:val="194B9E61"/>
    <w:rsid w:val="1953C55E"/>
    <w:rsid w:val="195998B4"/>
    <w:rsid w:val="1970A9D4"/>
    <w:rsid w:val="1974D42B"/>
    <w:rsid w:val="197560CF"/>
    <w:rsid w:val="19790F7E"/>
    <w:rsid w:val="1980ABEB"/>
    <w:rsid w:val="1980AC43"/>
    <w:rsid w:val="19948970"/>
    <w:rsid w:val="19E5F00D"/>
    <w:rsid w:val="19F180C0"/>
    <w:rsid w:val="19FA0156"/>
    <w:rsid w:val="1A25AC30"/>
    <w:rsid w:val="1A30B389"/>
    <w:rsid w:val="1A4779F1"/>
    <w:rsid w:val="1A67A8E1"/>
    <w:rsid w:val="1A841C92"/>
    <w:rsid w:val="1A8F91A5"/>
    <w:rsid w:val="1A9C1551"/>
    <w:rsid w:val="1B1088BE"/>
    <w:rsid w:val="1B22C391"/>
    <w:rsid w:val="1B518547"/>
    <w:rsid w:val="1B51DD2C"/>
    <w:rsid w:val="1B6E581E"/>
    <w:rsid w:val="1B7758C6"/>
    <w:rsid w:val="1B7F9EB8"/>
    <w:rsid w:val="1B8E1317"/>
    <w:rsid w:val="1C2756E9"/>
    <w:rsid w:val="1C35F255"/>
    <w:rsid w:val="1C3C0CA8"/>
    <w:rsid w:val="1C6158DC"/>
    <w:rsid w:val="1C6B3202"/>
    <w:rsid w:val="1C70DD53"/>
    <w:rsid w:val="1CA1F419"/>
    <w:rsid w:val="1CB9A820"/>
    <w:rsid w:val="1CCA68D5"/>
    <w:rsid w:val="1CE3D739"/>
    <w:rsid w:val="1CEA204B"/>
    <w:rsid w:val="1CFFF92D"/>
    <w:rsid w:val="1D2C7AD8"/>
    <w:rsid w:val="1D31F150"/>
    <w:rsid w:val="1D592A31"/>
    <w:rsid w:val="1D5D335A"/>
    <w:rsid w:val="1D63EC28"/>
    <w:rsid w:val="1D6E6E53"/>
    <w:rsid w:val="1D70267F"/>
    <w:rsid w:val="1D7F03EA"/>
    <w:rsid w:val="1D82EEE7"/>
    <w:rsid w:val="1DB38169"/>
    <w:rsid w:val="1DB8DCDF"/>
    <w:rsid w:val="1DF4E55C"/>
    <w:rsid w:val="1DFC9088"/>
    <w:rsid w:val="1E00BD23"/>
    <w:rsid w:val="1E4C7342"/>
    <w:rsid w:val="1E5644F4"/>
    <w:rsid w:val="1EB13FD9"/>
    <w:rsid w:val="1EDD8F62"/>
    <w:rsid w:val="1EEC2E3D"/>
    <w:rsid w:val="1EFF8B20"/>
    <w:rsid w:val="1F19B821"/>
    <w:rsid w:val="1F2294A2"/>
    <w:rsid w:val="1F770E71"/>
    <w:rsid w:val="1F89977C"/>
    <w:rsid w:val="1F90B5BD"/>
    <w:rsid w:val="1F95A22E"/>
    <w:rsid w:val="1F979D0A"/>
    <w:rsid w:val="1F9F8218"/>
    <w:rsid w:val="1FB343D8"/>
    <w:rsid w:val="1FC18BA5"/>
    <w:rsid w:val="1FCB714D"/>
    <w:rsid w:val="1FCEE598"/>
    <w:rsid w:val="1FD5F8CF"/>
    <w:rsid w:val="1FDF35CC"/>
    <w:rsid w:val="2037028B"/>
    <w:rsid w:val="203A5030"/>
    <w:rsid w:val="203A77B5"/>
    <w:rsid w:val="2063A9AC"/>
    <w:rsid w:val="20796CE2"/>
    <w:rsid w:val="207A67FB"/>
    <w:rsid w:val="209C0C7B"/>
    <w:rsid w:val="20A3B0C0"/>
    <w:rsid w:val="20B66A81"/>
    <w:rsid w:val="20C6D644"/>
    <w:rsid w:val="20D22241"/>
    <w:rsid w:val="20EC04BB"/>
    <w:rsid w:val="20F07DA1"/>
    <w:rsid w:val="20F39E04"/>
    <w:rsid w:val="21005886"/>
    <w:rsid w:val="210EFA48"/>
    <w:rsid w:val="213ED8EE"/>
    <w:rsid w:val="215F4759"/>
    <w:rsid w:val="216EA5D4"/>
    <w:rsid w:val="2176818F"/>
    <w:rsid w:val="2186978D"/>
    <w:rsid w:val="21938416"/>
    <w:rsid w:val="21ABE286"/>
    <w:rsid w:val="21D306B0"/>
    <w:rsid w:val="21F8FD54"/>
    <w:rsid w:val="21FEAAC9"/>
    <w:rsid w:val="220169FA"/>
    <w:rsid w:val="224E0A16"/>
    <w:rsid w:val="22535E28"/>
    <w:rsid w:val="22674BED"/>
    <w:rsid w:val="229F291E"/>
    <w:rsid w:val="22A7D939"/>
    <w:rsid w:val="22A8DDA9"/>
    <w:rsid w:val="22BC8EA2"/>
    <w:rsid w:val="22C1FFBF"/>
    <w:rsid w:val="22E87B54"/>
    <w:rsid w:val="22FB312F"/>
    <w:rsid w:val="23140B09"/>
    <w:rsid w:val="2318ABDF"/>
    <w:rsid w:val="231F1982"/>
    <w:rsid w:val="231FBAF9"/>
    <w:rsid w:val="2320AF02"/>
    <w:rsid w:val="232267EE"/>
    <w:rsid w:val="232C77B5"/>
    <w:rsid w:val="232FD594"/>
    <w:rsid w:val="2338F0E5"/>
    <w:rsid w:val="233AFA0C"/>
    <w:rsid w:val="233E91C5"/>
    <w:rsid w:val="23520827"/>
    <w:rsid w:val="2387C5E2"/>
    <w:rsid w:val="2388C677"/>
    <w:rsid w:val="2389D72F"/>
    <w:rsid w:val="238B9A97"/>
    <w:rsid w:val="23A7D0CB"/>
    <w:rsid w:val="23C18B75"/>
    <w:rsid w:val="23CEAF4E"/>
    <w:rsid w:val="24047B14"/>
    <w:rsid w:val="240F898A"/>
    <w:rsid w:val="2411CC14"/>
    <w:rsid w:val="242CF7A3"/>
    <w:rsid w:val="2431317F"/>
    <w:rsid w:val="2445A09C"/>
    <w:rsid w:val="244A605D"/>
    <w:rsid w:val="2455DBD6"/>
    <w:rsid w:val="2461EC64"/>
    <w:rsid w:val="247A3D97"/>
    <w:rsid w:val="2489548B"/>
    <w:rsid w:val="24900C0A"/>
    <w:rsid w:val="249A62BF"/>
    <w:rsid w:val="24AE4495"/>
    <w:rsid w:val="24B47608"/>
    <w:rsid w:val="24C27E85"/>
    <w:rsid w:val="24D64C5D"/>
    <w:rsid w:val="24F27D09"/>
    <w:rsid w:val="2512E7D4"/>
    <w:rsid w:val="2527B128"/>
    <w:rsid w:val="255E9334"/>
    <w:rsid w:val="25611A97"/>
    <w:rsid w:val="258A15CF"/>
    <w:rsid w:val="25C2E5F3"/>
    <w:rsid w:val="25D2BBD7"/>
    <w:rsid w:val="25E22930"/>
    <w:rsid w:val="2600D355"/>
    <w:rsid w:val="265E0704"/>
    <w:rsid w:val="2667CF5C"/>
    <w:rsid w:val="26786FE6"/>
    <w:rsid w:val="26873A3D"/>
    <w:rsid w:val="268753E2"/>
    <w:rsid w:val="269C0713"/>
    <w:rsid w:val="26C19669"/>
    <w:rsid w:val="26CD2D8D"/>
    <w:rsid w:val="26E81E52"/>
    <w:rsid w:val="26F04C91"/>
    <w:rsid w:val="272FC4DA"/>
    <w:rsid w:val="27496CD6"/>
    <w:rsid w:val="278290FA"/>
    <w:rsid w:val="2783CCFC"/>
    <w:rsid w:val="27AD8207"/>
    <w:rsid w:val="27C97AFD"/>
    <w:rsid w:val="27D5E369"/>
    <w:rsid w:val="282C6CE8"/>
    <w:rsid w:val="282FDEC9"/>
    <w:rsid w:val="2834207E"/>
    <w:rsid w:val="28426683"/>
    <w:rsid w:val="28430F3D"/>
    <w:rsid w:val="284F98F1"/>
    <w:rsid w:val="2866C2D8"/>
    <w:rsid w:val="286B2024"/>
    <w:rsid w:val="2881F37A"/>
    <w:rsid w:val="2885D738"/>
    <w:rsid w:val="28A1F174"/>
    <w:rsid w:val="28AE48F7"/>
    <w:rsid w:val="28CED185"/>
    <w:rsid w:val="296EA6E4"/>
    <w:rsid w:val="2971B3CA"/>
    <w:rsid w:val="2976A796"/>
    <w:rsid w:val="2992B38B"/>
    <w:rsid w:val="29F7F0D4"/>
    <w:rsid w:val="2A0002A4"/>
    <w:rsid w:val="2A02BBDF"/>
    <w:rsid w:val="2A154045"/>
    <w:rsid w:val="2A44B2FD"/>
    <w:rsid w:val="2A51B5BC"/>
    <w:rsid w:val="2A76F784"/>
    <w:rsid w:val="2A7736E3"/>
    <w:rsid w:val="2A838DD3"/>
    <w:rsid w:val="2AC03D70"/>
    <w:rsid w:val="2B3569AB"/>
    <w:rsid w:val="2B386E1F"/>
    <w:rsid w:val="2B39359A"/>
    <w:rsid w:val="2B4C4D41"/>
    <w:rsid w:val="2B622F45"/>
    <w:rsid w:val="2B7D9E2F"/>
    <w:rsid w:val="2B9458F6"/>
    <w:rsid w:val="2B9BD305"/>
    <w:rsid w:val="2B9C023A"/>
    <w:rsid w:val="2BB23555"/>
    <w:rsid w:val="2BCA689E"/>
    <w:rsid w:val="2BFBEA99"/>
    <w:rsid w:val="2C0AC84F"/>
    <w:rsid w:val="2C123C2F"/>
    <w:rsid w:val="2C1C4462"/>
    <w:rsid w:val="2C1D5113"/>
    <w:rsid w:val="2C3C306C"/>
    <w:rsid w:val="2C6B2D06"/>
    <w:rsid w:val="2C8702FE"/>
    <w:rsid w:val="2CA47BBE"/>
    <w:rsid w:val="2CB624AC"/>
    <w:rsid w:val="2CE0BEDE"/>
    <w:rsid w:val="2CE75359"/>
    <w:rsid w:val="2CF86371"/>
    <w:rsid w:val="2D138F6D"/>
    <w:rsid w:val="2D24B937"/>
    <w:rsid w:val="2D49F259"/>
    <w:rsid w:val="2D4D319E"/>
    <w:rsid w:val="2D644587"/>
    <w:rsid w:val="2D751255"/>
    <w:rsid w:val="2DA6CDD5"/>
    <w:rsid w:val="2E0E04DD"/>
    <w:rsid w:val="2E22BAA0"/>
    <w:rsid w:val="2E342764"/>
    <w:rsid w:val="2E3AFD38"/>
    <w:rsid w:val="2E4A3BDE"/>
    <w:rsid w:val="2E50E14A"/>
    <w:rsid w:val="2E70168F"/>
    <w:rsid w:val="2E9E2A66"/>
    <w:rsid w:val="2EA04CC0"/>
    <w:rsid w:val="2EB7141C"/>
    <w:rsid w:val="2ECA3F7D"/>
    <w:rsid w:val="2EE18744"/>
    <w:rsid w:val="2EED0127"/>
    <w:rsid w:val="2EF84ED6"/>
    <w:rsid w:val="2F043AB6"/>
    <w:rsid w:val="2F195520"/>
    <w:rsid w:val="2F1DDE67"/>
    <w:rsid w:val="2F455F03"/>
    <w:rsid w:val="2F493D79"/>
    <w:rsid w:val="2F5B0A13"/>
    <w:rsid w:val="2F674043"/>
    <w:rsid w:val="2F7A7B8A"/>
    <w:rsid w:val="2F83A14D"/>
    <w:rsid w:val="2F95EE06"/>
    <w:rsid w:val="2F967D47"/>
    <w:rsid w:val="2FBDDAB6"/>
    <w:rsid w:val="2FE735D7"/>
    <w:rsid w:val="3007A636"/>
    <w:rsid w:val="30398A1F"/>
    <w:rsid w:val="304841AE"/>
    <w:rsid w:val="304FB60B"/>
    <w:rsid w:val="305F9CFD"/>
    <w:rsid w:val="308DDEA0"/>
    <w:rsid w:val="30A72FA1"/>
    <w:rsid w:val="30E2BA7B"/>
    <w:rsid w:val="30EFBB2A"/>
    <w:rsid w:val="30F09B53"/>
    <w:rsid w:val="312C7D42"/>
    <w:rsid w:val="3133B4FF"/>
    <w:rsid w:val="314D239B"/>
    <w:rsid w:val="319BAAED"/>
    <w:rsid w:val="31A4C30F"/>
    <w:rsid w:val="31A95313"/>
    <w:rsid w:val="31A965F5"/>
    <w:rsid w:val="31B32709"/>
    <w:rsid w:val="31F11800"/>
    <w:rsid w:val="321A9283"/>
    <w:rsid w:val="321EBA0A"/>
    <w:rsid w:val="3241DE84"/>
    <w:rsid w:val="3242DB4F"/>
    <w:rsid w:val="3255CA69"/>
    <w:rsid w:val="325A2087"/>
    <w:rsid w:val="32738E2B"/>
    <w:rsid w:val="32C537FD"/>
    <w:rsid w:val="32E1AF8F"/>
    <w:rsid w:val="32EBC3A9"/>
    <w:rsid w:val="3305C55D"/>
    <w:rsid w:val="3308F5EA"/>
    <w:rsid w:val="33094E55"/>
    <w:rsid w:val="333FA8E5"/>
    <w:rsid w:val="334B7F65"/>
    <w:rsid w:val="33A3B692"/>
    <w:rsid w:val="33A8F603"/>
    <w:rsid w:val="33AF43F1"/>
    <w:rsid w:val="33BF3EB0"/>
    <w:rsid w:val="33C47350"/>
    <w:rsid w:val="33F92C50"/>
    <w:rsid w:val="3436BA00"/>
    <w:rsid w:val="3446B2D5"/>
    <w:rsid w:val="345594B8"/>
    <w:rsid w:val="34BBD20B"/>
    <w:rsid w:val="34CA4224"/>
    <w:rsid w:val="34D0F38F"/>
    <w:rsid w:val="34E57A4A"/>
    <w:rsid w:val="3512AACA"/>
    <w:rsid w:val="3512B5C4"/>
    <w:rsid w:val="3520DC68"/>
    <w:rsid w:val="35221BA5"/>
    <w:rsid w:val="3527BE09"/>
    <w:rsid w:val="354B690B"/>
    <w:rsid w:val="354D4E4C"/>
    <w:rsid w:val="35556F00"/>
    <w:rsid w:val="359AD84E"/>
    <w:rsid w:val="359E5863"/>
    <w:rsid w:val="35A564A1"/>
    <w:rsid w:val="35C5883F"/>
    <w:rsid w:val="35CC4BDB"/>
    <w:rsid w:val="35DFD697"/>
    <w:rsid w:val="36122D14"/>
    <w:rsid w:val="3660D62D"/>
    <w:rsid w:val="36875F02"/>
    <w:rsid w:val="36CB58B3"/>
    <w:rsid w:val="36F52798"/>
    <w:rsid w:val="3707A382"/>
    <w:rsid w:val="370FE0CC"/>
    <w:rsid w:val="37439684"/>
    <w:rsid w:val="37462478"/>
    <w:rsid w:val="376EEB82"/>
    <w:rsid w:val="377421BD"/>
    <w:rsid w:val="37861DB6"/>
    <w:rsid w:val="37923B26"/>
    <w:rsid w:val="3795E008"/>
    <w:rsid w:val="37AD8A7C"/>
    <w:rsid w:val="37CEFC75"/>
    <w:rsid w:val="37E50B7A"/>
    <w:rsid w:val="381342DD"/>
    <w:rsid w:val="3816A490"/>
    <w:rsid w:val="3820E77D"/>
    <w:rsid w:val="383B435E"/>
    <w:rsid w:val="383B67EB"/>
    <w:rsid w:val="38586B0B"/>
    <w:rsid w:val="3898105F"/>
    <w:rsid w:val="38C8F9CC"/>
    <w:rsid w:val="3917E2DB"/>
    <w:rsid w:val="39244250"/>
    <w:rsid w:val="3927693B"/>
    <w:rsid w:val="39416D67"/>
    <w:rsid w:val="394CF5FA"/>
    <w:rsid w:val="39604343"/>
    <w:rsid w:val="399D024B"/>
    <w:rsid w:val="39BAFA3C"/>
    <w:rsid w:val="39C3C3DB"/>
    <w:rsid w:val="39CAD665"/>
    <w:rsid w:val="39CFB5EA"/>
    <w:rsid w:val="39E17EC4"/>
    <w:rsid w:val="3A015BA9"/>
    <w:rsid w:val="3A1621DF"/>
    <w:rsid w:val="3A2AAD0D"/>
    <w:rsid w:val="3A2F6D89"/>
    <w:rsid w:val="3A32B606"/>
    <w:rsid w:val="3A499BE8"/>
    <w:rsid w:val="3A4E7551"/>
    <w:rsid w:val="3A51BF83"/>
    <w:rsid w:val="3A580CA5"/>
    <w:rsid w:val="3A59303A"/>
    <w:rsid w:val="3A5BA809"/>
    <w:rsid w:val="3A7BDE2B"/>
    <w:rsid w:val="3A8DA517"/>
    <w:rsid w:val="3AA664A1"/>
    <w:rsid w:val="3AD35F88"/>
    <w:rsid w:val="3AF623CE"/>
    <w:rsid w:val="3B0D8A7C"/>
    <w:rsid w:val="3B2380BA"/>
    <w:rsid w:val="3B2E3955"/>
    <w:rsid w:val="3B359F24"/>
    <w:rsid w:val="3B3F7F17"/>
    <w:rsid w:val="3B61E034"/>
    <w:rsid w:val="3B62A37D"/>
    <w:rsid w:val="3BB5C928"/>
    <w:rsid w:val="3BC1EC48"/>
    <w:rsid w:val="3BC68B5F"/>
    <w:rsid w:val="3BC80412"/>
    <w:rsid w:val="3C0C93A0"/>
    <w:rsid w:val="3C0E4479"/>
    <w:rsid w:val="3C12DEBE"/>
    <w:rsid w:val="3C553214"/>
    <w:rsid w:val="3C570740"/>
    <w:rsid w:val="3C8E4281"/>
    <w:rsid w:val="3C9A46B5"/>
    <w:rsid w:val="3C9AD320"/>
    <w:rsid w:val="3CA89834"/>
    <w:rsid w:val="3CD64716"/>
    <w:rsid w:val="3D115A92"/>
    <w:rsid w:val="3D1C6A5B"/>
    <w:rsid w:val="3D2064EB"/>
    <w:rsid w:val="3D42B8CA"/>
    <w:rsid w:val="3D6794E5"/>
    <w:rsid w:val="3D861571"/>
    <w:rsid w:val="3D88B834"/>
    <w:rsid w:val="3D9519B6"/>
    <w:rsid w:val="3D9D929F"/>
    <w:rsid w:val="3DA3B916"/>
    <w:rsid w:val="3DA9BC8D"/>
    <w:rsid w:val="3DB7698A"/>
    <w:rsid w:val="3DFBF201"/>
    <w:rsid w:val="3E1A6384"/>
    <w:rsid w:val="3E2D7EC0"/>
    <w:rsid w:val="3E319127"/>
    <w:rsid w:val="3E3BA9B7"/>
    <w:rsid w:val="3E3BCEC3"/>
    <w:rsid w:val="3E45A9EA"/>
    <w:rsid w:val="3E58DA20"/>
    <w:rsid w:val="3E7624CF"/>
    <w:rsid w:val="3E8298E1"/>
    <w:rsid w:val="3E920A58"/>
    <w:rsid w:val="3EB61C1F"/>
    <w:rsid w:val="3EC38A22"/>
    <w:rsid w:val="3EF85861"/>
    <w:rsid w:val="3F1E62E6"/>
    <w:rsid w:val="3F363483"/>
    <w:rsid w:val="3F397FFA"/>
    <w:rsid w:val="3F3B7A5C"/>
    <w:rsid w:val="3F6658DE"/>
    <w:rsid w:val="3F8FDEAD"/>
    <w:rsid w:val="3F96749D"/>
    <w:rsid w:val="3FB73283"/>
    <w:rsid w:val="3FCAC43A"/>
    <w:rsid w:val="3FE684F4"/>
    <w:rsid w:val="4016F59B"/>
    <w:rsid w:val="4037BBA9"/>
    <w:rsid w:val="4037EC1B"/>
    <w:rsid w:val="4045896E"/>
    <w:rsid w:val="4058C43E"/>
    <w:rsid w:val="40674721"/>
    <w:rsid w:val="40803E96"/>
    <w:rsid w:val="4083EC4F"/>
    <w:rsid w:val="4088FE2B"/>
    <w:rsid w:val="4092EC01"/>
    <w:rsid w:val="409B946F"/>
    <w:rsid w:val="40AFFA71"/>
    <w:rsid w:val="40B2D45C"/>
    <w:rsid w:val="40B855E7"/>
    <w:rsid w:val="40E111C4"/>
    <w:rsid w:val="40E7E70F"/>
    <w:rsid w:val="40F7A183"/>
    <w:rsid w:val="40FA85AC"/>
    <w:rsid w:val="4117B82A"/>
    <w:rsid w:val="41264E4F"/>
    <w:rsid w:val="413B49DE"/>
    <w:rsid w:val="4182457B"/>
    <w:rsid w:val="41863DF3"/>
    <w:rsid w:val="41906429"/>
    <w:rsid w:val="4191A367"/>
    <w:rsid w:val="41C2BE4E"/>
    <w:rsid w:val="41D9F098"/>
    <w:rsid w:val="41E3E5C1"/>
    <w:rsid w:val="4254596D"/>
    <w:rsid w:val="4255D454"/>
    <w:rsid w:val="427B155F"/>
    <w:rsid w:val="42949F12"/>
    <w:rsid w:val="42A6D3C3"/>
    <w:rsid w:val="42D6F071"/>
    <w:rsid w:val="43040D6F"/>
    <w:rsid w:val="4321E426"/>
    <w:rsid w:val="432A914C"/>
    <w:rsid w:val="43337CD7"/>
    <w:rsid w:val="43657B7B"/>
    <w:rsid w:val="4369B77E"/>
    <w:rsid w:val="43719C9B"/>
    <w:rsid w:val="43855CA3"/>
    <w:rsid w:val="43860818"/>
    <w:rsid w:val="43A86861"/>
    <w:rsid w:val="43C07691"/>
    <w:rsid w:val="43D8E3BE"/>
    <w:rsid w:val="4412FBA9"/>
    <w:rsid w:val="44263EF1"/>
    <w:rsid w:val="4436590C"/>
    <w:rsid w:val="44558484"/>
    <w:rsid w:val="445D77D2"/>
    <w:rsid w:val="4464C79C"/>
    <w:rsid w:val="44884AF5"/>
    <w:rsid w:val="4497E0D4"/>
    <w:rsid w:val="44C6D452"/>
    <w:rsid w:val="44DF1912"/>
    <w:rsid w:val="44EF6AC2"/>
    <w:rsid w:val="45109F09"/>
    <w:rsid w:val="45134AC4"/>
    <w:rsid w:val="451DC5B6"/>
    <w:rsid w:val="4521D879"/>
    <w:rsid w:val="4568BDB3"/>
    <w:rsid w:val="457C909E"/>
    <w:rsid w:val="45831185"/>
    <w:rsid w:val="4589545A"/>
    <w:rsid w:val="4591FFD7"/>
    <w:rsid w:val="45A57607"/>
    <w:rsid w:val="45C69A19"/>
    <w:rsid w:val="46012402"/>
    <w:rsid w:val="4613E58E"/>
    <w:rsid w:val="462B311C"/>
    <w:rsid w:val="467F6005"/>
    <w:rsid w:val="46850A17"/>
    <w:rsid w:val="4692824A"/>
    <w:rsid w:val="469443CC"/>
    <w:rsid w:val="46A4DB52"/>
    <w:rsid w:val="46AB4506"/>
    <w:rsid w:val="46BA2A7E"/>
    <w:rsid w:val="46BB4128"/>
    <w:rsid w:val="46BE4875"/>
    <w:rsid w:val="46C37300"/>
    <w:rsid w:val="46C8D2E8"/>
    <w:rsid w:val="46CED54D"/>
    <w:rsid w:val="470CAE9E"/>
    <w:rsid w:val="473AAD6A"/>
    <w:rsid w:val="4770315D"/>
    <w:rsid w:val="477E5FFC"/>
    <w:rsid w:val="478C810C"/>
    <w:rsid w:val="47900417"/>
    <w:rsid w:val="47D0ABC2"/>
    <w:rsid w:val="47FA0BFD"/>
    <w:rsid w:val="48012197"/>
    <w:rsid w:val="480552CA"/>
    <w:rsid w:val="480CF9D2"/>
    <w:rsid w:val="480E1330"/>
    <w:rsid w:val="48104F8F"/>
    <w:rsid w:val="48321AD8"/>
    <w:rsid w:val="483FD6A8"/>
    <w:rsid w:val="48463452"/>
    <w:rsid w:val="4853C360"/>
    <w:rsid w:val="48725112"/>
    <w:rsid w:val="4878D940"/>
    <w:rsid w:val="487A8301"/>
    <w:rsid w:val="488EBF27"/>
    <w:rsid w:val="48998B73"/>
    <w:rsid w:val="48ABED38"/>
    <w:rsid w:val="48F2C5BA"/>
    <w:rsid w:val="49206455"/>
    <w:rsid w:val="493A0E10"/>
    <w:rsid w:val="4946C943"/>
    <w:rsid w:val="4976586C"/>
    <w:rsid w:val="49A5519F"/>
    <w:rsid w:val="49ABF870"/>
    <w:rsid w:val="49D0F840"/>
    <w:rsid w:val="49DF8790"/>
    <w:rsid w:val="49FF770C"/>
    <w:rsid w:val="4A081E8F"/>
    <w:rsid w:val="4A190C56"/>
    <w:rsid w:val="4A35AEC0"/>
    <w:rsid w:val="4A3D3AC8"/>
    <w:rsid w:val="4A430DD2"/>
    <w:rsid w:val="4A53B899"/>
    <w:rsid w:val="4A77DAC1"/>
    <w:rsid w:val="4A897D50"/>
    <w:rsid w:val="4A982AFB"/>
    <w:rsid w:val="4A9865F3"/>
    <w:rsid w:val="4A9A5449"/>
    <w:rsid w:val="4AA15ADA"/>
    <w:rsid w:val="4ABC34B6"/>
    <w:rsid w:val="4AC12804"/>
    <w:rsid w:val="4AD4D98F"/>
    <w:rsid w:val="4AE1F15C"/>
    <w:rsid w:val="4AFEDC0D"/>
    <w:rsid w:val="4B084CAB"/>
    <w:rsid w:val="4B0F495F"/>
    <w:rsid w:val="4B1BC998"/>
    <w:rsid w:val="4B1BE1A4"/>
    <w:rsid w:val="4B55EAB4"/>
    <w:rsid w:val="4B5A278A"/>
    <w:rsid w:val="4B6C58E7"/>
    <w:rsid w:val="4B6FE6A0"/>
    <w:rsid w:val="4BB09E06"/>
    <w:rsid w:val="4BB4D5E6"/>
    <w:rsid w:val="4BBF4E87"/>
    <w:rsid w:val="4BE4B892"/>
    <w:rsid w:val="4BE91F61"/>
    <w:rsid w:val="4BE9F796"/>
    <w:rsid w:val="4BFA006C"/>
    <w:rsid w:val="4C0DC566"/>
    <w:rsid w:val="4C2427B7"/>
    <w:rsid w:val="4C28DDAE"/>
    <w:rsid w:val="4C32A480"/>
    <w:rsid w:val="4C48A502"/>
    <w:rsid w:val="4C510C3C"/>
    <w:rsid w:val="4C54ACEC"/>
    <w:rsid w:val="4C5F7485"/>
    <w:rsid w:val="4C64E795"/>
    <w:rsid w:val="4C6B0D9A"/>
    <w:rsid w:val="4C88B8A6"/>
    <w:rsid w:val="4CBAD664"/>
    <w:rsid w:val="4CD6A286"/>
    <w:rsid w:val="4CEBC357"/>
    <w:rsid w:val="4D16478C"/>
    <w:rsid w:val="4D7F5D40"/>
    <w:rsid w:val="4D8808E5"/>
    <w:rsid w:val="4D8E543F"/>
    <w:rsid w:val="4D9BD753"/>
    <w:rsid w:val="4DB08174"/>
    <w:rsid w:val="4DD38145"/>
    <w:rsid w:val="4DE7C151"/>
    <w:rsid w:val="4E5E504D"/>
    <w:rsid w:val="4E6BB551"/>
    <w:rsid w:val="4E9AE328"/>
    <w:rsid w:val="4EBFC2E8"/>
    <w:rsid w:val="4EDF7695"/>
    <w:rsid w:val="4EE16372"/>
    <w:rsid w:val="4EE81AC4"/>
    <w:rsid w:val="4EF0EF18"/>
    <w:rsid w:val="4F01908F"/>
    <w:rsid w:val="4F11F925"/>
    <w:rsid w:val="4F3221C8"/>
    <w:rsid w:val="4F355487"/>
    <w:rsid w:val="4F487210"/>
    <w:rsid w:val="4F5424E5"/>
    <w:rsid w:val="4F72D820"/>
    <w:rsid w:val="4F9C55BC"/>
    <w:rsid w:val="4FAC95DC"/>
    <w:rsid w:val="4FD499C8"/>
    <w:rsid w:val="4FDA0DD4"/>
    <w:rsid w:val="4FEF1FBC"/>
    <w:rsid w:val="4FF17257"/>
    <w:rsid w:val="4FF3D140"/>
    <w:rsid w:val="4FF77505"/>
    <w:rsid w:val="4FF92A7E"/>
    <w:rsid w:val="4FF96D56"/>
    <w:rsid w:val="504AB74E"/>
    <w:rsid w:val="506B31B0"/>
    <w:rsid w:val="506DD6B3"/>
    <w:rsid w:val="508A8F44"/>
    <w:rsid w:val="50AF6B64"/>
    <w:rsid w:val="50B42E16"/>
    <w:rsid w:val="50CD718F"/>
    <w:rsid w:val="50D28B49"/>
    <w:rsid w:val="50D63D3F"/>
    <w:rsid w:val="50E3DDD4"/>
    <w:rsid w:val="50F64CED"/>
    <w:rsid w:val="5104F2F5"/>
    <w:rsid w:val="51204696"/>
    <w:rsid w:val="512C864D"/>
    <w:rsid w:val="51471634"/>
    <w:rsid w:val="514FFCAC"/>
    <w:rsid w:val="5156D7B6"/>
    <w:rsid w:val="515C29C9"/>
    <w:rsid w:val="5162F959"/>
    <w:rsid w:val="51A9AB8C"/>
    <w:rsid w:val="51C271B4"/>
    <w:rsid w:val="51C28D51"/>
    <w:rsid w:val="51C76205"/>
    <w:rsid w:val="51E8F06A"/>
    <w:rsid w:val="51F9B908"/>
    <w:rsid w:val="51FD9560"/>
    <w:rsid w:val="52304A8F"/>
    <w:rsid w:val="524F25A6"/>
    <w:rsid w:val="52698022"/>
    <w:rsid w:val="529D429F"/>
    <w:rsid w:val="52B556A7"/>
    <w:rsid w:val="52E745E1"/>
    <w:rsid w:val="52F4FC58"/>
    <w:rsid w:val="530B0E9A"/>
    <w:rsid w:val="53266511"/>
    <w:rsid w:val="5338DBDB"/>
    <w:rsid w:val="533CF4B5"/>
    <w:rsid w:val="535E402A"/>
    <w:rsid w:val="53765D3E"/>
    <w:rsid w:val="53830385"/>
    <w:rsid w:val="538A28F6"/>
    <w:rsid w:val="538D9E2D"/>
    <w:rsid w:val="53958969"/>
    <w:rsid w:val="5396BEBD"/>
    <w:rsid w:val="53ADD5BA"/>
    <w:rsid w:val="53B5227F"/>
    <w:rsid w:val="53B76FEE"/>
    <w:rsid w:val="53D90E0D"/>
    <w:rsid w:val="53ED3A97"/>
    <w:rsid w:val="53EDA746"/>
    <w:rsid w:val="53F7E3E9"/>
    <w:rsid w:val="53F97C50"/>
    <w:rsid w:val="542D14A3"/>
    <w:rsid w:val="5432832B"/>
    <w:rsid w:val="5454A023"/>
    <w:rsid w:val="547A7604"/>
    <w:rsid w:val="547B8358"/>
    <w:rsid w:val="54830674"/>
    <w:rsid w:val="549447E5"/>
    <w:rsid w:val="54A925B4"/>
    <w:rsid w:val="54AB62C2"/>
    <w:rsid w:val="54EF5B87"/>
    <w:rsid w:val="54F8A292"/>
    <w:rsid w:val="5533E980"/>
    <w:rsid w:val="553F5371"/>
    <w:rsid w:val="555DA47D"/>
    <w:rsid w:val="5579721F"/>
    <w:rsid w:val="557E2873"/>
    <w:rsid w:val="559E6927"/>
    <w:rsid w:val="55BEF299"/>
    <w:rsid w:val="55CE0180"/>
    <w:rsid w:val="55DC25A7"/>
    <w:rsid w:val="5608932A"/>
    <w:rsid w:val="5610DC2E"/>
    <w:rsid w:val="56173998"/>
    <w:rsid w:val="561E9965"/>
    <w:rsid w:val="56253ADC"/>
    <w:rsid w:val="562C9D1A"/>
    <w:rsid w:val="563228B4"/>
    <w:rsid w:val="563BB317"/>
    <w:rsid w:val="563EA1C8"/>
    <w:rsid w:val="5651FA2F"/>
    <w:rsid w:val="56694B97"/>
    <w:rsid w:val="569C90A3"/>
    <w:rsid w:val="56B0A35D"/>
    <w:rsid w:val="56C64594"/>
    <w:rsid w:val="56EA3A91"/>
    <w:rsid w:val="56EAE72C"/>
    <w:rsid w:val="56F9924D"/>
    <w:rsid w:val="5726288E"/>
    <w:rsid w:val="576C6864"/>
    <w:rsid w:val="57757B3A"/>
    <w:rsid w:val="57948E9B"/>
    <w:rsid w:val="57961484"/>
    <w:rsid w:val="57BBB433"/>
    <w:rsid w:val="57C90A32"/>
    <w:rsid w:val="57C9F393"/>
    <w:rsid w:val="57CBE8A7"/>
    <w:rsid w:val="57DAA139"/>
    <w:rsid w:val="57EA4A32"/>
    <w:rsid w:val="57F719FE"/>
    <w:rsid w:val="57F87AC4"/>
    <w:rsid w:val="582CA380"/>
    <w:rsid w:val="58304DCD"/>
    <w:rsid w:val="58347D33"/>
    <w:rsid w:val="5847E6F3"/>
    <w:rsid w:val="587D6FAB"/>
    <w:rsid w:val="58BC3EA3"/>
    <w:rsid w:val="58CC569D"/>
    <w:rsid w:val="58DE2945"/>
    <w:rsid w:val="58E63DD7"/>
    <w:rsid w:val="58F2C982"/>
    <w:rsid w:val="5906147E"/>
    <w:rsid w:val="590B40B6"/>
    <w:rsid w:val="591A364C"/>
    <w:rsid w:val="591D5FC2"/>
    <w:rsid w:val="591D6DBD"/>
    <w:rsid w:val="5925E17D"/>
    <w:rsid w:val="59296029"/>
    <w:rsid w:val="5931CA5A"/>
    <w:rsid w:val="594CBD26"/>
    <w:rsid w:val="59578494"/>
    <w:rsid w:val="5964DA93"/>
    <w:rsid w:val="596D4CA4"/>
    <w:rsid w:val="5974FDF1"/>
    <w:rsid w:val="5978F8B4"/>
    <w:rsid w:val="59D38F2A"/>
    <w:rsid w:val="59D9A1EB"/>
    <w:rsid w:val="59E624B5"/>
    <w:rsid w:val="59E7AD33"/>
    <w:rsid w:val="59E7D231"/>
    <w:rsid w:val="5A08C9D6"/>
    <w:rsid w:val="5A3624A2"/>
    <w:rsid w:val="5A44F0A9"/>
    <w:rsid w:val="5A5EDF95"/>
    <w:rsid w:val="5A6D65E5"/>
    <w:rsid w:val="5A6F3FCA"/>
    <w:rsid w:val="5A72502D"/>
    <w:rsid w:val="5AA2B419"/>
    <w:rsid w:val="5AA91A43"/>
    <w:rsid w:val="5AC16AF9"/>
    <w:rsid w:val="5ACC38A6"/>
    <w:rsid w:val="5AE497C6"/>
    <w:rsid w:val="5AE6D15B"/>
    <w:rsid w:val="5AF61D18"/>
    <w:rsid w:val="5B00AAF4"/>
    <w:rsid w:val="5B03D318"/>
    <w:rsid w:val="5B10477F"/>
    <w:rsid w:val="5B33C17C"/>
    <w:rsid w:val="5B34BF14"/>
    <w:rsid w:val="5B4E08E4"/>
    <w:rsid w:val="5B5CBB1F"/>
    <w:rsid w:val="5B629E16"/>
    <w:rsid w:val="5B65B93D"/>
    <w:rsid w:val="5B86B32F"/>
    <w:rsid w:val="5B8D8EEE"/>
    <w:rsid w:val="5B9E3468"/>
    <w:rsid w:val="5BAB188A"/>
    <w:rsid w:val="5BB6B41C"/>
    <w:rsid w:val="5BC894BC"/>
    <w:rsid w:val="5BD5886E"/>
    <w:rsid w:val="5BDBDFAD"/>
    <w:rsid w:val="5C3D90EE"/>
    <w:rsid w:val="5C444105"/>
    <w:rsid w:val="5C617B80"/>
    <w:rsid w:val="5C6496B1"/>
    <w:rsid w:val="5CA7CCB5"/>
    <w:rsid w:val="5CB12ACD"/>
    <w:rsid w:val="5CE4CBCC"/>
    <w:rsid w:val="5CFA9626"/>
    <w:rsid w:val="5D1878D6"/>
    <w:rsid w:val="5D4B1A48"/>
    <w:rsid w:val="5D6C0C01"/>
    <w:rsid w:val="5D84056E"/>
    <w:rsid w:val="5DA5F8ED"/>
    <w:rsid w:val="5DAD78C8"/>
    <w:rsid w:val="5DCD1FAA"/>
    <w:rsid w:val="5DD369A7"/>
    <w:rsid w:val="5DDC2A03"/>
    <w:rsid w:val="5DF2822E"/>
    <w:rsid w:val="5E09055D"/>
    <w:rsid w:val="5E11503A"/>
    <w:rsid w:val="5E1B410C"/>
    <w:rsid w:val="5E344757"/>
    <w:rsid w:val="5E4CEFA4"/>
    <w:rsid w:val="5E6FAF3C"/>
    <w:rsid w:val="5E714A9E"/>
    <w:rsid w:val="5E7D1570"/>
    <w:rsid w:val="5E7FD0C8"/>
    <w:rsid w:val="5E905914"/>
    <w:rsid w:val="5E9C68EC"/>
    <w:rsid w:val="5E9FF5BC"/>
    <w:rsid w:val="5EA64804"/>
    <w:rsid w:val="5EB3A2DA"/>
    <w:rsid w:val="5EBC5E3D"/>
    <w:rsid w:val="5EC47977"/>
    <w:rsid w:val="5ECE821C"/>
    <w:rsid w:val="5EDCB202"/>
    <w:rsid w:val="5EE3A23C"/>
    <w:rsid w:val="5EF3ACFC"/>
    <w:rsid w:val="5F1F99F3"/>
    <w:rsid w:val="5F36D222"/>
    <w:rsid w:val="5F4D81BE"/>
    <w:rsid w:val="5F5A79D0"/>
    <w:rsid w:val="5F9294F6"/>
    <w:rsid w:val="5FC4C2D0"/>
    <w:rsid w:val="5FC77498"/>
    <w:rsid w:val="5FC9CBF2"/>
    <w:rsid w:val="5FD8E97C"/>
    <w:rsid w:val="5FE62CC5"/>
    <w:rsid w:val="5FEFF8DE"/>
    <w:rsid w:val="5FFC8292"/>
    <w:rsid w:val="60260D65"/>
    <w:rsid w:val="605FDF5A"/>
    <w:rsid w:val="6069E8A5"/>
    <w:rsid w:val="6073CEB4"/>
    <w:rsid w:val="60769C27"/>
    <w:rsid w:val="607E89AD"/>
    <w:rsid w:val="607F8B16"/>
    <w:rsid w:val="608740BB"/>
    <w:rsid w:val="60A4B29C"/>
    <w:rsid w:val="60AB1E7C"/>
    <w:rsid w:val="60B117C8"/>
    <w:rsid w:val="60C3CCC7"/>
    <w:rsid w:val="611869F5"/>
    <w:rsid w:val="611F5136"/>
    <w:rsid w:val="612A22F0"/>
    <w:rsid w:val="61499D40"/>
    <w:rsid w:val="615136BD"/>
    <w:rsid w:val="6151A9D2"/>
    <w:rsid w:val="618777F3"/>
    <w:rsid w:val="61AF8312"/>
    <w:rsid w:val="61BE3F89"/>
    <w:rsid w:val="61D7967E"/>
    <w:rsid w:val="61DAAB9E"/>
    <w:rsid w:val="61E4BD9F"/>
    <w:rsid w:val="61F3C290"/>
    <w:rsid w:val="621DBEB9"/>
    <w:rsid w:val="6227A4BD"/>
    <w:rsid w:val="624D5364"/>
    <w:rsid w:val="62590EF5"/>
    <w:rsid w:val="626CBA74"/>
    <w:rsid w:val="627682DF"/>
    <w:rsid w:val="62AC09CF"/>
    <w:rsid w:val="62B79FF9"/>
    <w:rsid w:val="62E48FFD"/>
    <w:rsid w:val="62E667FE"/>
    <w:rsid w:val="63054AD6"/>
    <w:rsid w:val="631A394E"/>
    <w:rsid w:val="632B6D45"/>
    <w:rsid w:val="6341B36F"/>
    <w:rsid w:val="63454135"/>
    <w:rsid w:val="6354D8D4"/>
    <w:rsid w:val="6357E9F0"/>
    <w:rsid w:val="635925D9"/>
    <w:rsid w:val="6366EE88"/>
    <w:rsid w:val="638799ED"/>
    <w:rsid w:val="63DA658A"/>
    <w:rsid w:val="63DAB60D"/>
    <w:rsid w:val="63EA068F"/>
    <w:rsid w:val="63ECB7C7"/>
    <w:rsid w:val="63F764D0"/>
    <w:rsid w:val="63FA7865"/>
    <w:rsid w:val="640FE31D"/>
    <w:rsid w:val="641A2877"/>
    <w:rsid w:val="641AFB53"/>
    <w:rsid w:val="6441C008"/>
    <w:rsid w:val="6446087F"/>
    <w:rsid w:val="646B7ABC"/>
    <w:rsid w:val="64702785"/>
    <w:rsid w:val="64744C24"/>
    <w:rsid w:val="64828731"/>
    <w:rsid w:val="64AC4A47"/>
    <w:rsid w:val="64B50B66"/>
    <w:rsid w:val="64BBDA37"/>
    <w:rsid w:val="64C61DF4"/>
    <w:rsid w:val="64CC2DA1"/>
    <w:rsid w:val="64DAD677"/>
    <w:rsid w:val="64DCA275"/>
    <w:rsid w:val="64F9D7DE"/>
    <w:rsid w:val="64FF4DDE"/>
    <w:rsid w:val="65055C14"/>
    <w:rsid w:val="655AF68D"/>
    <w:rsid w:val="657EB1CA"/>
    <w:rsid w:val="6585318F"/>
    <w:rsid w:val="659851FC"/>
    <w:rsid w:val="65A045C7"/>
    <w:rsid w:val="65B2DBA8"/>
    <w:rsid w:val="65D5E472"/>
    <w:rsid w:val="65E41F74"/>
    <w:rsid w:val="65E4F826"/>
    <w:rsid w:val="65F1DCDF"/>
    <w:rsid w:val="65FE0A4F"/>
    <w:rsid w:val="66378968"/>
    <w:rsid w:val="664CF9B1"/>
    <w:rsid w:val="666CA338"/>
    <w:rsid w:val="667EE8CC"/>
    <w:rsid w:val="6689D331"/>
    <w:rsid w:val="66BBA565"/>
    <w:rsid w:val="66CED835"/>
    <w:rsid w:val="672002C0"/>
    <w:rsid w:val="6748DCF5"/>
    <w:rsid w:val="677306D6"/>
    <w:rsid w:val="67891C9D"/>
    <w:rsid w:val="6794AD03"/>
    <w:rsid w:val="67ABBD7C"/>
    <w:rsid w:val="67B39699"/>
    <w:rsid w:val="67BDC404"/>
    <w:rsid w:val="67D6E3DF"/>
    <w:rsid w:val="68363D23"/>
    <w:rsid w:val="68574753"/>
    <w:rsid w:val="6885E040"/>
    <w:rsid w:val="688B761E"/>
    <w:rsid w:val="6898B9F5"/>
    <w:rsid w:val="68A5DC8A"/>
    <w:rsid w:val="68CD6391"/>
    <w:rsid w:val="68EBFAE2"/>
    <w:rsid w:val="691990A5"/>
    <w:rsid w:val="692761E9"/>
    <w:rsid w:val="693194AA"/>
    <w:rsid w:val="6939C10A"/>
    <w:rsid w:val="69432390"/>
    <w:rsid w:val="6969C17F"/>
    <w:rsid w:val="696F42E0"/>
    <w:rsid w:val="697A44A4"/>
    <w:rsid w:val="69D0D70A"/>
    <w:rsid w:val="69D57EF3"/>
    <w:rsid w:val="69E4BD81"/>
    <w:rsid w:val="69FCECA7"/>
    <w:rsid w:val="6A1F5B57"/>
    <w:rsid w:val="6A21B0A1"/>
    <w:rsid w:val="6A4590A3"/>
    <w:rsid w:val="6A972C41"/>
    <w:rsid w:val="6A99D489"/>
    <w:rsid w:val="6AA09585"/>
    <w:rsid w:val="6AAB43B3"/>
    <w:rsid w:val="6AADE37A"/>
    <w:rsid w:val="6AB906E0"/>
    <w:rsid w:val="6AC1F02C"/>
    <w:rsid w:val="6AC241E5"/>
    <w:rsid w:val="6ACFE3F1"/>
    <w:rsid w:val="6AE30369"/>
    <w:rsid w:val="6AE60E20"/>
    <w:rsid w:val="6AFD7F23"/>
    <w:rsid w:val="6AFDA661"/>
    <w:rsid w:val="6B02636E"/>
    <w:rsid w:val="6B1CF917"/>
    <w:rsid w:val="6B267F2C"/>
    <w:rsid w:val="6B43EEDB"/>
    <w:rsid w:val="6B6414E6"/>
    <w:rsid w:val="6B74BC90"/>
    <w:rsid w:val="6B87C509"/>
    <w:rsid w:val="6B9DE865"/>
    <w:rsid w:val="6BAF5475"/>
    <w:rsid w:val="6BE5E8C2"/>
    <w:rsid w:val="6BF58762"/>
    <w:rsid w:val="6C1FF6ED"/>
    <w:rsid w:val="6C22D15B"/>
    <w:rsid w:val="6C50D894"/>
    <w:rsid w:val="6C7421E7"/>
    <w:rsid w:val="6C900462"/>
    <w:rsid w:val="6C9410DD"/>
    <w:rsid w:val="6CA7750F"/>
    <w:rsid w:val="6CB768DC"/>
    <w:rsid w:val="6CB8C978"/>
    <w:rsid w:val="6CD4CE90"/>
    <w:rsid w:val="6CF190EF"/>
    <w:rsid w:val="6D30BC66"/>
    <w:rsid w:val="6D5482EA"/>
    <w:rsid w:val="6D58AB4D"/>
    <w:rsid w:val="6D60FD31"/>
    <w:rsid w:val="6D6898CE"/>
    <w:rsid w:val="6D9DC047"/>
    <w:rsid w:val="6DB5B102"/>
    <w:rsid w:val="6DE92B26"/>
    <w:rsid w:val="6DF5E0D0"/>
    <w:rsid w:val="6DF6A527"/>
    <w:rsid w:val="6E1AA42B"/>
    <w:rsid w:val="6E3A1813"/>
    <w:rsid w:val="6E4AED7A"/>
    <w:rsid w:val="6E5B4BE9"/>
    <w:rsid w:val="6E6057EA"/>
    <w:rsid w:val="6E6959BA"/>
    <w:rsid w:val="6E7E25FB"/>
    <w:rsid w:val="6E979EEC"/>
    <w:rsid w:val="6E9F2098"/>
    <w:rsid w:val="6ED078A5"/>
    <w:rsid w:val="6EDCB918"/>
    <w:rsid w:val="6EF076E5"/>
    <w:rsid w:val="6EFAE0FB"/>
    <w:rsid w:val="6F257957"/>
    <w:rsid w:val="6F53B2F3"/>
    <w:rsid w:val="6F57074E"/>
    <w:rsid w:val="6F58DBE8"/>
    <w:rsid w:val="6F5AAFD9"/>
    <w:rsid w:val="6F63A882"/>
    <w:rsid w:val="6F6821C1"/>
    <w:rsid w:val="6F73CD4B"/>
    <w:rsid w:val="6FABC2A9"/>
    <w:rsid w:val="6FB3C238"/>
    <w:rsid w:val="7000A6AD"/>
    <w:rsid w:val="703905B1"/>
    <w:rsid w:val="705272F8"/>
    <w:rsid w:val="706712B5"/>
    <w:rsid w:val="707A3630"/>
    <w:rsid w:val="70A67479"/>
    <w:rsid w:val="70AE2150"/>
    <w:rsid w:val="70AE3DCF"/>
    <w:rsid w:val="70B8D9F0"/>
    <w:rsid w:val="70C36A55"/>
    <w:rsid w:val="70D4B8E8"/>
    <w:rsid w:val="70FDCDEE"/>
    <w:rsid w:val="7100EC3D"/>
    <w:rsid w:val="7132F2D0"/>
    <w:rsid w:val="71675A87"/>
    <w:rsid w:val="7169ECCA"/>
    <w:rsid w:val="717DD66F"/>
    <w:rsid w:val="71A254E5"/>
    <w:rsid w:val="71BF8718"/>
    <w:rsid w:val="71C24956"/>
    <w:rsid w:val="71CFD22A"/>
    <w:rsid w:val="71DC034D"/>
    <w:rsid w:val="71DEF76D"/>
    <w:rsid w:val="71F643E7"/>
    <w:rsid w:val="71FAA845"/>
    <w:rsid w:val="721984ED"/>
    <w:rsid w:val="722FFC5A"/>
    <w:rsid w:val="7249F1B1"/>
    <w:rsid w:val="7263CB6A"/>
    <w:rsid w:val="726EA572"/>
    <w:rsid w:val="728286B3"/>
    <w:rsid w:val="728A8EEE"/>
    <w:rsid w:val="728EBAA4"/>
    <w:rsid w:val="729A6AD4"/>
    <w:rsid w:val="72CD8A19"/>
    <w:rsid w:val="73031685"/>
    <w:rsid w:val="735500B5"/>
    <w:rsid w:val="73585AB1"/>
    <w:rsid w:val="73742489"/>
    <w:rsid w:val="737DCD27"/>
    <w:rsid w:val="739A8B21"/>
    <w:rsid w:val="73AE186B"/>
    <w:rsid w:val="73CBE488"/>
    <w:rsid w:val="73CC4E39"/>
    <w:rsid w:val="73D6EFB3"/>
    <w:rsid w:val="73DF1AB3"/>
    <w:rsid w:val="73E2480C"/>
    <w:rsid w:val="73EF253A"/>
    <w:rsid w:val="73EFC006"/>
    <w:rsid w:val="73FFBAC1"/>
    <w:rsid w:val="74094F22"/>
    <w:rsid w:val="74274A43"/>
    <w:rsid w:val="7436CE51"/>
    <w:rsid w:val="745BDE9E"/>
    <w:rsid w:val="7461D1E6"/>
    <w:rsid w:val="746B36B1"/>
    <w:rsid w:val="74707280"/>
    <w:rsid w:val="747272D2"/>
    <w:rsid w:val="7491A27F"/>
    <w:rsid w:val="74B08D50"/>
    <w:rsid w:val="74EB207F"/>
    <w:rsid w:val="74F34CB8"/>
    <w:rsid w:val="74F8611F"/>
    <w:rsid w:val="7517955A"/>
    <w:rsid w:val="7517B32D"/>
    <w:rsid w:val="751992D7"/>
    <w:rsid w:val="75230B15"/>
    <w:rsid w:val="75257526"/>
    <w:rsid w:val="7535849B"/>
    <w:rsid w:val="753D141B"/>
    <w:rsid w:val="755AA57A"/>
    <w:rsid w:val="755FA075"/>
    <w:rsid w:val="756F5AB7"/>
    <w:rsid w:val="75858AEE"/>
    <w:rsid w:val="75B4C5FD"/>
    <w:rsid w:val="75C4A227"/>
    <w:rsid w:val="75D3BCB3"/>
    <w:rsid w:val="75E28D93"/>
    <w:rsid w:val="75F3BAD4"/>
    <w:rsid w:val="75F3DECE"/>
    <w:rsid w:val="7619521B"/>
    <w:rsid w:val="7632BDEC"/>
    <w:rsid w:val="763ACBAA"/>
    <w:rsid w:val="765CF42B"/>
    <w:rsid w:val="766AF960"/>
    <w:rsid w:val="76706183"/>
    <w:rsid w:val="767861B0"/>
    <w:rsid w:val="769BB24D"/>
    <w:rsid w:val="769BBEF5"/>
    <w:rsid w:val="76A5E336"/>
    <w:rsid w:val="76DD232D"/>
    <w:rsid w:val="770EDF54"/>
    <w:rsid w:val="77277437"/>
    <w:rsid w:val="77316736"/>
    <w:rsid w:val="773A1F19"/>
    <w:rsid w:val="7753FE73"/>
    <w:rsid w:val="776F838B"/>
    <w:rsid w:val="779B9FC2"/>
    <w:rsid w:val="77A78A08"/>
    <w:rsid w:val="77CBD306"/>
    <w:rsid w:val="77DE8991"/>
    <w:rsid w:val="77F29035"/>
    <w:rsid w:val="78283157"/>
    <w:rsid w:val="7877B440"/>
    <w:rsid w:val="78A29A79"/>
    <w:rsid w:val="78A3F73D"/>
    <w:rsid w:val="78AF20A3"/>
    <w:rsid w:val="78BE0C91"/>
    <w:rsid w:val="78C7D160"/>
    <w:rsid w:val="78E58B80"/>
    <w:rsid w:val="790C6C8D"/>
    <w:rsid w:val="792525DD"/>
    <w:rsid w:val="7980D0B1"/>
    <w:rsid w:val="798483F6"/>
    <w:rsid w:val="7985095B"/>
    <w:rsid w:val="798E6096"/>
    <w:rsid w:val="79ABF26B"/>
    <w:rsid w:val="79B6F555"/>
    <w:rsid w:val="79B7A5A4"/>
    <w:rsid w:val="79C878E0"/>
    <w:rsid w:val="79CCBC89"/>
    <w:rsid w:val="79D22895"/>
    <w:rsid w:val="79DA50CA"/>
    <w:rsid w:val="79EDD8B6"/>
    <w:rsid w:val="7A1380EE"/>
    <w:rsid w:val="7A23AC62"/>
    <w:rsid w:val="7A261D2F"/>
    <w:rsid w:val="7A2AE085"/>
    <w:rsid w:val="7A429248"/>
    <w:rsid w:val="7A450FDF"/>
    <w:rsid w:val="7A5933BE"/>
    <w:rsid w:val="7A7F1A10"/>
    <w:rsid w:val="7AA6E71B"/>
    <w:rsid w:val="7AB925BD"/>
    <w:rsid w:val="7AC6B2D4"/>
    <w:rsid w:val="7ACE1E55"/>
    <w:rsid w:val="7AD1136A"/>
    <w:rsid w:val="7B0B7BE4"/>
    <w:rsid w:val="7B435A2E"/>
    <w:rsid w:val="7B4504BC"/>
    <w:rsid w:val="7B48B86E"/>
    <w:rsid w:val="7B4B2843"/>
    <w:rsid w:val="7B6CABCF"/>
    <w:rsid w:val="7B8D7CE8"/>
    <w:rsid w:val="7BAC446C"/>
    <w:rsid w:val="7BB7F0E8"/>
    <w:rsid w:val="7BF0E53C"/>
    <w:rsid w:val="7C10A93B"/>
    <w:rsid w:val="7C79B71A"/>
    <w:rsid w:val="7C81EB47"/>
    <w:rsid w:val="7C841792"/>
    <w:rsid w:val="7C9520B2"/>
    <w:rsid w:val="7C9EB8B8"/>
    <w:rsid w:val="7CB1FAB4"/>
    <w:rsid w:val="7CF0582D"/>
    <w:rsid w:val="7CFE2E86"/>
    <w:rsid w:val="7D1EF3E6"/>
    <w:rsid w:val="7D4D0812"/>
    <w:rsid w:val="7DC16754"/>
    <w:rsid w:val="7DEF8BCF"/>
    <w:rsid w:val="7E08B42C"/>
    <w:rsid w:val="7E261FD0"/>
    <w:rsid w:val="7E2B1C69"/>
    <w:rsid w:val="7E37E821"/>
    <w:rsid w:val="7E37EB44"/>
    <w:rsid w:val="7E544323"/>
    <w:rsid w:val="7E69AFF1"/>
    <w:rsid w:val="7E6A868B"/>
    <w:rsid w:val="7E90DBE5"/>
    <w:rsid w:val="7F241DD5"/>
    <w:rsid w:val="7F29C85F"/>
    <w:rsid w:val="7F43EAED"/>
    <w:rsid w:val="7F5C8060"/>
    <w:rsid w:val="7F780633"/>
    <w:rsid w:val="7FAFC281"/>
    <w:rsid w:val="7FBD654D"/>
    <w:rsid w:val="7FDAC6B8"/>
    <w:rsid w:val="7FEB1A5A"/>
    <w:rsid w:val="7FFE42F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65C862"/>
  <w15:docId w15:val="{B706CA89-45B4-4A7C-AD93-A2AE4FEFA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宋体"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nhideWhenUsed="1" w:qFormat="1"/>
    <w:lsdException w:name="macro" w:semiHidden="1" w:unhideWhenUsed="1"/>
    <w:lsdException w:name="toa heading" w:semiHidden="1" w:unhideWhenUsed="1" w:qFormat="1"/>
    <w:lsdException w:name="List" w:semiHidden="1" w:unhideWhenUsed="1" w:qFormat="1"/>
    <w:lsdException w:name="List Bullet" w:semiHidden="1"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nhideWhenUsed="1" w:qFormat="1"/>
    <w:lsdException w:name="Strong" w:semiHidden="1" w:uiPriority="22" w:qFormat="1"/>
    <w:lsdException w:name="Emphasis" w:semiHidden="1"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semiHidden/>
    <w:rsid w:val="002B227E"/>
    <w:pPr>
      <w:spacing w:after="120"/>
    </w:pPr>
    <w:rPr>
      <w:rFonts w:ascii="Times New Roman" w:hAnsi="Times New Roman" w:cs="Times New Roman"/>
      <w:sz w:val="24"/>
      <w:szCs w:val="24"/>
      <w:lang w:bidi="en-US"/>
    </w:rPr>
  </w:style>
  <w:style w:type="paragraph" w:styleId="1">
    <w:name w:val="heading 1"/>
    <w:next w:val="BodyText-12pt"/>
    <w:link w:val="11"/>
    <w:uiPriority w:val="9"/>
    <w:qFormat/>
    <w:rsid w:val="001B0038"/>
    <w:pPr>
      <w:keepNext/>
      <w:keepLines/>
      <w:pageBreakBefore/>
      <w:numPr>
        <w:numId w:val="5"/>
      </w:numPr>
      <w:tabs>
        <w:tab w:val="left" w:pos="432"/>
      </w:tabs>
      <w:spacing w:before="120" w:after="120" w:line="240" w:lineRule="auto"/>
      <w:outlineLvl w:val="0"/>
    </w:pPr>
    <w:rPr>
      <w:rFonts w:ascii="Times New Roman Bold" w:eastAsiaTheme="majorEastAsia" w:hAnsi="Times New Roman Bold" w:cs="Times New Roman"/>
      <w:b/>
      <w:bCs/>
      <w:kern w:val="32"/>
      <w:sz w:val="24"/>
      <w:szCs w:val="32"/>
      <w:lang w:bidi="en-US"/>
    </w:rPr>
  </w:style>
  <w:style w:type="paragraph" w:styleId="20">
    <w:name w:val="heading 2"/>
    <w:next w:val="BodyText-12pt"/>
    <w:link w:val="22"/>
    <w:uiPriority w:val="9"/>
    <w:qFormat/>
    <w:rsid w:val="007C6DC5"/>
    <w:pPr>
      <w:keepNext/>
      <w:keepLines/>
      <w:numPr>
        <w:ilvl w:val="1"/>
        <w:numId w:val="5"/>
      </w:numPr>
      <w:spacing w:after="120" w:line="240" w:lineRule="auto"/>
      <w:outlineLvl w:val="1"/>
    </w:pPr>
    <w:rPr>
      <w:rFonts w:ascii="Times New Roman Bold" w:eastAsiaTheme="majorEastAsia" w:hAnsi="Times New Roman Bold" w:cs="Times New Roman"/>
      <w:b/>
      <w:bCs/>
      <w:sz w:val="24"/>
      <w:szCs w:val="28"/>
      <w:lang w:bidi="en-US"/>
    </w:rPr>
  </w:style>
  <w:style w:type="paragraph" w:styleId="30">
    <w:name w:val="heading 3"/>
    <w:next w:val="BodyText-12pt"/>
    <w:link w:val="32"/>
    <w:uiPriority w:val="9"/>
    <w:qFormat/>
    <w:rsid w:val="007C6DC5"/>
    <w:pPr>
      <w:keepNext/>
      <w:keepLines/>
      <w:numPr>
        <w:ilvl w:val="2"/>
        <w:numId w:val="5"/>
      </w:numPr>
      <w:tabs>
        <w:tab w:val="left" w:pos="1008"/>
      </w:tabs>
      <w:spacing w:after="120" w:line="240" w:lineRule="auto"/>
      <w:outlineLvl w:val="2"/>
    </w:pPr>
    <w:rPr>
      <w:rFonts w:ascii="Times New Roman Bold" w:eastAsiaTheme="majorEastAsia" w:hAnsi="Times New Roman Bold" w:cs="Times New Roman"/>
      <w:b/>
      <w:bCs/>
      <w:sz w:val="24"/>
      <w:szCs w:val="28"/>
      <w:lang w:bidi="en-US"/>
    </w:rPr>
  </w:style>
  <w:style w:type="paragraph" w:styleId="4">
    <w:name w:val="heading 4"/>
    <w:next w:val="BodyText-12pt"/>
    <w:link w:val="40"/>
    <w:uiPriority w:val="9"/>
    <w:qFormat/>
    <w:rsid w:val="007C6DC5"/>
    <w:pPr>
      <w:keepNext/>
      <w:keepLines/>
      <w:numPr>
        <w:ilvl w:val="3"/>
        <w:numId w:val="5"/>
      </w:numPr>
      <w:tabs>
        <w:tab w:val="left" w:pos="1296"/>
      </w:tabs>
      <w:spacing w:after="120" w:line="240" w:lineRule="auto"/>
      <w:outlineLvl w:val="3"/>
    </w:pPr>
    <w:rPr>
      <w:rFonts w:ascii="Times New Roman" w:eastAsiaTheme="majorEastAsia" w:hAnsi="Times New Roman" w:cs="Times New Roman"/>
      <w:b/>
      <w:bCs/>
      <w:iCs/>
      <w:sz w:val="24"/>
      <w:szCs w:val="24"/>
      <w:lang w:bidi="en-US"/>
    </w:rPr>
  </w:style>
  <w:style w:type="paragraph" w:styleId="5">
    <w:name w:val="heading 5"/>
    <w:next w:val="BodyText-12pt"/>
    <w:link w:val="50"/>
    <w:uiPriority w:val="9"/>
    <w:qFormat/>
    <w:rsid w:val="007C6DC5"/>
    <w:pPr>
      <w:keepNext/>
      <w:keepLines/>
      <w:numPr>
        <w:ilvl w:val="4"/>
        <w:numId w:val="5"/>
      </w:numPr>
      <w:tabs>
        <w:tab w:val="left" w:pos="1584"/>
      </w:tabs>
      <w:spacing w:after="120" w:line="240" w:lineRule="auto"/>
      <w:outlineLvl w:val="4"/>
    </w:pPr>
    <w:rPr>
      <w:rFonts w:ascii="Times New Roman" w:eastAsiaTheme="majorEastAsia" w:hAnsi="Times New Roman" w:cs="Times New Roman"/>
      <w:b/>
      <w:sz w:val="24"/>
      <w:szCs w:val="24"/>
      <w:lang w:bidi="en-US"/>
    </w:rPr>
  </w:style>
  <w:style w:type="paragraph" w:styleId="6">
    <w:name w:val="heading 6"/>
    <w:next w:val="BodyText-12pt"/>
    <w:link w:val="60"/>
    <w:uiPriority w:val="9"/>
    <w:qFormat/>
    <w:rsid w:val="007C6DC5"/>
    <w:pPr>
      <w:keepNext/>
      <w:keepLines/>
      <w:numPr>
        <w:ilvl w:val="5"/>
        <w:numId w:val="5"/>
      </w:numPr>
      <w:spacing w:after="120" w:line="240" w:lineRule="auto"/>
      <w:outlineLvl w:val="5"/>
    </w:pPr>
    <w:rPr>
      <w:rFonts w:ascii="Times New Roman" w:eastAsiaTheme="majorEastAsia" w:hAnsi="Times New Roman" w:cstheme="majorBidi"/>
      <w:iCs/>
      <w:sz w:val="24"/>
      <w:szCs w:val="24"/>
      <w:lang w:bidi="en-US"/>
    </w:rPr>
  </w:style>
  <w:style w:type="paragraph" w:styleId="7">
    <w:name w:val="heading 7"/>
    <w:next w:val="BodyText-12pt"/>
    <w:link w:val="70"/>
    <w:uiPriority w:val="9"/>
    <w:qFormat/>
    <w:rsid w:val="007C6DC5"/>
    <w:pPr>
      <w:keepNext/>
      <w:keepLines/>
      <w:numPr>
        <w:ilvl w:val="6"/>
        <w:numId w:val="5"/>
      </w:numPr>
      <w:spacing w:after="120" w:line="240" w:lineRule="auto"/>
      <w:outlineLvl w:val="6"/>
    </w:pPr>
    <w:rPr>
      <w:rFonts w:ascii="Times New Roman" w:eastAsiaTheme="majorEastAsia" w:hAnsi="Times New Roman" w:cstheme="majorBidi"/>
      <w:iCs/>
      <w:sz w:val="24"/>
      <w:szCs w:val="24"/>
      <w:lang w:bidi="en-US"/>
    </w:rPr>
  </w:style>
  <w:style w:type="paragraph" w:styleId="8">
    <w:name w:val="heading 8"/>
    <w:next w:val="BodyText-12pt"/>
    <w:link w:val="80"/>
    <w:uiPriority w:val="9"/>
    <w:qFormat/>
    <w:rsid w:val="007C6DC5"/>
    <w:pPr>
      <w:keepNext/>
      <w:keepLines/>
      <w:numPr>
        <w:ilvl w:val="7"/>
        <w:numId w:val="5"/>
      </w:numPr>
      <w:spacing w:after="120" w:line="240" w:lineRule="auto"/>
      <w:outlineLvl w:val="7"/>
    </w:pPr>
    <w:rPr>
      <w:rFonts w:ascii="Times New Roman" w:eastAsiaTheme="majorEastAsia" w:hAnsi="Times New Roman" w:cstheme="majorBidi"/>
      <w:sz w:val="20"/>
      <w:szCs w:val="20"/>
      <w:lang w:bidi="en-US"/>
    </w:rPr>
  </w:style>
  <w:style w:type="paragraph" w:styleId="9">
    <w:name w:val="heading 9"/>
    <w:next w:val="BodyText-12pt"/>
    <w:link w:val="90"/>
    <w:uiPriority w:val="9"/>
    <w:qFormat/>
    <w:rsid w:val="007C6DC5"/>
    <w:pPr>
      <w:keepNext/>
      <w:keepLines/>
      <w:tabs>
        <w:tab w:val="right" w:pos="9360"/>
      </w:tabs>
      <w:spacing w:after="120" w:line="240" w:lineRule="auto"/>
      <w:ind w:left="2073" w:hanging="1526"/>
      <w:outlineLvl w:val="8"/>
    </w:pPr>
    <w:rPr>
      <w:rFonts w:ascii="Times New Roman" w:hAnsi="Times New Roman" w:cs="Times New Roman"/>
      <w:noProof/>
      <w:sz w:val="24"/>
      <w:szCs w:val="24"/>
      <w:lang w:bidi="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link w:val="a6"/>
    <w:uiPriority w:val="99"/>
    <w:qFormat/>
    <w:rsid w:val="00FB64D2"/>
    <w:pPr>
      <w:tabs>
        <w:tab w:val="center" w:pos="8640"/>
        <w:tab w:val="center" w:pos="9360"/>
      </w:tabs>
      <w:spacing w:after="240" w:line="240" w:lineRule="auto"/>
      <w:contextualSpacing/>
    </w:pPr>
    <w:rPr>
      <w:rFonts w:ascii="Times New Roman" w:hAnsi="Times New Roman" w:cs="Times New Roman"/>
      <w:sz w:val="20"/>
      <w:szCs w:val="20"/>
      <w:lang w:bidi="en-US"/>
    </w:rPr>
  </w:style>
  <w:style w:type="character" w:customStyle="1" w:styleId="a6">
    <w:name w:val="页眉 字符"/>
    <w:basedOn w:val="a2"/>
    <w:link w:val="a5"/>
    <w:uiPriority w:val="99"/>
    <w:qFormat/>
    <w:rsid w:val="00FB64D2"/>
    <w:rPr>
      <w:rFonts w:ascii="Times New Roman" w:hAnsi="Times New Roman" w:cs="Times New Roman"/>
      <w:sz w:val="20"/>
      <w:szCs w:val="20"/>
      <w:lang w:bidi="en-US"/>
    </w:rPr>
  </w:style>
  <w:style w:type="paragraph" w:styleId="a7">
    <w:name w:val="footer"/>
    <w:link w:val="a8"/>
    <w:uiPriority w:val="99"/>
    <w:qFormat/>
    <w:rsid w:val="005F315D"/>
    <w:pPr>
      <w:keepLines/>
      <w:tabs>
        <w:tab w:val="center" w:pos="4680"/>
        <w:tab w:val="right" w:pos="9360"/>
      </w:tabs>
      <w:spacing w:after="0" w:line="240" w:lineRule="auto"/>
    </w:pPr>
    <w:rPr>
      <w:rFonts w:ascii="Times New Roman" w:hAnsi="Times New Roman" w:cs="Times New Roman"/>
      <w:sz w:val="20"/>
      <w:szCs w:val="24"/>
      <w:lang w:bidi="en-US"/>
    </w:rPr>
  </w:style>
  <w:style w:type="character" w:customStyle="1" w:styleId="a8">
    <w:name w:val="页脚 字符"/>
    <w:basedOn w:val="a2"/>
    <w:link w:val="a7"/>
    <w:uiPriority w:val="99"/>
    <w:qFormat/>
    <w:rsid w:val="005F315D"/>
    <w:rPr>
      <w:rFonts w:ascii="Times New Roman" w:hAnsi="Times New Roman" w:cs="Times New Roman"/>
      <w:sz w:val="20"/>
      <w:szCs w:val="24"/>
      <w:lang w:bidi="en-US"/>
    </w:rPr>
  </w:style>
  <w:style w:type="paragraph" w:styleId="a9">
    <w:name w:val="Balloon Text"/>
    <w:basedOn w:val="a1"/>
    <w:link w:val="aa"/>
    <w:uiPriority w:val="99"/>
    <w:unhideWhenUsed/>
    <w:qFormat/>
    <w:rsid w:val="009613A2"/>
    <w:pPr>
      <w:spacing w:after="0" w:line="240" w:lineRule="auto"/>
    </w:pPr>
    <w:rPr>
      <w:rFonts w:ascii="Tahoma" w:hAnsi="Tahoma" w:cs="Tahoma"/>
      <w:sz w:val="16"/>
      <w:szCs w:val="16"/>
    </w:rPr>
  </w:style>
  <w:style w:type="character" w:customStyle="1" w:styleId="aa">
    <w:name w:val="批注框文本 字符"/>
    <w:basedOn w:val="a2"/>
    <w:link w:val="a9"/>
    <w:uiPriority w:val="99"/>
    <w:qFormat/>
    <w:rsid w:val="009613A2"/>
    <w:rPr>
      <w:rFonts w:ascii="Tahoma" w:hAnsi="Tahoma" w:cs="Tahoma"/>
      <w:sz w:val="16"/>
      <w:szCs w:val="16"/>
      <w:lang w:bidi="en-US"/>
    </w:rPr>
  </w:style>
  <w:style w:type="table" w:customStyle="1" w:styleId="TableGrid1">
    <w:name w:val="Table Grid1"/>
    <w:basedOn w:val="a3"/>
    <w:next w:val="ab"/>
    <w:uiPriority w:val="39"/>
    <w:rsid w:val="009613A2"/>
    <w:pPr>
      <w:spacing w:after="0" w:line="240" w:lineRule="auto"/>
    </w:pPr>
    <w:rPr>
      <w:rFonts w:ascii="Arial" w:eastAsia="PMingLiU" w:hAnsi="Arial" w:cs="Times New Roman"/>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b">
    <w:name w:val="Table Grid"/>
    <w:basedOn w:val="a3"/>
    <w:uiPriority w:val="39"/>
    <w:qFormat/>
    <w:rsid w:val="009613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标题 1 字符"/>
    <w:basedOn w:val="a2"/>
    <w:link w:val="1"/>
    <w:uiPriority w:val="9"/>
    <w:qFormat/>
    <w:rsid w:val="001B0038"/>
    <w:rPr>
      <w:rFonts w:ascii="Times New Roman Bold" w:eastAsiaTheme="majorEastAsia" w:hAnsi="Times New Roman Bold" w:cs="Times New Roman"/>
      <w:b/>
      <w:bCs/>
      <w:kern w:val="32"/>
      <w:sz w:val="24"/>
      <w:szCs w:val="32"/>
      <w:lang w:bidi="en-US"/>
    </w:rPr>
  </w:style>
  <w:style w:type="character" w:customStyle="1" w:styleId="22">
    <w:name w:val="标题 2 字符"/>
    <w:basedOn w:val="a2"/>
    <w:link w:val="20"/>
    <w:uiPriority w:val="9"/>
    <w:qFormat/>
    <w:rsid w:val="0047746B"/>
    <w:rPr>
      <w:rFonts w:ascii="Times New Roman Bold" w:eastAsiaTheme="majorEastAsia" w:hAnsi="Times New Roman Bold" w:cs="Times New Roman"/>
      <w:b/>
      <w:bCs/>
      <w:sz w:val="24"/>
      <w:szCs w:val="28"/>
      <w:lang w:bidi="en-US"/>
    </w:rPr>
  </w:style>
  <w:style w:type="character" w:customStyle="1" w:styleId="32">
    <w:name w:val="标题 3 字符"/>
    <w:basedOn w:val="a2"/>
    <w:link w:val="30"/>
    <w:uiPriority w:val="9"/>
    <w:qFormat/>
    <w:rsid w:val="0047746B"/>
    <w:rPr>
      <w:rFonts w:ascii="Times New Roman Bold" w:eastAsiaTheme="majorEastAsia" w:hAnsi="Times New Roman Bold" w:cs="Times New Roman"/>
      <w:b/>
      <w:bCs/>
      <w:sz w:val="24"/>
      <w:szCs w:val="28"/>
      <w:lang w:bidi="en-US"/>
    </w:rPr>
  </w:style>
  <w:style w:type="paragraph" w:styleId="a">
    <w:name w:val="List Bullet"/>
    <w:basedOn w:val="a1"/>
    <w:uiPriority w:val="99"/>
    <w:unhideWhenUsed/>
    <w:qFormat/>
    <w:rsid w:val="00B5355E"/>
    <w:pPr>
      <w:numPr>
        <w:numId w:val="3"/>
      </w:numPr>
      <w:contextualSpacing/>
    </w:pPr>
  </w:style>
  <w:style w:type="character" w:styleId="ac">
    <w:name w:val="annotation reference"/>
    <w:basedOn w:val="a2"/>
    <w:uiPriority w:val="99"/>
    <w:unhideWhenUsed/>
    <w:qFormat/>
    <w:rsid w:val="009613A2"/>
    <w:rPr>
      <w:sz w:val="16"/>
      <w:szCs w:val="16"/>
    </w:rPr>
  </w:style>
  <w:style w:type="paragraph" w:styleId="ad">
    <w:name w:val="annotation text"/>
    <w:basedOn w:val="a1"/>
    <w:link w:val="ae"/>
    <w:uiPriority w:val="99"/>
    <w:unhideWhenUsed/>
    <w:qFormat/>
    <w:rsid w:val="009613A2"/>
    <w:pPr>
      <w:spacing w:line="240" w:lineRule="auto"/>
    </w:pPr>
    <w:rPr>
      <w:sz w:val="20"/>
      <w:szCs w:val="20"/>
    </w:rPr>
  </w:style>
  <w:style w:type="character" w:customStyle="1" w:styleId="ae">
    <w:name w:val="批注文字 字符"/>
    <w:basedOn w:val="a2"/>
    <w:link w:val="ad"/>
    <w:uiPriority w:val="99"/>
    <w:qFormat/>
    <w:rsid w:val="008A6DE6"/>
    <w:rPr>
      <w:rFonts w:ascii="Times New Roman" w:hAnsi="Times New Roman" w:cs="Times New Roman"/>
      <w:sz w:val="20"/>
      <w:szCs w:val="20"/>
      <w:lang w:bidi="en-US"/>
    </w:rPr>
  </w:style>
  <w:style w:type="paragraph" w:styleId="af">
    <w:name w:val="annotation subject"/>
    <w:basedOn w:val="ad"/>
    <w:next w:val="ad"/>
    <w:link w:val="af0"/>
    <w:unhideWhenUsed/>
    <w:qFormat/>
    <w:rsid w:val="009613A2"/>
    <w:rPr>
      <w:b/>
      <w:bCs/>
    </w:rPr>
  </w:style>
  <w:style w:type="character" w:customStyle="1" w:styleId="af0">
    <w:name w:val="批注主题 字符"/>
    <w:basedOn w:val="ae"/>
    <w:link w:val="af"/>
    <w:qFormat/>
    <w:rsid w:val="009613A2"/>
    <w:rPr>
      <w:rFonts w:ascii="Times New Roman" w:hAnsi="Times New Roman" w:cs="Times New Roman"/>
      <w:b/>
      <w:bCs/>
      <w:sz w:val="20"/>
      <w:szCs w:val="20"/>
      <w:lang w:bidi="en-US"/>
    </w:rPr>
  </w:style>
  <w:style w:type="paragraph" w:styleId="af1">
    <w:name w:val="Revision"/>
    <w:hidden/>
    <w:uiPriority w:val="99"/>
    <w:semiHidden/>
    <w:rsid w:val="00B76155"/>
    <w:pPr>
      <w:spacing w:after="0" w:line="240" w:lineRule="auto"/>
    </w:pPr>
  </w:style>
  <w:style w:type="character" w:customStyle="1" w:styleId="40">
    <w:name w:val="标题 4 字符"/>
    <w:basedOn w:val="a2"/>
    <w:link w:val="4"/>
    <w:uiPriority w:val="9"/>
    <w:qFormat/>
    <w:rsid w:val="0047746B"/>
    <w:rPr>
      <w:rFonts w:ascii="Times New Roman" w:eastAsiaTheme="majorEastAsia" w:hAnsi="Times New Roman" w:cs="Times New Roman"/>
      <w:b/>
      <w:bCs/>
      <w:iCs/>
      <w:sz w:val="24"/>
      <w:szCs w:val="24"/>
      <w:lang w:bidi="en-US"/>
    </w:rPr>
  </w:style>
  <w:style w:type="character" w:customStyle="1" w:styleId="50">
    <w:name w:val="标题 5 字符"/>
    <w:basedOn w:val="a2"/>
    <w:link w:val="5"/>
    <w:uiPriority w:val="9"/>
    <w:qFormat/>
    <w:rsid w:val="0047746B"/>
    <w:rPr>
      <w:rFonts w:ascii="Times New Roman" w:eastAsiaTheme="majorEastAsia" w:hAnsi="Times New Roman" w:cs="Times New Roman"/>
      <w:b/>
      <w:sz w:val="24"/>
      <w:szCs w:val="24"/>
      <w:lang w:bidi="en-US"/>
    </w:rPr>
  </w:style>
  <w:style w:type="character" w:customStyle="1" w:styleId="60">
    <w:name w:val="标题 6 字符"/>
    <w:basedOn w:val="a2"/>
    <w:link w:val="6"/>
    <w:uiPriority w:val="9"/>
    <w:qFormat/>
    <w:rsid w:val="0047746B"/>
    <w:rPr>
      <w:rFonts w:ascii="Times New Roman" w:eastAsiaTheme="majorEastAsia" w:hAnsi="Times New Roman" w:cstheme="majorBidi"/>
      <w:iCs/>
      <w:sz w:val="24"/>
      <w:szCs w:val="24"/>
      <w:lang w:bidi="en-US"/>
    </w:rPr>
  </w:style>
  <w:style w:type="character" w:customStyle="1" w:styleId="70">
    <w:name w:val="标题 7 字符"/>
    <w:basedOn w:val="a2"/>
    <w:link w:val="7"/>
    <w:uiPriority w:val="9"/>
    <w:qFormat/>
    <w:rsid w:val="0047746B"/>
    <w:rPr>
      <w:rFonts w:ascii="Times New Roman" w:eastAsiaTheme="majorEastAsia" w:hAnsi="Times New Roman" w:cstheme="majorBidi"/>
      <w:iCs/>
      <w:sz w:val="24"/>
      <w:szCs w:val="24"/>
      <w:lang w:bidi="en-US"/>
    </w:rPr>
  </w:style>
  <w:style w:type="character" w:customStyle="1" w:styleId="80">
    <w:name w:val="标题 8 字符"/>
    <w:basedOn w:val="a2"/>
    <w:link w:val="8"/>
    <w:uiPriority w:val="9"/>
    <w:qFormat/>
    <w:rsid w:val="0047746B"/>
    <w:rPr>
      <w:rFonts w:ascii="Times New Roman" w:eastAsiaTheme="majorEastAsia" w:hAnsi="Times New Roman" w:cstheme="majorBidi"/>
      <w:sz w:val="20"/>
      <w:szCs w:val="20"/>
      <w:lang w:bidi="en-US"/>
    </w:rPr>
  </w:style>
  <w:style w:type="character" w:customStyle="1" w:styleId="90">
    <w:name w:val="标题 9 字符"/>
    <w:basedOn w:val="a2"/>
    <w:link w:val="9"/>
    <w:uiPriority w:val="9"/>
    <w:qFormat/>
    <w:rsid w:val="0047746B"/>
    <w:rPr>
      <w:rFonts w:ascii="Times New Roman" w:hAnsi="Times New Roman" w:cs="Times New Roman"/>
      <w:noProof/>
      <w:sz w:val="24"/>
      <w:szCs w:val="24"/>
      <w:lang w:bidi="en-US"/>
    </w:rPr>
  </w:style>
  <w:style w:type="paragraph" w:styleId="af2">
    <w:name w:val="Document Map"/>
    <w:basedOn w:val="a1"/>
    <w:link w:val="12"/>
    <w:uiPriority w:val="99"/>
    <w:unhideWhenUsed/>
    <w:qFormat/>
    <w:rsid w:val="00B63911"/>
    <w:pPr>
      <w:spacing w:after="0" w:line="240" w:lineRule="auto"/>
    </w:pPr>
    <w:rPr>
      <w:rFonts w:ascii="Segoe UI" w:hAnsi="Segoe UI" w:cs="Segoe UI"/>
      <w:sz w:val="16"/>
      <w:szCs w:val="16"/>
    </w:rPr>
  </w:style>
  <w:style w:type="character" w:customStyle="1" w:styleId="12">
    <w:name w:val="文档结构图 字符1"/>
    <w:basedOn w:val="a2"/>
    <w:link w:val="af2"/>
    <w:uiPriority w:val="99"/>
    <w:qFormat/>
    <w:rsid w:val="00B63911"/>
    <w:rPr>
      <w:rFonts w:ascii="Segoe UI" w:hAnsi="Segoe UI" w:cs="Segoe UI"/>
      <w:sz w:val="16"/>
      <w:szCs w:val="16"/>
      <w:lang w:bidi="en-US"/>
    </w:rPr>
  </w:style>
  <w:style w:type="paragraph" w:styleId="af3">
    <w:name w:val="Title"/>
    <w:basedOn w:val="a1"/>
    <w:next w:val="a1"/>
    <w:link w:val="af4"/>
    <w:qFormat/>
    <w:rsid w:val="00B5355E"/>
    <w:pPr>
      <w:spacing w:after="0" w:line="240" w:lineRule="auto"/>
      <w:contextualSpacing/>
    </w:pPr>
    <w:rPr>
      <w:rFonts w:asciiTheme="majorHAnsi" w:eastAsiaTheme="majorEastAsia" w:hAnsiTheme="majorHAnsi" w:cstheme="majorBidi"/>
      <w:spacing w:val="-10"/>
      <w:kern w:val="28"/>
      <w:sz w:val="56"/>
      <w:szCs w:val="56"/>
    </w:rPr>
  </w:style>
  <w:style w:type="paragraph" w:customStyle="1" w:styleId="FigureFootnote">
    <w:name w:val="FigureFootnote"/>
    <w:qFormat/>
    <w:rsid w:val="00855D1C"/>
    <w:pPr>
      <w:tabs>
        <w:tab w:val="left" w:pos="360"/>
      </w:tabs>
      <w:spacing w:after="240" w:line="240" w:lineRule="auto"/>
      <w:ind w:left="360" w:hanging="360"/>
      <w:contextualSpacing/>
    </w:pPr>
    <w:rPr>
      <w:rFonts w:ascii="Times New Roman" w:eastAsia="Times New Roman" w:hAnsi="Times New Roman"/>
      <w:sz w:val="20"/>
    </w:rPr>
  </w:style>
  <w:style w:type="character" w:customStyle="1" w:styleId="af4">
    <w:name w:val="标题 字符"/>
    <w:basedOn w:val="a2"/>
    <w:link w:val="af3"/>
    <w:qFormat/>
    <w:rsid w:val="00B5355E"/>
    <w:rPr>
      <w:rFonts w:asciiTheme="majorHAnsi" w:eastAsiaTheme="majorEastAsia" w:hAnsiTheme="majorHAnsi" w:cstheme="majorBidi"/>
      <w:spacing w:val="-10"/>
      <w:kern w:val="28"/>
      <w:sz w:val="56"/>
      <w:szCs w:val="56"/>
      <w:lang w:bidi="en-US"/>
    </w:rPr>
  </w:style>
  <w:style w:type="paragraph" w:customStyle="1" w:styleId="Term">
    <w:name w:val="Term"/>
    <w:basedOn w:val="a1"/>
    <w:semiHidden/>
    <w:rsid w:val="009613A2"/>
    <w:pPr>
      <w:spacing w:line="360" w:lineRule="auto"/>
    </w:pPr>
    <w:rPr>
      <w:rFonts w:ascii="Arial" w:hAnsi="Arial" w:cs="Arial"/>
      <w:sz w:val="20"/>
      <w:szCs w:val="20"/>
    </w:rPr>
  </w:style>
  <w:style w:type="paragraph" w:styleId="3">
    <w:name w:val="List Bullet 3"/>
    <w:basedOn w:val="a1"/>
    <w:semiHidden/>
    <w:unhideWhenUsed/>
    <w:rsid w:val="00D86D50"/>
    <w:pPr>
      <w:numPr>
        <w:numId w:val="4"/>
      </w:numPr>
      <w:contextualSpacing/>
    </w:pPr>
  </w:style>
  <w:style w:type="character" w:styleId="af5">
    <w:name w:val="Unresolved Mention"/>
    <w:basedOn w:val="a2"/>
    <w:uiPriority w:val="99"/>
    <w:unhideWhenUsed/>
    <w:rsid w:val="00B5355E"/>
    <w:rPr>
      <w:color w:val="605E5C"/>
      <w:shd w:val="clear" w:color="auto" w:fill="E1DFDD"/>
    </w:rPr>
  </w:style>
  <w:style w:type="paragraph" w:customStyle="1" w:styleId="TableFootnote">
    <w:name w:val="TableFootnote"/>
    <w:qFormat/>
    <w:rsid w:val="00041BC3"/>
    <w:pPr>
      <w:keepLines/>
      <w:tabs>
        <w:tab w:val="left" w:pos="349"/>
      </w:tabs>
      <w:spacing w:after="240" w:line="240" w:lineRule="auto"/>
      <w:ind w:left="346" w:hanging="346"/>
      <w:contextualSpacing/>
    </w:pPr>
    <w:rPr>
      <w:rFonts w:ascii="Times New Roman" w:eastAsia="Times New Roman" w:hAnsi="Times New Roman"/>
      <w:sz w:val="20"/>
    </w:rPr>
  </w:style>
  <w:style w:type="paragraph" w:customStyle="1" w:styleId="BodyText-12pt">
    <w:name w:val="BodyText-12pt"/>
    <w:qFormat/>
    <w:rsid w:val="004B26C3"/>
    <w:pPr>
      <w:spacing w:after="120"/>
    </w:pPr>
    <w:rPr>
      <w:rFonts w:ascii="Times New Roman" w:eastAsia="Times New Roman" w:hAnsi="Times New Roman"/>
      <w:sz w:val="24"/>
    </w:rPr>
  </w:style>
  <w:style w:type="paragraph" w:customStyle="1" w:styleId="BodyText-10pt">
    <w:name w:val="BodyText-10pt"/>
    <w:qFormat/>
    <w:rsid w:val="004B26C3"/>
    <w:pPr>
      <w:suppressAutoHyphens/>
      <w:spacing w:after="120"/>
    </w:pPr>
    <w:rPr>
      <w:rFonts w:ascii="Times New Roman" w:eastAsia="Times New Roman" w:hAnsi="Times New Roman"/>
      <w:sz w:val="20"/>
    </w:rPr>
  </w:style>
  <w:style w:type="paragraph" w:customStyle="1" w:styleId="Subheading1-NoTOCentry">
    <w:name w:val="Subheading1-No TOC entry"/>
    <w:next w:val="BodyText-12pt"/>
    <w:rsid w:val="003E6D44"/>
    <w:pPr>
      <w:keepNext/>
      <w:keepLines/>
      <w:spacing w:after="120" w:line="240" w:lineRule="auto"/>
    </w:pPr>
    <w:rPr>
      <w:rFonts w:ascii="Times New Roman Bold" w:eastAsia="Times New Roman" w:hAnsi="Times New Roman Bold"/>
      <w:b/>
      <w:caps/>
      <w:sz w:val="24"/>
    </w:rPr>
  </w:style>
  <w:style w:type="paragraph" w:customStyle="1" w:styleId="Subheading2-NoTOCentry">
    <w:name w:val="Subheading2-No TOC entry"/>
    <w:next w:val="BodyText-12pt"/>
    <w:rsid w:val="001F2D6E"/>
    <w:pPr>
      <w:keepNext/>
      <w:keepLines/>
      <w:spacing w:after="120" w:line="240" w:lineRule="auto"/>
    </w:pPr>
    <w:rPr>
      <w:rFonts w:ascii="Times New Roman" w:eastAsia="Times New Roman" w:hAnsi="Times New Roman"/>
      <w:b/>
      <w:bCs/>
      <w:sz w:val="24"/>
      <w:u w:val="single"/>
    </w:rPr>
  </w:style>
  <w:style w:type="paragraph" w:customStyle="1" w:styleId="FooterControlledDocInstructions">
    <w:name w:val="Footer (Controlled Doc Instructions)"/>
    <w:semiHidden/>
    <w:rsid w:val="00A82941"/>
    <w:pPr>
      <w:keepLines/>
      <w:spacing w:after="0" w:line="240" w:lineRule="auto"/>
    </w:pPr>
    <w:rPr>
      <w:rFonts w:ascii="Arial" w:eastAsia="Times New Roman" w:hAnsi="Arial" w:cs="Arial"/>
      <w:sz w:val="16"/>
      <w:szCs w:val="16"/>
      <w:lang w:bidi="en-US"/>
    </w:rPr>
  </w:style>
  <w:style w:type="paragraph" w:customStyle="1" w:styleId="HeaderControlledDocInstructions">
    <w:name w:val="Header (Controlled Doc Instructions)"/>
    <w:basedOn w:val="a1"/>
    <w:semiHidden/>
    <w:rsid w:val="008A6DE6"/>
    <w:pPr>
      <w:pBdr>
        <w:bottom w:val="single" w:sz="4" w:space="1" w:color="auto"/>
      </w:pBdr>
      <w:spacing w:line="240" w:lineRule="auto"/>
    </w:pPr>
    <w:rPr>
      <w:rFonts w:ascii="Arial" w:hAnsi="Arial" w:cs="Arial"/>
      <w:b/>
      <w:sz w:val="16"/>
      <w:szCs w:val="16"/>
    </w:rPr>
  </w:style>
  <w:style w:type="paragraph" w:styleId="TOC2">
    <w:name w:val="toc 2"/>
    <w:next w:val="Blankline"/>
    <w:uiPriority w:val="39"/>
    <w:qFormat/>
    <w:rsid w:val="00D22CFA"/>
    <w:pPr>
      <w:keepLines/>
      <w:tabs>
        <w:tab w:val="right" w:leader="dot" w:pos="9360"/>
      </w:tabs>
      <w:spacing w:after="60" w:line="240" w:lineRule="auto"/>
      <w:ind w:left="806" w:right="360" w:hanging="648"/>
    </w:pPr>
    <w:rPr>
      <w:rFonts w:ascii="Times New Roman" w:eastAsiaTheme="majorEastAsia" w:hAnsi="Times New Roman" w:cs="Arial"/>
      <w:bCs/>
      <w:noProof/>
      <w:sz w:val="24"/>
      <w:szCs w:val="20"/>
      <w:lang w:bidi="en-US"/>
    </w:rPr>
  </w:style>
  <w:style w:type="paragraph" w:styleId="af6">
    <w:name w:val="table of figures"/>
    <w:next w:val="Blankline"/>
    <w:uiPriority w:val="99"/>
    <w:qFormat/>
    <w:rsid w:val="004B37C9"/>
    <w:pPr>
      <w:keepLines/>
      <w:tabs>
        <w:tab w:val="right" w:leader="dot" w:pos="9360"/>
      </w:tabs>
      <w:spacing w:after="60" w:line="240" w:lineRule="auto"/>
      <w:ind w:left="1008" w:right="360" w:hanging="1008"/>
    </w:pPr>
    <w:rPr>
      <w:rFonts w:ascii="Times New Roman" w:hAnsi="Times New Roman" w:cs="Times New Roman"/>
      <w:noProof/>
      <w:sz w:val="24"/>
      <w:szCs w:val="24"/>
      <w:lang w:bidi="en-US"/>
    </w:rPr>
  </w:style>
  <w:style w:type="paragraph" w:customStyle="1" w:styleId="Bullet1">
    <w:name w:val="Bullet 1"/>
    <w:qFormat/>
    <w:rsid w:val="003E06ED"/>
    <w:pPr>
      <w:numPr>
        <w:numId w:val="9"/>
      </w:numPr>
      <w:spacing w:after="120"/>
    </w:pPr>
    <w:rPr>
      <w:rFonts w:ascii="Times New Roman" w:eastAsia="Times New Roman" w:hAnsi="Times New Roman"/>
      <w:sz w:val="24"/>
    </w:rPr>
  </w:style>
  <w:style w:type="paragraph" w:customStyle="1" w:styleId="NumberedList">
    <w:name w:val="NumberedList"/>
    <w:rsid w:val="009D31C6"/>
    <w:pPr>
      <w:numPr>
        <w:numId w:val="6"/>
      </w:numPr>
      <w:spacing w:after="120"/>
    </w:pPr>
    <w:rPr>
      <w:rFonts w:ascii="Times New Roman" w:hAnsi="Times New Roman" w:cs="Times New Roman"/>
      <w:sz w:val="24"/>
      <w:szCs w:val="24"/>
      <w:lang w:bidi="en-US"/>
    </w:rPr>
  </w:style>
  <w:style w:type="paragraph" w:customStyle="1" w:styleId="Bullet1a2ndparagraphofBullet1nobullet">
    <w:name w:val="Bullet 1a (2nd paragraph of Bullet 1 [no bullet])"/>
    <w:rsid w:val="0060734D"/>
    <w:pPr>
      <w:spacing w:after="120"/>
      <w:ind w:left="360"/>
    </w:pPr>
    <w:rPr>
      <w:rFonts w:ascii="Times New Roman" w:eastAsia="Times New Roman" w:hAnsi="Times New Roman"/>
      <w:sz w:val="24"/>
    </w:rPr>
  </w:style>
  <w:style w:type="paragraph" w:customStyle="1" w:styleId="FigureTextalsoapplytoimages">
    <w:name w:val="FigureText (also apply to images)"/>
    <w:qFormat/>
    <w:rsid w:val="001B0544"/>
    <w:pPr>
      <w:keepNext/>
      <w:keepLines/>
      <w:tabs>
        <w:tab w:val="left" w:pos="360"/>
      </w:tabs>
      <w:spacing w:after="0" w:line="240" w:lineRule="auto"/>
    </w:pPr>
    <w:rPr>
      <w:rFonts w:ascii="Times New Roman" w:hAnsi="Times New Roman" w:cs="Times New Roman"/>
      <w:noProof/>
      <w:sz w:val="20"/>
      <w:szCs w:val="20"/>
      <w:lang w:val="x-none" w:eastAsia="x-none" w:bidi="en-US"/>
    </w:rPr>
  </w:style>
  <w:style w:type="paragraph" w:styleId="af7">
    <w:name w:val="caption"/>
    <w:next w:val="BodyText-12pt"/>
    <w:qFormat/>
    <w:rsid w:val="001F1CDC"/>
    <w:pPr>
      <w:keepNext/>
      <w:keepLines/>
      <w:spacing w:after="120" w:line="240" w:lineRule="auto"/>
      <w:ind w:left="1440" w:hanging="1440"/>
    </w:pPr>
    <w:rPr>
      <w:rFonts w:ascii="Times New Roman" w:hAnsi="Times New Roman" w:cs="Times New Roman"/>
      <w:b/>
      <w:bCs/>
      <w:sz w:val="24"/>
      <w:szCs w:val="24"/>
      <w:lang w:bidi="en-US"/>
    </w:rPr>
  </w:style>
  <w:style w:type="numbering" w:customStyle="1" w:styleId="List-Numbered">
    <w:name w:val="List - Numbered"/>
    <w:basedOn w:val="a4"/>
    <w:rsid w:val="00D65A47"/>
    <w:pPr>
      <w:numPr>
        <w:numId w:val="1"/>
      </w:numPr>
    </w:pPr>
  </w:style>
  <w:style w:type="paragraph" w:customStyle="1" w:styleId="Bullet2">
    <w:name w:val="Bullet 2"/>
    <w:qFormat/>
    <w:rsid w:val="0060734D"/>
    <w:pPr>
      <w:numPr>
        <w:numId w:val="8"/>
      </w:numPr>
      <w:spacing w:after="120"/>
    </w:pPr>
    <w:rPr>
      <w:rFonts w:ascii="Times New Roman" w:eastAsia="Times New Roman" w:hAnsi="Times New Roman"/>
      <w:sz w:val="24"/>
    </w:rPr>
  </w:style>
  <w:style w:type="paragraph" w:customStyle="1" w:styleId="Bullet2a2ndparagraphofBullet2nobullet">
    <w:name w:val="Bullet 2a (2nd paragraph of Bullet 2 [no bullet])"/>
    <w:rsid w:val="00816530"/>
    <w:pPr>
      <w:spacing w:after="120"/>
      <w:ind w:left="720"/>
    </w:pPr>
    <w:rPr>
      <w:rFonts w:ascii="Times New Roman" w:eastAsia="Times New Roman" w:hAnsi="Times New Roman"/>
      <w:sz w:val="24"/>
    </w:rPr>
  </w:style>
  <w:style w:type="paragraph" w:customStyle="1" w:styleId="Bullet3">
    <w:name w:val="Bullet 3"/>
    <w:rsid w:val="00C274DA"/>
    <w:pPr>
      <w:numPr>
        <w:numId w:val="10"/>
      </w:numPr>
      <w:spacing w:after="120"/>
    </w:pPr>
    <w:rPr>
      <w:rFonts w:ascii="Times New Roman" w:eastAsia="Times New Roman" w:hAnsi="Times New Roman"/>
      <w:sz w:val="24"/>
    </w:rPr>
  </w:style>
  <w:style w:type="paragraph" w:customStyle="1" w:styleId="Subheading3-NoTOCentry">
    <w:name w:val="Subheading3-NoTOC entry"/>
    <w:next w:val="BodyText-12pt"/>
    <w:rsid w:val="001A44B3"/>
    <w:pPr>
      <w:keepNext/>
      <w:keepLines/>
      <w:spacing w:after="120"/>
    </w:pPr>
    <w:rPr>
      <w:rFonts w:ascii="Times New Roman" w:eastAsia="Times New Roman" w:hAnsi="Times New Roman"/>
      <w:sz w:val="24"/>
      <w:u w:val="single"/>
    </w:rPr>
  </w:style>
  <w:style w:type="paragraph" w:customStyle="1" w:styleId="Bullet3a2ndparagraphofBullet3nobullet">
    <w:name w:val="Bullet 3a (2nd paragraph of Bullet 3 [no bullet])"/>
    <w:rsid w:val="00027E84"/>
    <w:pPr>
      <w:spacing w:after="120" w:line="240" w:lineRule="auto"/>
      <w:ind w:left="1080"/>
    </w:pPr>
    <w:rPr>
      <w:rFonts w:ascii="Times New Roman" w:eastAsia="Times New Roman" w:hAnsi="Times New Roman"/>
      <w:sz w:val="24"/>
    </w:rPr>
  </w:style>
  <w:style w:type="paragraph" w:customStyle="1" w:styleId="Bullet4">
    <w:name w:val="Bullet 4"/>
    <w:rsid w:val="00C274DA"/>
    <w:pPr>
      <w:numPr>
        <w:numId w:val="11"/>
      </w:numPr>
      <w:spacing w:after="120"/>
    </w:pPr>
    <w:rPr>
      <w:rFonts w:ascii="Times New Roman" w:eastAsia="Times New Roman" w:hAnsi="Times New Roman"/>
      <w:sz w:val="24"/>
    </w:rPr>
  </w:style>
  <w:style w:type="paragraph" w:customStyle="1" w:styleId="Bullet4a2ndparagraphofBullet4nobullet">
    <w:name w:val="Bullet 4a (2nd paragraph of Bullet 4 [no bullet])"/>
    <w:rsid w:val="00C274DA"/>
    <w:pPr>
      <w:spacing w:after="120"/>
      <w:ind w:left="1440"/>
    </w:pPr>
    <w:rPr>
      <w:rFonts w:ascii="Times New Roman" w:eastAsia="Times New Roman" w:hAnsi="Times New Roman"/>
      <w:sz w:val="24"/>
    </w:rPr>
  </w:style>
  <w:style w:type="paragraph" w:customStyle="1" w:styleId="ReferenceList">
    <w:name w:val="Reference List"/>
    <w:rsid w:val="00B10B2B"/>
    <w:pPr>
      <w:keepLines/>
      <w:numPr>
        <w:numId w:val="12"/>
      </w:numPr>
      <w:spacing w:after="120" w:line="240" w:lineRule="auto"/>
    </w:pPr>
    <w:rPr>
      <w:rFonts w:ascii="Times New Roman" w:eastAsia="Times New Roman" w:hAnsi="Times New Roman"/>
      <w:sz w:val="24"/>
    </w:rPr>
  </w:style>
  <w:style w:type="paragraph" w:styleId="TOC1">
    <w:name w:val="toc 1"/>
    <w:next w:val="Blankline"/>
    <w:uiPriority w:val="39"/>
    <w:qFormat/>
    <w:rsid w:val="00D22CFA"/>
    <w:pPr>
      <w:keepLines/>
      <w:tabs>
        <w:tab w:val="right" w:leader="dot" w:pos="9360"/>
      </w:tabs>
      <w:spacing w:before="240" w:after="60" w:line="240" w:lineRule="auto"/>
      <w:ind w:left="504" w:right="360" w:hanging="504"/>
    </w:pPr>
    <w:rPr>
      <w:rFonts w:ascii="Times New Roman Bold" w:eastAsiaTheme="majorEastAsia" w:hAnsi="Times New Roman Bold" w:cs="Arial"/>
      <w:b/>
      <w:bCs/>
      <w:noProof/>
      <w:sz w:val="24"/>
      <w:szCs w:val="24"/>
      <w:lang w:bidi="en-US"/>
    </w:rPr>
  </w:style>
  <w:style w:type="paragraph" w:customStyle="1" w:styleId="Dash1">
    <w:name w:val="Dash 1"/>
    <w:qFormat/>
    <w:rsid w:val="00027E84"/>
    <w:pPr>
      <w:numPr>
        <w:numId w:val="13"/>
      </w:numPr>
      <w:spacing w:after="120"/>
    </w:pPr>
    <w:rPr>
      <w:rFonts w:ascii="Times New Roman" w:eastAsia="Times New Roman" w:hAnsi="Times New Roman"/>
      <w:sz w:val="24"/>
    </w:rPr>
  </w:style>
  <w:style w:type="character" w:styleId="af8">
    <w:name w:val="Hyperlink"/>
    <w:basedOn w:val="a2"/>
    <w:uiPriority w:val="99"/>
    <w:qFormat/>
    <w:rsid w:val="004B37C9"/>
    <w:rPr>
      <w:rFonts w:ascii="Times New Roman" w:hAnsi="Times New Roman" w:cs="Times New Roman"/>
      <w:color w:val="0000FF"/>
      <w:sz w:val="24"/>
      <w:u w:val="none"/>
    </w:rPr>
  </w:style>
  <w:style w:type="paragraph" w:customStyle="1" w:styleId="Dash1a2ndparagraphofDash1nodash">
    <w:name w:val="Dash 1a (2nd paragraph of Dash 1 [no dash])"/>
    <w:rsid w:val="00027E84"/>
    <w:pPr>
      <w:spacing w:after="120"/>
      <w:ind w:left="360"/>
    </w:pPr>
    <w:rPr>
      <w:rFonts w:ascii="Times New Roman" w:eastAsia="Times New Roman" w:hAnsi="Times New Roman"/>
      <w:sz w:val="24"/>
    </w:rPr>
  </w:style>
  <w:style w:type="paragraph" w:styleId="TOC3">
    <w:name w:val="toc 3"/>
    <w:next w:val="Blankline"/>
    <w:uiPriority w:val="39"/>
    <w:qFormat/>
    <w:rsid w:val="00D22CFA"/>
    <w:pPr>
      <w:keepLines/>
      <w:tabs>
        <w:tab w:val="right" w:leader="dot" w:pos="9360"/>
      </w:tabs>
      <w:spacing w:after="60" w:line="240" w:lineRule="auto"/>
      <w:ind w:left="1310" w:right="360" w:hanging="950"/>
    </w:pPr>
    <w:rPr>
      <w:rFonts w:ascii="Times New Roman" w:hAnsi="Times New Roman" w:cs="Times New Roman"/>
      <w:noProof/>
      <w:sz w:val="24"/>
      <w:szCs w:val="24"/>
      <w:lang w:bidi="en-US"/>
    </w:rPr>
  </w:style>
  <w:style w:type="paragraph" w:styleId="TOC4">
    <w:name w:val="toc 4"/>
    <w:next w:val="Blankline"/>
    <w:uiPriority w:val="39"/>
    <w:qFormat/>
    <w:rsid w:val="00D22CFA"/>
    <w:pPr>
      <w:keepLines/>
      <w:tabs>
        <w:tab w:val="right" w:leader="dot" w:pos="9360"/>
      </w:tabs>
      <w:spacing w:after="60" w:line="240" w:lineRule="auto"/>
      <w:ind w:left="1656" w:right="360" w:hanging="1123"/>
    </w:pPr>
    <w:rPr>
      <w:rFonts w:ascii="Times New Roman" w:hAnsi="Times New Roman" w:cs="Times New Roman"/>
      <w:noProof/>
      <w:sz w:val="24"/>
      <w:szCs w:val="24"/>
      <w:lang w:bidi="en-US"/>
    </w:rPr>
  </w:style>
  <w:style w:type="paragraph" w:customStyle="1" w:styleId="Dash2">
    <w:name w:val="Dash 2"/>
    <w:qFormat/>
    <w:rsid w:val="00027E84"/>
    <w:pPr>
      <w:numPr>
        <w:numId w:val="14"/>
      </w:numPr>
      <w:spacing w:after="120"/>
    </w:pPr>
    <w:rPr>
      <w:rFonts w:ascii="Times New Roman" w:eastAsia="Times New Roman" w:hAnsi="Times New Roman"/>
      <w:sz w:val="24"/>
    </w:rPr>
  </w:style>
  <w:style w:type="paragraph" w:styleId="TOC5">
    <w:name w:val="toc 5"/>
    <w:next w:val="Blankline"/>
    <w:uiPriority w:val="39"/>
    <w:qFormat/>
    <w:rsid w:val="00D22CFA"/>
    <w:pPr>
      <w:keepLines/>
      <w:tabs>
        <w:tab w:val="left" w:pos="1152"/>
        <w:tab w:val="right" w:leader="dot" w:pos="8990"/>
      </w:tabs>
      <w:spacing w:after="60" w:line="240" w:lineRule="auto"/>
      <w:ind w:left="2074" w:hanging="965"/>
    </w:pPr>
    <w:rPr>
      <w:rFonts w:ascii="Times New Roman" w:hAnsi="Times New Roman" w:cs="Times New Roman"/>
      <w:noProof/>
      <w:sz w:val="24"/>
      <w:szCs w:val="24"/>
      <w:lang w:bidi="en-US"/>
    </w:rPr>
  </w:style>
  <w:style w:type="paragraph" w:styleId="TOC6">
    <w:name w:val="toc 6"/>
    <w:next w:val="Blankline"/>
    <w:uiPriority w:val="39"/>
    <w:qFormat/>
    <w:rsid w:val="00D22CFA"/>
    <w:pPr>
      <w:keepLines/>
      <w:spacing w:after="60" w:line="240" w:lineRule="auto"/>
      <w:ind w:left="1195"/>
    </w:pPr>
    <w:rPr>
      <w:rFonts w:ascii="Times New Roman" w:hAnsi="Times New Roman" w:cs="Times New Roman"/>
      <w:sz w:val="24"/>
      <w:szCs w:val="24"/>
      <w:lang w:bidi="en-US"/>
    </w:rPr>
  </w:style>
  <w:style w:type="paragraph" w:styleId="TOC7">
    <w:name w:val="toc 7"/>
    <w:next w:val="Blankline"/>
    <w:uiPriority w:val="39"/>
    <w:qFormat/>
    <w:rsid w:val="00D22CFA"/>
    <w:pPr>
      <w:keepLines/>
      <w:spacing w:after="60" w:line="240" w:lineRule="auto"/>
      <w:ind w:left="1440"/>
    </w:pPr>
    <w:rPr>
      <w:rFonts w:ascii="Times New Roman" w:hAnsi="Times New Roman" w:cs="Times New Roman"/>
      <w:sz w:val="24"/>
      <w:szCs w:val="24"/>
      <w:lang w:bidi="en-US"/>
    </w:rPr>
  </w:style>
  <w:style w:type="paragraph" w:styleId="TOC8">
    <w:name w:val="toc 8"/>
    <w:next w:val="Blankline"/>
    <w:uiPriority w:val="39"/>
    <w:qFormat/>
    <w:rsid w:val="00D22CFA"/>
    <w:pPr>
      <w:keepLines/>
      <w:spacing w:after="60" w:line="240" w:lineRule="auto"/>
      <w:ind w:left="1685"/>
    </w:pPr>
    <w:rPr>
      <w:rFonts w:ascii="Times New Roman" w:hAnsi="Times New Roman" w:cs="Times New Roman"/>
      <w:sz w:val="24"/>
      <w:szCs w:val="24"/>
      <w:lang w:bidi="en-US"/>
    </w:rPr>
  </w:style>
  <w:style w:type="paragraph" w:styleId="TOC9">
    <w:name w:val="toc 9"/>
    <w:next w:val="Blankline"/>
    <w:uiPriority w:val="39"/>
    <w:qFormat/>
    <w:rsid w:val="00D22CFA"/>
    <w:pPr>
      <w:keepLines/>
      <w:tabs>
        <w:tab w:val="right" w:leader="dot" w:pos="9350"/>
      </w:tabs>
      <w:spacing w:after="60" w:line="240" w:lineRule="auto"/>
      <w:ind w:left="2174" w:right="360" w:hanging="1627"/>
    </w:pPr>
    <w:rPr>
      <w:rFonts w:ascii="Times New Roman" w:hAnsi="Times New Roman" w:cs="Times New Roman"/>
      <w:noProof/>
      <w:sz w:val="24"/>
      <w:szCs w:val="24"/>
      <w:lang w:bidi="en-US"/>
    </w:rPr>
  </w:style>
  <w:style w:type="paragraph" w:customStyle="1" w:styleId="Dash2a2ndparagraphofDash2nodash">
    <w:name w:val="Dash 2a (2nd paragraph of Dash 2 [no dash])"/>
    <w:rsid w:val="00027E84"/>
    <w:pPr>
      <w:spacing w:after="120"/>
      <w:ind w:left="720"/>
    </w:pPr>
    <w:rPr>
      <w:rFonts w:ascii="Times New Roman" w:eastAsia="Times New Roman" w:hAnsi="Times New Roman"/>
      <w:sz w:val="24"/>
    </w:rPr>
  </w:style>
  <w:style w:type="paragraph" w:customStyle="1" w:styleId="Dash3">
    <w:name w:val="Dash 3"/>
    <w:rsid w:val="00027E84"/>
    <w:pPr>
      <w:numPr>
        <w:numId w:val="15"/>
      </w:numPr>
      <w:spacing w:after="120"/>
    </w:pPr>
    <w:rPr>
      <w:rFonts w:ascii="Times New Roman" w:eastAsia="Times New Roman" w:hAnsi="Times New Roman"/>
      <w:sz w:val="24"/>
    </w:rPr>
  </w:style>
  <w:style w:type="paragraph" w:customStyle="1" w:styleId="Dash3a2ndparagraphofDash3nodash">
    <w:name w:val="Dash 3a (2nd paragraph of Dash 3 [no dash])"/>
    <w:rsid w:val="00027E84"/>
    <w:pPr>
      <w:spacing w:after="120"/>
      <w:ind w:left="1080"/>
    </w:pPr>
    <w:rPr>
      <w:rFonts w:ascii="Times New Roman" w:eastAsia="Times New Roman" w:hAnsi="Times New Roman"/>
      <w:sz w:val="24"/>
    </w:rPr>
  </w:style>
  <w:style w:type="paragraph" w:customStyle="1" w:styleId="Dash4">
    <w:name w:val="Dash 4"/>
    <w:rsid w:val="00027E84"/>
    <w:pPr>
      <w:tabs>
        <w:tab w:val="num" w:pos="1440"/>
      </w:tabs>
      <w:spacing w:after="120"/>
      <w:ind w:left="1440" w:hanging="360"/>
    </w:pPr>
    <w:rPr>
      <w:rFonts w:ascii="Times New Roman" w:eastAsia="Times New Roman" w:hAnsi="Times New Roman"/>
      <w:sz w:val="24"/>
    </w:rPr>
  </w:style>
  <w:style w:type="paragraph" w:customStyle="1" w:styleId="Dash4a2ndparagraphofDash4nodash">
    <w:name w:val="Dash 4a (2nd paragraph of Dash 4 [no dash])"/>
    <w:rsid w:val="00027E84"/>
    <w:pPr>
      <w:spacing w:after="120"/>
      <w:ind w:left="1440"/>
    </w:pPr>
    <w:rPr>
      <w:rFonts w:ascii="Times New Roman" w:eastAsia="Times New Roman" w:hAnsi="Times New Roman"/>
      <w:sz w:val="24"/>
    </w:rPr>
  </w:style>
  <w:style w:type="paragraph" w:customStyle="1" w:styleId="Blankline">
    <w:name w:val="Blank line"/>
    <w:rsid w:val="00821DE2"/>
    <w:pPr>
      <w:spacing w:after="0" w:line="240" w:lineRule="auto"/>
    </w:pPr>
    <w:rPr>
      <w:rFonts w:ascii="Times New Roman" w:eastAsia="Times New Roman" w:hAnsi="Times New Roman"/>
      <w:sz w:val="24"/>
    </w:rPr>
  </w:style>
  <w:style w:type="paragraph" w:styleId="71">
    <w:name w:val="index 7"/>
    <w:basedOn w:val="a1"/>
    <w:next w:val="a1"/>
    <w:autoRedefine/>
    <w:uiPriority w:val="99"/>
    <w:semiHidden/>
    <w:unhideWhenUsed/>
    <w:rsid w:val="002E7BEE"/>
    <w:pPr>
      <w:spacing w:after="0" w:line="240" w:lineRule="auto"/>
      <w:ind w:left="1680" w:hanging="240"/>
    </w:pPr>
  </w:style>
  <w:style w:type="paragraph" w:customStyle="1" w:styleId="InstructionalText">
    <w:name w:val="Instructional Text"/>
    <w:link w:val="InstructionalTextChar"/>
    <w:qFormat/>
    <w:rsid w:val="0047746B"/>
    <w:pPr>
      <w:spacing w:line="240" w:lineRule="auto"/>
    </w:pPr>
    <w:rPr>
      <w:rFonts w:ascii="Times New Roman" w:hAnsi="Times New Roman" w:cs="Times New Roman"/>
      <w:color w:val="FF0000"/>
      <w:sz w:val="24"/>
      <w:lang w:bidi="en-US"/>
    </w:rPr>
  </w:style>
  <w:style w:type="character" w:customStyle="1" w:styleId="InstructionalTextChar">
    <w:name w:val="Instructional Text Char"/>
    <w:link w:val="InstructionalText"/>
    <w:qFormat/>
    <w:rsid w:val="0047746B"/>
    <w:rPr>
      <w:rFonts w:ascii="Times New Roman" w:hAnsi="Times New Roman" w:cs="Times New Roman"/>
      <w:color w:val="FF0000"/>
      <w:sz w:val="24"/>
      <w:lang w:bidi="en-US"/>
    </w:rPr>
  </w:style>
  <w:style w:type="numbering" w:customStyle="1" w:styleId="List-Bulleted">
    <w:name w:val="List - Bulleted"/>
    <w:basedOn w:val="a4"/>
    <w:rsid w:val="00D65A47"/>
    <w:pPr>
      <w:numPr>
        <w:numId w:val="2"/>
      </w:numPr>
    </w:pPr>
  </w:style>
  <w:style w:type="paragraph" w:styleId="af9">
    <w:name w:val="Plain Text"/>
    <w:basedOn w:val="a1"/>
    <w:link w:val="afa"/>
    <w:uiPriority w:val="99"/>
    <w:unhideWhenUsed/>
    <w:qFormat/>
    <w:rsid w:val="0047746B"/>
    <w:pPr>
      <w:spacing w:after="0" w:line="240" w:lineRule="auto"/>
    </w:pPr>
    <w:rPr>
      <w:rFonts w:ascii="Consolas" w:hAnsi="Consolas"/>
      <w:sz w:val="21"/>
      <w:szCs w:val="21"/>
    </w:rPr>
  </w:style>
  <w:style w:type="character" w:customStyle="1" w:styleId="afa">
    <w:name w:val="纯文本 字符"/>
    <w:basedOn w:val="a2"/>
    <w:link w:val="af9"/>
    <w:uiPriority w:val="99"/>
    <w:qFormat/>
    <w:rsid w:val="0047746B"/>
    <w:rPr>
      <w:rFonts w:ascii="Consolas" w:hAnsi="Consolas" w:cs="Times New Roman"/>
      <w:sz w:val="21"/>
      <w:szCs w:val="21"/>
      <w:lang w:bidi="en-US"/>
    </w:rPr>
  </w:style>
  <w:style w:type="character" w:customStyle="1" w:styleId="Heading-notnumberedChar">
    <w:name w:val="Heading - not numbered Char"/>
    <w:link w:val="Heading-notnumbered"/>
    <w:rsid w:val="00C6278A"/>
    <w:rPr>
      <w:rFonts w:ascii="Arial" w:hAnsi="Arial"/>
      <w:b/>
      <w:i/>
      <w:lang w:val="en-GB"/>
    </w:rPr>
  </w:style>
  <w:style w:type="paragraph" w:customStyle="1" w:styleId="Heading-notnumbered">
    <w:name w:val="Heading - not numbered"/>
    <w:basedOn w:val="a1"/>
    <w:link w:val="Heading-notnumberedChar"/>
    <w:rsid w:val="002101CB"/>
    <w:pPr>
      <w:keepNext/>
      <w:keepLines/>
      <w:spacing w:after="240"/>
      <w:ind w:left="360"/>
    </w:pPr>
    <w:rPr>
      <w:rFonts w:cstheme="minorBidi"/>
      <w:b/>
      <w:i/>
      <w:sz w:val="22"/>
      <w:szCs w:val="22"/>
      <w:lang w:val="en-GB"/>
    </w:rPr>
  </w:style>
  <w:style w:type="paragraph" w:styleId="afb">
    <w:name w:val="footnote text"/>
    <w:basedOn w:val="a1"/>
    <w:link w:val="afc"/>
    <w:qFormat/>
    <w:rsid w:val="000B70D5"/>
    <w:pPr>
      <w:spacing w:after="0" w:line="240" w:lineRule="auto"/>
      <w:ind w:left="360" w:hanging="360"/>
    </w:pPr>
    <w:rPr>
      <w:sz w:val="20"/>
      <w:szCs w:val="20"/>
      <w:lang w:eastAsia="de-DE"/>
    </w:rPr>
  </w:style>
  <w:style w:type="character" w:customStyle="1" w:styleId="afc">
    <w:name w:val="脚注文本 字符"/>
    <w:basedOn w:val="a2"/>
    <w:link w:val="afb"/>
    <w:qFormat/>
    <w:rsid w:val="00AB0696"/>
    <w:rPr>
      <w:rFonts w:ascii="Times New Roman" w:hAnsi="Times New Roman" w:cs="Times New Roman"/>
      <w:sz w:val="20"/>
      <w:szCs w:val="20"/>
      <w:lang w:eastAsia="de-DE" w:bidi="en-US"/>
    </w:rPr>
  </w:style>
  <w:style w:type="paragraph" w:customStyle="1" w:styleId="TableText">
    <w:name w:val="TableText"/>
    <w:qFormat/>
    <w:rsid w:val="00E26AC9"/>
    <w:pPr>
      <w:spacing w:after="0" w:line="240" w:lineRule="auto"/>
    </w:pPr>
    <w:rPr>
      <w:rFonts w:ascii="Times New Roman" w:hAnsi="Times New Roman" w:cs="Times New Roman"/>
      <w:color w:val="000000" w:themeColor="text1"/>
      <w:sz w:val="20"/>
      <w:szCs w:val="24"/>
      <w:lang w:bidi="en-US"/>
    </w:rPr>
  </w:style>
  <w:style w:type="table" w:customStyle="1" w:styleId="TableGrid2">
    <w:name w:val="Table Grid2"/>
    <w:basedOn w:val="a3"/>
    <w:next w:val="ab"/>
    <w:rsid w:val="00F94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
    <w:name w:val="TOC Heading"/>
    <w:basedOn w:val="1"/>
    <w:next w:val="a1"/>
    <w:uiPriority w:val="39"/>
    <w:semiHidden/>
    <w:unhideWhenUsed/>
    <w:qFormat/>
    <w:rsid w:val="008F7241"/>
    <w:pPr>
      <w:pageBreakBefore w:val="0"/>
      <w:numPr>
        <w:numId w:val="0"/>
      </w:numPr>
      <w:tabs>
        <w:tab w:val="clear" w:pos="432"/>
      </w:tabs>
      <w:spacing w:before="480" w:after="0" w:line="276" w:lineRule="auto"/>
      <w:outlineLvl w:val="9"/>
    </w:pPr>
    <w:rPr>
      <w:rFonts w:asciiTheme="majorHAnsi" w:hAnsiTheme="majorHAnsi" w:cstheme="majorBidi"/>
      <w:color w:val="365F91" w:themeColor="accent1" w:themeShade="BF"/>
      <w:kern w:val="0"/>
      <w:sz w:val="28"/>
      <w:szCs w:val="28"/>
      <w:lang w:eastAsia="ja-JP" w:bidi="ar-SA"/>
    </w:rPr>
  </w:style>
  <w:style w:type="paragraph" w:customStyle="1" w:styleId="Appendices">
    <w:name w:val="Appendices"/>
    <w:next w:val="BodyText-12pt"/>
    <w:uiPriority w:val="99"/>
    <w:rsid w:val="0060734D"/>
    <w:pPr>
      <w:keepNext/>
      <w:keepLines/>
      <w:pageBreakBefore/>
      <w:widowControl w:val="0"/>
      <w:tabs>
        <w:tab w:val="left" w:pos="432"/>
      </w:tabs>
      <w:adjustRightInd w:val="0"/>
      <w:snapToGrid w:val="0"/>
      <w:spacing w:after="120" w:line="240" w:lineRule="auto"/>
      <w:ind w:left="720" w:hanging="720"/>
      <w:textAlignment w:val="baseline"/>
      <w:outlineLvl w:val="0"/>
    </w:pPr>
    <w:rPr>
      <w:rFonts w:ascii="Times New Roman Bold" w:eastAsia="MS Gothic" w:hAnsi="Times New Roman Bold" w:cs="Arial"/>
      <w:b/>
      <w:bCs/>
      <w:kern w:val="32"/>
      <w:sz w:val="24"/>
      <w:szCs w:val="24"/>
      <w:lang w:eastAsia="ja-JP"/>
    </w:rPr>
  </w:style>
  <w:style w:type="character" w:styleId="afd">
    <w:name w:val="FollowedHyperlink"/>
    <w:basedOn w:val="a2"/>
    <w:uiPriority w:val="99"/>
    <w:unhideWhenUsed/>
    <w:qFormat/>
    <w:rsid w:val="004B37C9"/>
    <w:rPr>
      <w:color w:val="0000FF"/>
      <w:u w:val="none"/>
    </w:rPr>
  </w:style>
  <w:style w:type="character" w:styleId="afe">
    <w:name w:val="footnote reference"/>
    <w:basedOn w:val="a2"/>
    <w:semiHidden/>
    <w:qFormat/>
    <w:rsid w:val="00280A55"/>
    <w:rPr>
      <w:vertAlign w:val="superscript"/>
    </w:rPr>
  </w:style>
  <w:style w:type="numbering" w:styleId="111111">
    <w:name w:val="Outline List 2"/>
    <w:basedOn w:val="a4"/>
    <w:uiPriority w:val="99"/>
    <w:semiHidden/>
    <w:unhideWhenUsed/>
    <w:rsid w:val="00FA68E0"/>
    <w:pPr>
      <w:numPr>
        <w:numId w:val="7"/>
      </w:numPr>
    </w:pPr>
  </w:style>
  <w:style w:type="paragraph" w:customStyle="1" w:styleId="BodyText-10pt-Synopsis">
    <w:name w:val="BodyText-10pt-Synopsis"/>
    <w:semiHidden/>
    <w:qFormat/>
    <w:rsid w:val="002B227E"/>
    <w:pPr>
      <w:spacing w:before="60" w:after="60"/>
    </w:pPr>
    <w:rPr>
      <w:rFonts w:ascii="Times New Roman" w:eastAsia="Times New Roman" w:hAnsi="Times New Roman"/>
      <w:sz w:val="20"/>
      <w:szCs w:val="24"/>
    </w:rPr>
  </w:style>
  <w:style w:type="paragraph" w:customStyle="1" w:styleId="FooterPage">
    <w:name w:val="Footer Page"/>
    <w:basedOn w:val="a1"/>
    <w:qFormat/>
    <w:rsid w:val="00B434CD"/>
    <w:pPr>
      <w:tabs>
        <w:tab w:val="right" w:pos="9360"/>
      </w:tabs>
      <w:spacing w:after="0" w:line="240" w:lineRule="auto"/>
    </w:pPr>
    <w:rPr>
      <w:sz w:val="20"/>
      <w:szCs w:val="20"/>
    </w:rPr>
  </w:style>
  <w:style w:type="paragraph" w:customStyle="1" w:styleId="TableParagraph">
    <w:name w:val="Table Paragraph"/>
    <w:basedOn w:val="a1"/>
    <w:uiPriority w:val="1"/>
    <w:qFormat/>
    <w:rsid w:val="002B6CF5"/>
    <w:pPr>
      <w:widowControl w:val="0"/>
      <w:autoSpaceDE w:val="0"/>
      <w:autoSpaceDN w:val="0"/>
      <w:spacing w:after="0" w:line="240" w:lineRule="auto"/>
    </w:pPr>
    <w:rPr>
      <w:rFonts w:eastAsia="Times New Roman"/>
      <w:sz w:val="22"/>
      <w:szCs w:val="22"/>
    </w:rPr>
  </w:style>
  <w:style w:type="paragraph" w:styleId="aff">
    <w:name w:val="List Paragraph"/>
    <w:aliases w:val="Q_BulletPoint_10ArialItalic"/>
    <w:basedOn w:val="a1"/>
    <w:link w:val="aff0"/>
    <w:uiPriority w:val="34"/>
    <w:qFormat/>
    <w:rsid w:val="009D3DF8"/>
    <w:pPr>
      <w:spacing w:after="160" w:line="259" w:lineRule="auto"/>
      <w:ind w:left="720"/>
      <w:contextualSpacing/>
    </w:pPr>
    <w:rPr>
      <w:rFonts w:asciiTheme="minorHAnsi" w:eastAsiaTheme="minorHAnsi" w:hAnsiTheme="minorHAnsi" w:cstheme="minorBidi"/>
      <w:sz w:val="22"/>
      <w:szCs w:val="22"/>
      <w:lang w:bidi="ar-SA"/>
    </w:rPr>
  </w:style>
  <w:style w:type="numbering" w:customStyle="1" w:styleId="CurrentList2">
    <w:name w:val="Current List2"/>
    <w:uiPriority w:val="99"/>
    <w:rsid w:val="009D3DF8"/>
    <w:pPr>
      <w:numPr>
        <w:numId w:val="17"/>
      </w:numPr>
    </w:pPr>
  </w:style>
  <w:style w:type="numbering" w:customStyle="1" w:styleId="CurrentList19">
    <w:name w:val="Current List19"/>
    <w:uiPriority w:val="99"/>
    <w:rsid w:val="009D3DF8"/>
    <w:pPr>
      <w:numPr>
        <w:numId w:val="18"/>
      </w:numPr>
    </w:pPr>
  </w:style>
  <w:style w:type="paragraph" w:customStyle="1" w:styleId="InstructionalTextBulleted">
    <w:name w:val="Instructional Text Bulleted"/>
    <w:basedOn w:val="InstructionalText"/>
    <w:rsid w:val="005235B6"/>
    <w:pPr>
      <w:numPr>
        <w:numId w:val="19"/>
      </w:numPr>
      <w:spacing w:after="120"/>
    </w:pPr>
    <w:rPr>
      <w:rFonts w:eastAsiaTheme="minorHAnsi"/>
      <w:lang w:val="en-GB"/>
    </w:rPr>
  </w:style>
  <w:style w:type="paragraph" w:customStyle="1" w:styleId="Default">
    <w:name w:val="Default"/>
    <w:qFormat/>
    <w:rsid w:val="00535B6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graph">
    <w:name w:val="Paragraph"/>
    <w:link w:val="ParagraphChar"/>
    <w:qFormat/>
    <w:rsid w:val="001E04B1"/>
    <w:pPr>
      <w:spacing w:after="240"/>
    </w:pPr>
    <w:rPr>
      <w:rFonts w:ascii="Times New Roman" w:eastAsia="Times New Roman" w:hAnsi="Times New Roman" w:cs="Times New Roman"/>
      <w:sz w:val="24"/>
      <w:szCs w:val="24"/>
      <w:lang w:val="en-GB"/>
    </w:rPr>
  </w:style>
  <w:style w:type="character" w:customStyle="1" w:styleId="ParagraphChar">
    <w:name w:val="Paragraph Char"/>
    <w:basedOn w:val="a2"/>
    <w:link w:val="Paragraph"/>
    <w:rsid w:val="001E04B1"/>
    <w:rPr>
      <w:rFonts w:ascii="Times New Roman" w:eastAsia="Times New Roman" w:hAnsi="Times New Roman" w:cs="Times New Roman"/>
      <w:sz w:val="24"/>
      <w:szCs w:val="24"/>
      <w:lang w:val="en-GB"/>
    </w:rPr>
  </w:style>
  <w:style w:type="paragraph" w:customStyle="1" w:styleId="A-NormalIndent">
    <w:name w:val="A-Normal Indent"/>
    <w:next w:val="a1"/>
    <w:rsid w:val="001E04B1"/>
    <w:pPr>
      <w:spacing w:after="240" w:line="280" w:lineRule="atLeast"/>
      <w:ind w:left="992"/>
    </w:pPr>
    <w:rPr>
      <w:rFonts w:ascii="Times New Roman" w:eastAsia="Times New Roman" w:hAnsi="Times New Roman" w:cs="Times New Roman"/>
      <w:sz w:val="24"/>
      <w:szCs w:val="20"/>
      <w:lang w:val="en-GB"/>
    </w:rPr>
  </w:style>
  <w:style w:type="character" w:styleId="aff1">
    <w:name w:val="Mention"/>
    <w:basedOn w:val="a2"/>
    <w:uiPriority w:val="99"/>
    <w:unhideWhenUsed/>
    <w:rsid w:val="008A2AAB"/>
    <w:rPr>
      <w:color w:val="2B579A"/>
      <w:shd w:val="clear" w:color="auto" w:fill="E6E6E6"/>
    </w:rPr>
  </w:style>
  <w:style w:type="paragraph" w:customStyle="1" w:styleId="DataField11pt-Single">
    <w:name w:val="Data Field 11pt-Single"/>
    <w:basedOn w:val="a1"/>
    <w:link w:val="DataField11pt-SingleChar"/>
    <w:rsid w:val="00EB0DB3"/>
    <w:pPr>
      <w:autoSpaceDE w:val="0"/>
      <w:autoSpaceDN w:val="0"/>
      <w:spacing w:after="0" w:line="240" w:lineRule="auto"/>
    </w:pPr>
    <w:rPr>
      <w:rFonts w:ascii="Arial" w:eastAsia="Times New Roman" w:hAnsi="Arial" w:cs="Arial"/>
      <w:sz w:val="22"/>
      <w:szCs w:val="20"/>
      <w:lang w:bidi="ar-SA"/>
    </w:rPr>
  </w:style>
  <w:style w:type="character" w:customStyle="1" w:styleId="DataField11pt-SingleChar">
    <w:name w:val="Data Field 11pt-Single Char"/>
    <w:basedOn w:val="a2"/>
    <w:link w:val="DataField11pt-Single"/>
    <w:rsid w:val="00EB0DB3"/>
    <w:rPr>
      <w:rFonts w:ascii="Arial" w:eastAsia="Times New Roman" w:hAnsi="Arial" w:cs="Arial"/>
      <w:szCs w:val="20"/>
    </w:rPr>
  </w:style>
  <w:style w:type="paragraph" w:styleId="2">
    <w:name w:val="List Bullet 2"/>
    <w:basedOn w:val="a1"/>
    <w:semiHidden/>
    <w:unhideWhenUsed/>
    <w:rsid w:val="001B3F9D"/>
    <w:pPr>
      <w:numPr>
        <w:numId w:val="22"/>
      </w:numPr>
      <w:contextualSpacing/>
    </w:pPr>
  </w:style>
  <w:style w:type="character" w:customStyle="1" w:styleId="aff0">
    <w:name w:val="列表段落 字符"/>
    <w:aliases w:val="Q_BulletPoint_10ArialItalic 字符"/>
    <w:basedOn w:val="a2"/>
    <w:link w:val="aff"/>
    <w:uiPriority w:val="34"/>
    <w:qFormat/>
    <w:locked/>
    <w:rsid w:val="001B3F9D"/>
    <w:rPr>
      <w:rFonts w:eastAsiaTheme="minorHAnsi"/>
    </w:rPr>
  </w:style>
  <w:style w:type="paragraph" w:customStyle="1" w:styleId="DocumentText">
    <w:name w:val="Document Text"/>
    <w:basedOn w:val="a1"/>
    <w:link w:val="DocumentTextChar"/>
    <w:qFormat/>
    <w:rsid w:val="001B3F9D"/>
    <w:pPr>
      <w:spacing w:after="240" w:line="300" w:lineRule="auto"/>
    </w:pPr>
    <w:rPr>
      <w:rFonts w:eastAsia="Times New Roman"/>
      <w:kern w:val="24"/>
      <w:lang w:bidi="ar-SA"/>
    </w:rPr>
  </w:style>
  <w:style w:type="character" w:customStyle="1" w:styleId="DocumentTextChar">
    <w:name w:val="Document Text Char"/>
    <w:link w:val="DocumentText"/>
    <w:rsid w:val="001B3F9D"/>
    <w:rPr>
      <w:rFonts w:ascii="Times New Roman" w:eastAsia="Times New Roman" w:hAnsi="Times New Roman" w:cs="Times New Roman"/>
      <w:kern w:val="24"/>
      <w:sz w:val="24"/>
      <w:szCs w:val="24"/>
    </w:rPr>
  </w:style>
  <w:style w:type="character" w:customStyle="1" w:styleId="Bodyblue">
    <w:name w:val="Body blue"/>
    <w:basedOn w:val="a2"/>
    <w:uiPriority w:val="1"/>
    <w:qFormat/>
    <w:rsid w:val="001B3F9D"/>
    <w:rPr>
      <w:color w:val="0000FF"/>
    </w:rPr>
  </w:style>
  <w:style w:type="paragraph" w:customStyle="1" w:styleId="ListNumbered">
    <w:name w:val="List Numbered"/>
    <w:basedOn w:val="DocumentText"/>
    <w:qFormat/>
    <w:rsid w:val="001B3F9D"/>
    <w:pPr>
      <w:keepLines/>
      <w:numPr>
        <w:numId w:val="23"/>
      </w:numPr>
      <w:tabs>
        <w:tab w:val="clear" w:pos="648"/>
        <w:tab w:val="left" w:pos="794"/>
      </w:tabs>
      <w:snapToGrid w:val="0"/>
      <w:spacing w:before="120" w:after="120"/>
    </w:pPr>
  </w:style>
  <w:style w:type="character" w:customStyle="1" w:styleId="jpfdse">
    <w:name w:val="jpfdse"/>
    <w:basedOn w:val="a2"/>
    <w:rsid w:val="00E84162"/>
  </w:style>
  <w:style w:type="paragraph" w:customStyle="1" w:styleId="xmsonormal">
    <w:name w:val="x_msonormal"/>
    <w:basedOn w:val="a1"/>
    <w:rsid w:val="00DC2BFA"/>
    <w:pPr>
      <w:spacing w:after="0" w:line="240" w:lineRule="auto"/>
    </w:pPr>
    <w:rPr>
      <w:rFonts w:ascii="Calibri" w:eastAsiaTheme="minorHAnsi" w:hAnsi="Calibri" w:cs="Calibri"/>
      <w:sz w:val="22"/>
      <w:szCs w:val="22"/>
      <w:lang w:bidi="ar-SA"/>
    </w:rPr>
  </w:style>
  <w:style w:type="character" w:customStyle="1" w:styleId="xapple-converted-space">
    <w:name w:val="x_apple-converted-space"/>
    <w:basedOn w:val="a2"/>
    <w:rsid w:val="00DC2BFA"/>
  </w:style>
  <w:style w:type="paragraph" w:customStyle="1" w:styleId="gmail-m-3333532602316891006msolistparagraph">
    <w:name w:val="gmail-m_-3333532602316891006msolistparagraph"/>
    <w:basedOn w:val="a1"/>
    <w:rsid w:val="00D12135"/>
    <w:pPr>
      <w:spacing w:before="100" w:beforeAutospacing="1" w:after="100" w:afterAutospacing="1" w:line="240" w:lineRule="auto"/>
    </w:pPr>
    <w:rPr>
      <w:rFonts w:ascii="Calibri" w:eastAsiaTheme="minorHAnsi" w:hAnsi="Calibri" w:cs="Calibri"/>
      <w:sz w:val="22"/>
      <w:szCs w:val="22"/>
      <w:lang w:bidi="ar-SA"/>
    </w:rPr>
  </w:style>
  <w:style w:type="paragraph" w:customStyle="1" w:styleId="xmsolistparagraph">
    <w:name w:val="x_msolistparagraph"/>
    <w:basedOn w:val="a1"/>
    <w:rsid w:val="00A86D4A"/>
    <w:pPr>
      <w:spacing w:after="0" w:line="240" w:lineRule="auto"/>
      <w:ind w:left="720"/>
    </w:pPr>
    <w:rPr>
      <w:rFonts w:ascii="Calibri" w:eastAsiaTheme="minorHAnsi" w:hAnsi="Calibri" w:cs="Calibri"/>
      <w:sz w:val="22"/>
      <w:szCs w:val="22"/>
      <w:lang w:bidi="ar-SA"/>
    </w:rPr>
  </w:style>
  <w:style w:type="character" w:customStyle="1" w:styleId="fontstyle01">
    <w:name w:val="fontstyle01"/>
    <w:basedOn w:val="a2"/>
    <w:qFormat/>
    <w:rsid w:val="00EF76B6"/>
    <w:rPr>
      <w:rFonts w:ascii="OTNEJMQuadraat" w:eastAsia="OTNEJMQuadraat" w:hint="eastAsia"/>
      <w:color w:val="231F20"/>
      <w:sz w:val="36"/>
      <w:szCs w:val="36"/>
    </w:rPr>
  </w:style>
  <w:style w:type="paragraph" w:customStyle="1" w:styleId="13">
    <w:name w:val="正文1"/>
    <w:basedOn w:val="a1"/>
    <w:link w:val="14"/>
    <w:qFormat/>
    <w:rsid w:val="00C043AF"/>
    <w:pPr>
      <w:widowControl w:val="0"/>
      <w:spacing w:beforeLines="10" w:after="0" w:line="336" w:lineRule="auto"/>
      <w:ind w:firstLineChars="200" w:firstLine="200"/>
      <w:jc w:val="both"/>
    </w:pPr>
    <w:rPr>
      <w:kern w:val="2"/>
      <w:sz w:val="22"/>
      <w:szCs w:val="20"/>
      <w:lang w:eastAsia="zh-CN" w:bidi="ar-SA"/>
    </w:rPr>
  </w:style>
  <w:style w:type="character" w:customStyle="1" w:styleId="14">
    <w:name w:val="正文1 字符"/>
    <w:link w:val="13"/>
    <w:qFormat/>
    <w:locked/>
    <w:rsid w:val="00C043AF"/>
    <w:rPr>
      <w:rFonts w:ascii="Times New Roman" w:hAnsi="Times New Roman" w:cs="Times New Roman"/>
      <w:kern w:val="2"/>
      <w:szCs w:val="20"/>
      <w:lang w:eastAsia="zh-CN"/>
    </w:rPr>
  </w:style>
  <w:style w:type="character" w:customStyle="1" w:styleId="hps">
    <w:name w:val="hps"/>
    <w:qFormat/>
    <w:rsid w:val="00C043AF"/>
  </w:style>
  <w:style w:type="paragraph" w:styleId="aff2">
    <w:name w:val="Normal (Web)"/>
    <w:basedOn w:val="a1"/>
    <w:unhideWhenUsed/>
    <w:qFormat/>
    <w:rsid w:val="00455B9B"/>
    <w:pPr>
      <w:spacing w:before="100" w:beforeAutospacing="1" w:after="100" w:afterAutospacing="1" w:line="240" w:lineRule="auto"/>
    </w:pPr>
    <w:rPr>
      <w:rFonts w:ascii="宋体" w:hAnsi="宋体" w:cs="宋体"/>
      <w:lang w:eastAsia="zh-CN" w:bidi="ar-SA"/>
    </w:rPr>
  </w:style>
  <w:style w:type="paragraph" w:customStyle="1" w:styleId="aff3">
    <w:name w:val="！正文"/>
    <w:uiPriority w:val="99"/>
    <w:qFormat/>
    <w:rsid w:val="00455B9B"/>
    <w:pPr>
      <w:widowControl w:val="0"/>
      <w:spacing w:after="0" w:line="360" w:lineRule="auto"/>
      <w:ind w:firstLineChars="200" w:firstLine="200"/>
      <w:jc w:val="both"/>
    </w:pPr>
    <w:rPr>
      <w:rFonts w:ascii="Times New Roman" w:hAnsi="Times New Roman" w:cs="Times New Roman"/>
      <w:color w:val="000000"/>
      <w:kern w:val="2"/>
      <w:sz w:val="24"/>
      <w:szCs w:val="24"/>
      <w:u w:color="000000"/>
      <w:lang w:eastAsia="zh-CN"/>
    </w:rPr>
  </w:style>
  <w:style w:type="character" w:customStyle="1" w:styleId="ParaChar">
    <w:name w:val="Para Char"/>
    <w:link w:val="Para"/>
    <w:qFormat/>
    <w:locked/>
    <w:rsid w:val="004D5DA5"/>
    <w:rPr>
      <w:sz w:val="24"/>
    </w:rPr>
  </w:style>
  <w:style w:type="paragraph" w:customStyle="1" w:styleId="Para">
    <w:name w:val="Para"/>
    <w:link w:val="ParaChar"/>
    <w:qFormat/>
    <w:rsid w:val="004D5DA5"/>
    <w:pPr>
      <w:suppressAutoHyphens/>
      <w:spacing w:after="180" w:line="320" w:lineRule="exact"/>
    </w:pPr>
    <w:rPr>
      <w:sz w:val="24"/>
    </w:rPr>
  </w:style>
  <w:style w:type="paragraph" w:styleId="aff4">
    <w:name w:val="table of authorities"/>
    <w:basedOn w:val="a1"/>
    <w:next w:val="a1"/>
    <w:uiPriority w:val="99"/>
    <w:semiHidden/>
    <w:unhideWhenUsed/>
    <w:qFormat/>
    <w:rsid w:val="004D54F2"/>
    <w:pPr>
      <w:widowControl w:val="0"/>
      <w:spacing w:after="0" w:line="360" w:lineRule="auto"/>
      <w:ind w:leftChars="200" w:left="420"/>
      <w:jc w:val="both"/>
    </w:pPr>
    <w:rPr>
      <w:kern w:val="2"/>
      <w:szCs w:val="22"/>
      <w:lang w:eastAsia="zh-CN" w:bidi="ar-SA"/>
    </w:rPr>
  </w:style>
  <w:style w:type="paragraph" w:styleId="aff5">
    <w:name w:val="Normal Indent"/>
    <w:basedOn w:val="a1"/>
    <w:qFormat/>
    <w:rsid w:val="004D54F2"/>
    <w:pPr>
      <w:widowControl w:val="0"/>
      <w:spacing w:after="0" w:line="240" w:lineRule="auto"/>
      <w:ind w:firstLineChars="200" w:firstLine="420"/>
      <w:jc w:val="both"/>
    </w:pPr>
    <w:rPr>
      <w:rFonts w:ascii="Times New Roman Bold" w:eastAsia="华文宋体" w:hAnsi="Times New Roman Bold" w:cs="Times New Roman Bold"/>
      <w:kern w:val="2"/>
      <w:sz w:val="21"/>
      <w:lang w:eastAsia="zh-CN" w:bidi="ar-SA"/>
    </w:rPr>
  </w:style>
  <w:style w:type="paragraph" w:styleId="aff6">
    <w:name w:val="toa heading"/>
    <w:basedOn w:val="a1"/>
    <w:next w:val="a1"/>
    <w:uiPriority w:val="99"/>
    <w:semiHidden/>
    <w:unhideWhenUsed/>
    <w:qFormat/>
    <w:rsid w:val="004D54F2"/>
    <w:pPr>
      <w:widowControl w:val="0"/>
      <w:spacing w:before="120" w:after="0" w:line="360" w:lineRule="auto"/>
      <w:jc w:val="both"/>
    </w:pPr>
    <w:rPr>
      <w:rFonts w:asciiTheme="majorHAnsi" w:hAnsiTheme="majorHAnsi" w:cstheme="majorBidi"/>
      <w:kern w:val="2"/>
      <w:lang w:eastAsia="zh-CN" w:bidi="ar-SA"/>
    </w:rPr>
  </w:style>
  <w:style w:type="paragraph" w:styleId="aff7">
    <w:name w:val="Body Text"/>
    <w:basedOn w:val="a1"/>
    <w:link w:val="aff8"/>
    <w:uiPriority w:val="1"/>
    <w:qFormat/>
    <w:rsid w:val="004D54F2"/>
    <w:pPr>
      <w:widowControl w:val="0"/>
      <w:autoSpaceDE w:val="0"/>
      <w:autoSpaceDN w:val="0"/>
      <w:spacing w:after="0" w:line="240" w:lineRule="auto"/>
    </w:pPr>
    <w:rPr>
      <w:rFonts w:eastAsia="Times New Roman"/>
    </w:rPr>
  </w:style>
  <w:style w:type="character" w:customStyle="1" w:styleId="aff8">
    <w:name w:val="正文文本 字符"/>
    <w:basedOn w:val="a2"/>
    <w:link w:val="aff7"/>
    <w:uiPriority w:val="1"/>
    <w:qFormat/>
    <w:rsid w:val="004D54F2"/>
    <w:rPr>
      <w:rFonts w:ascii="Times New Roman" w:eastAsia="Times New Roman" w:hAnsi="Times New Roman" w:cs="Times New Roman"/>
      <w:sz w:val="24"/>
      <w:szCs w:val="24"/>
      <w:lang w:bidi="en-US"/>
    </w:rPr>
  </w:style>
  <w:style w:type="paragraph" w:styleId="aff9">
    <w:name w:val="Body Text Indent"/>
    <w:basedOn w:val="a1"/>
    <w:link w:val="affa"/>
    <w:qFormat/>
    <w:rsid w:val="004D54F2"/>
    <w:pPr>
      <w:widowControl w:val="0"/>
      <w:spacing w:line="240" w:lineRule="auto"/>
      <w:ind w:leftChars="200" w:left="420"/>
      <w:jc w:val="both"/>
    </w:pPr>
    <w:rPr>
      <w:rFonts w:ascii="Times New Roman Bold" w:eastAsia="华文宋体" w:hAnsi="Times New Roman Bold" w:cs="Times New Roman Bold"/>
      <w:kern w:val="2"/>
      <w:sz w:val="21"/>
      <w:lang w:eastAsia="zh-CN" w:bidi="ar-SA"/>
    </w:rPr>
  </w:style>
  <w:style w:type="character" w:customStyle="1" w:styleId="affa">
    <w:name w:val="正文文本缩进 字符"/>
    <w:basedOn w:val="a2"/>
    <w:link w:val="aff9"/>
    <w:qFormat/>
    <w:rsid w:val="004D54F2"/>
    <w:rPr>
      <w:rFonts w:ascii="Times New Roman Bold" w:eastAsia="华文宋体" w:hAnsi="Times New Roman Bold" w:cs="Times New Roman Bold"/>
      <w:kern w:val="2"/>
      <w:sz w:val="21"/>
      <w:szCs w:val="24"/>
      <w:lang w:eastAsia="zh-CN"/>
    </w:rPr>
  </w:style>
  <w:style w:type="paragraph" w:styleId="affb">
    <w:name w:val="Date"/>
    <w:basedOn w:val="a1"/>
    <w:next w:val="a1"/>
    <w:link w:val="affc"/>
    <w:uiPriority w:val="99"/>
    <w:unhideWhenUsed/>
    <w:qFormat/>
    <w:rsid w:val="004D54F2"/>
    <w:pPr>
      <w:widowControl w:val="0"/>
      <w:spacing w:after="0" w:line="240" w:lineRule="auto"/>
      <w:ind w:leftChars="2500" w:left="100"/>
      <w:jc w:val="both"/>
    </w:pPr>
    <w:rPr>
      <w:rFonts w:asciiTheme="minorHAnsi" w:eastAsiaTheme="minorEastAsia" w:hAnsiTheme="minorHAnsi" w:cstheme="minorBidi"/>
      <w:kern w:val="2"/>
      <w:sz w:val="21"/>
      <w:szCs w:val="22"/>
      <w:lang w:eastAsia="zh-CN" w:bidi="ar-SA"/>
    </w:rPr>
  </w:style>
  <w:style w:type="character" w:customStyle="1" w:styleId="affc">
    <w:name w:val="日期 字符"/>
    <w:basedOn w:val="a2"/>
    <w:link w:val="affb"/>
    <w:uiPriority w:val="99"/>
    <w:qFormat/>
    <w:rsid w:val="004D54F2"/>
    <w:rPr>
      <w:rFonts w:eastAsiaTheme="minorEastAsia"/>
      <w:kern w:val="2"/>
      <w:sz w:val="21"/>
      <w:lang w:eastAsia="zh-CN"/>
    </w:rPr>
  </w:style>
  <w:style w:type="paragraph" w:styleId="23">
    <w:name w:val="Body Text Indent 2"/>
    <w:basedOn w:val="a1"/>
    <w:link w:val="24"/>
    <w:unhideWhenUsed/>
    <w:qFormat/>
    <w:rsid w:val="004D54F2"/>
    <w:pPr>
      <w:widowControl w:val="0"/>
      <w:autoSpaceDE w:val="0"/>
      <w:autoSpaceDN w:val="0"/>
      <w:adjustRightInd w:val="0"/>
      <w:snapToGrid w:val="0"/>
      <w:spacing w:after="0" w:line="300" w:lineRule="auto"/>
      <w:ind w:firstLineChars="200" w:firstLine="520"/>
    </w:pPr>
    <w:rPr>
      <w:kern w:val="2"/>
      <w:sz w:val="26"/>
      <w:szCs w:val="26"/>
      <w:lang w:eastAsia="zh-CN" w:bidi="ar-SA"/>
    </w:rPr>
  </w:style>
  <w:style w:type="character" w:customStyle="1" w:styleId="24">
    <w:name w:val="正文文本缩进 2 字符"/>
    <w:basedOn w:val="a2"/>
    <w:link w:val="23"/>
    <w:qFormat/>
    <w:rsid w:val="004D54F2"/>
    <w:rPr>
      <w:rFonts w:ascii="Times New Roman" w:hAnsi="Times New Roman" w:cs="Times New Roman"/>
      <w:kern w:val="2"/>
      <w:sz w:val="26"/>
      <w:szCs w:val="26"/>
      <w:lang w:eastAsia="zh-CN"/>
    </w:rPr>
  </w:style>
  <w:style w:type="paragraph" w:styleId="affd">
    <w:name w:val="endnote text"/>
    <w:basedOn w:val="a1"/>
    <w:link w:val="affe"/>
    <w:unhideWhenUsed/>
    <w:qFormat/>
    <w:rsid w:val="004D54F2"/>
    <w:pPr>
      <w:widowControl w:val="0"/>
      <w:snapToGrid w:val="0"/>
      <w:spacing w:after="0" w:line="360" w:lineRule="auto"/>
    </w:pPr>
    <w:rPr>
      <w:kern w:val="2"/>
      <w:szCs w:val="22"/>
      <w:lang w:eastAsia="zh-CN" w:bidi="ar-SA"/>
    </w:rPr>
  </w:style>
  <w:style w:type="character" w:customStyle="1" w:styleId="affe">
    <w:name w:val="尾注文本 字符"/>
    <w:basedOn w:val="a2"/>
    <w:link w:val="affd"/>
    <w:uiPriority w:val="99"/>
    <w:qFormat/>
    <w:rsid w:val="004D54F2"/>
    <w:rPr>
      <w:rFonts w:ascii="Times New Roman" w:hAnsi="Times New Roman" w:cs="Times New Roman"/>
      <w:kern w:val="2"/>
      <w:sz w:val="24"/>
      <w:lang w:eastAsia="zh-CN"/>
    </w:rPr>
  </w:style>
  <w:style w:type="paragraph" w:styleId="afff">
    <w:name w:val="Subtitle"/>
    <w:basedOn w:val="a1"/>
    <w:next w:val="a1"/>
    <w:link w:val="afff0"/>
    <w:qFormat/>
    <w:rsid w:val="004D54F2"/>
    <w:pPr>
      <w:widowControl w:val="0"/>
      <w:spacing w:before="240" w:after="60" w:line="312" w:lineRule="auto"/>
      <w:outlineLvl w:val="1"/>
    </w:pPr>
    <w:rPr>
      <w:rFonts w:ascii="Cambria" w:hAnsi="Cambria"/>
      <w:b/>
      <w:bCs/>
      <w:kern w:val="28"/>
      <w:sz w:val="30"/>
      <w:szCs w:val="32"/>
      <w:lang w:eastAsia="zh-CN" w:bidi="ar-SA"/>
    </w:rPr>
  </w:style>
  <w:style w:type="character" w:customStyle="1" w:styleId="afff0">
    <w:name w:val="副标题 字符"/>
    <w:basedOn w:val="a2"/>
    <w:link w:val="afff"/>
    <w:qFormat/>
    <w:rsid w:val="004D54F2"/>
    <w:rPr>
      <w:rFonts w:ascii="Cambria" w:hAnsi="Cambria" w:cs="Times New Roman"/>
      <w:b/>
      <w:bCs/>
      <w:kern w:val="28"/>
      <w:sz w:val="30"/>
      <w:szCs w:val="32"/>
      <w:lang w:eastAsia="zh-CN"/>
    </w:rPr>
  </w:style>
  <w:style w:type="paragraph" w:styleId="afff1">
    <w:name w:val="List"/>
    <w:basedOn w:val="af7"/>
    <w:uiPriority w:val="99"/>
    <w:qFormat/>
    <w:rsid w:val="004D54F2"/>
    <w:pPr>
      <w:keepNext w:val="0"/>
      <w:keepLines w:val="0"/>
      <w:widowControl w:val="0"/>
      <w:snapToGrid w:val="0"/>
      <w:spacing w:afterLines="50" w:after="0"/>
      <w:ind w:left="0" w:firstLine="0"/>
      <w:jc w:val="center"/>
    </w:pPr>
    <w:rPr>
      <w:b w:val="0"/>
      <w:bCs w:val="0"/>
      <w:kern w:val="2"/>
      <w:lang w:eastAsia="zh-CN" w:bidi="ar-SA"/>
    </w:rPr>
  </w:style>
  <w:style w:type="paragraph" w:styleId="33">
    <w:name w:val="Body Text Indent 3"/>
    <w:basedOn w:val="a1"/>
    <w:link w:val="34"/>
    <w:qFormat/>
    <w:rsid w:val="004D54F2"/>
    <w:pPr>
      <w:widowControl w:val="0"/>
      <w:spacing w:line="240" w:lineRule="auto"/>
      <w:ind w:leftChars="200" w:left="420"/>
      <w:jc w:val="both"/>
    </w:pPr>
    <w:rPr>
      <w:rFonts w:ascii="Times New Roman Bold" w:eastAsia="华文宋体" w:hAnsi="Times New Roman Bold" w:cs="Times New Roman Bold"/>
      <w:kern w:val="2"/>
      <w:sz w:val="16"/>
      <w:szCs w:val="16"/>
      <w:lang w:eastAsia="zh-CN" w:bidi="ar-SA"/>
    </w:rPr>
  </w:style>
  <w:style w:type="character" w:customStyle="1" w:styleId="34">
    <w:name w:val="正文文本缩进 3 字符"/>
    <w:basedOn w:val="a2"/>
    <w:link w:val="33"/>
    <w:qFormat/>
    <w:rsid w:val="004D54F2"/>
    <w:rPr>
      <w:rFonts w:ascii="Times New Roman Bold" w:eastAsia="华文宋体" w:hAnsi="Times New Roman Bold" w:cs="Times New Roman Bold"/>
      <w:kern w:val="2"/>
      <w:sz w:val="16"/>
      <w:szCs w:val="16"/>
      <w:lang w:eastAsia="zh-CN"/>
    </w:rPr>
  </w:style>
  <w:style w:type="paragraph" w:styleId="HTML">
    <w:name w:val="HTML Preformatted"/>
    <w:basedOn w:val="a1"/>
    <w:link w:val="HTML0"/>
    <w:uiPriority w:val="99"/>
    <w:qFormat/>
    <w:rsid w:val="004D54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pPr>
    <w:rPr>
      <w:rFonts w:ascii="宋体" w:hAnsi="宋体"/>
      <w:lang w:eastAsia="zh-CN" w:bidi="ar-SA"/>
    </w:rPr>
  </w:style>
  <w:style w:type="character" w:customStyle="1" w:styleId="HTML0">
    <w:name w:val="HTML 预设格式 字符"/>
    <w:basedOn w:val="a2"/>
    <w:link w:val="HTML"/>
    <w:uiPriority w:val="99"/>
    <w:qFormat/>
    <w:rsid w:val="004D54F2"/>
    <w:rPr>
      <w:rFonts w:ascii="宋体" w:hAnsi="宋体" w:cs="Times New Roman"/>
      <w:sz w:val="24"/>
      <w:szCs w:val="24"/>
      <w:lang w:eastAsia="zh-CN"/>
    </w:rPr>
  </w:style>
  <w:style w:type="table" w:styleId="-2">
    <w:name w:val="Light Shading Accent 2"/>
    <w:basedOn w:val="a3"/>
    <w:uiPriority w:val="60"/>
    <w:qFormat/>
    <w:rsid w:val="004D54F2"/>
    <w:pPr>
      <w:spacing w:after="0" w:line="240" w:lineRule="auto"/>
    </w:pPr>
    <w:rPr>
      <w:rFonts w:ascii="Calibri" w:eastAsia="微软雅黑" w:hAnsi="Calibri" w:cs="Times New Roman"/>
      <w:color w:val="943734"/>
      <w:szCs w:val="20"/>
      <w:lang w:eastAsia="zh-CN"/>
    </w:rPr>
    <w:tblPr>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FD3D3"/>
      </w:tcPr>
    </w:tblStylePr>
    <w:tblStylePr w:type="band1Horz">
      <w:tblPr/>
      <w:tcPr>
        <w:tcBorders>
          <w:top w:val="nil"/>
          <w:left w:val="nil"/>
          <w:bottom w:val="nil"/>
          <w:right w:val="nil"/>
          <w:insideH w:val="nil"/>
          <w:insideV w:val="nil"/>
          <w:tl2br w:val="nil"/>
          <w:tr2bl w:val="nil"/>
        </w:tcBorders>
        <w:shd w:val="clear" w:color="auto" w:fill="EFD3D3"/>
      </w:tcPr>
    </w:tblStylePr>
  </w:style>
  <w:style w:type="character" w:styleId="afff2">
    <w:name w:val="Strong"/>
    <w:basedOn w:val="a2"/>
    <w:uiPriority w:val="22"/>
    <w:qFormat/>
    <w:rsid w:val="004D54F2"/>
    <w:rPr>
      <w:b/>
      <w:bCs/>
    </w:rPr>
  </w:style>
  <w:style w:type="character" w:styleId="afff3">
    <w:name w:val="endnote reference"/>
    <w:unhideWhenUsed/>
    <w:qFormat/>
    <w:rsid w:val="004D54F2"/>
    <w:rPr>
      <w:vertAlign w:val="superscript"/>
    </w:rPr>
  </w:style>
  <w:style w:type="character" w:styleId="afff4">
    <w:name w:val="page number"/>
    <w:basedOn w:val="a2"/>
    <w:qFormat/>
    <w:rsid w:val="004D54F2"/>
  </w:style>
  <w:style w:type="character" w:styleId="afff5">
    <w:name w:val="Emphasis"/>
    <w:basedOn w:val="a2"/>
    <w:uiPriority w:val="20"/>
    <w:qFormat/>
    <w:rsid w:val="004D54F2"/>
    <w:rPr>
      <w:i/>
      <w:iCs/>
    </w:rPr>
  </w:style>
  <w:style w:type="character" w:customStyle="1" w:styleId="fontstyle21">
    <w:name w:val="fontstyle21"/>
    <w:basedOn w:val="a2"/>
    <w:qFormat/>
    <w:rsid w:val="004D54F2"/>
    <w:rPr>
      <w:rFonts w:ascii="TimesNewRomanPSMT" w:eastAsia="TimesNewRomanPSMT" w:hint="eastAsia"/>
      <w:color w:val="000000"/>
      <w:sz w:val="24"/>
      <w:szCs w:val="24"/>
    </w:rPr>
  </w:style>
  <w:style w:type="paragraph" w:customStyle="1" w:styleId="en">
    <w:name w:val="en"/>
    <w:basedOn w:val="a1"/>
    <w:qFormat/>
    <w:rsid w:val="004D54F2"/>
    <w:pPr>
      <w:spacing w:before="100" w:beforeAutospacing="1" w:after="100" w:afterAutospacing="1" w:line="240" w:lineRule="auto"/>
    </w:pPr>
    <w:rPr>
      <w:rFonts w:ascii="宋体" w:hAnsi="宋体" w:cs="宋体"/>
      <w:lang w:eastAsia="zh-CN" w:bidi="ar-SA"/>
    </w:rPr>
  </w:style>
  <w:style w:type="paragraph" w:customStyle="1" w:styleId="afff6">
    <w:name w:val="表格"/>
    <w:basedOn w:val="a1"/>
    <w:link w:val="Char"/>
    <w:qFormat/>
    <w:rsid w:val="004D54F2"/>
    <w:pPr>
      <w:widowControl w:val="0"/>
      <w:spacing w:after="0" w:line="360" w:lineRule="auto"/>
      <w:jc w:val="both"/>
    </w:pPr>
    <w:rPr>
      <w:kern w:val="2"/>
      <w:sz w:val="22"/>
      <w:szCs w:val="20"/>
      <w:lang w:eastAsia="zh-CN" w:bidi="ar-SA"/>
    </w:rPr>
  </w:style>
  <w:style w:type="character" w:customStyle="1" w:styleId="Char">
    <w:name w:val="表格 Char"/>
    <w:link w:val="afff6"/>
    <w:qFormat/>
    <w:locked/>
    <w:rsid w:val="004D54F2"/>
    <w:rPr>
      <w:rFonts w:ascii="Times New Roman" w:hAnsi="Times New Roman" w:cs="Times New Roman"/>
      <w:kern w:val="2"/>
      <w:szCs w:val="20"/>
      <w:lang w:eastAsia="zh-CN"/>
    </w:rPr>
  </w:style>
  <w:style w:type="character" w:customStyle="1" w:styleId="Char0">
    <w:name w:val="列出段落 Char"/>
    <w:link w:val="Style101"/>
    <w:qFormat/>
    <w:locked/>
    <w:rsid w:val="004D54F2"/>
    <w:rPr>
      <w:rFonts w:ascii="Calibri" w:hAnsi="Calibri"/>
    </w:rPr>
  </w:style>
  <w:style w:type="paragraph" w:customStyle="1" w:styleId="Style101">
    <w:name w:val="_Style 101"/>
    <w:basedOn w:val="a1"/>
    <w:next w:val="aff"/>
    <w:link w:val="Char0"/>
    <w:qFormat/>
    <w:rsid w:val="004D54F2"/>
    <w:pPr>
      <w:widowControl w:val="0"/>
      <w:spacing w:after="0" w:line="240" w:lineRule="auto"/>
      <w:ind w:firstLineChars="200" w:firstLine="420"/>
      <w:jc w:val="both"/>
    </w:pPr>
    <w:rPr>
      <w:rFonts w:ascii="Calibri" w:hAnsi="Calibri" w:cstheme="minorBidi"/>
      <w:sz w:val="22"/>
      <w:szCs w:val="22"/>
      <w:lang w:bidi="ar-SA"/>
    </w:rPr>
  </w:style>
  <w:style w:type="paragraph" w:customStyle="1" w:styleId="-31">
    <w:name w:val="浅色网格 - 强调文字颜色 31"/>
    <w:basedOn w:val="a1"/>
    <w:uiPriority w:val="34"/>
    <w:qFormat/>
    <w:rsid w:val="004D54F2"/>
    <w:pPr>
      <w:widowControl w:val="0"/>
      <w:spacing w:after="0" w:line="360" w:lineRule="auto"/>
      <w:ind w:firstLineChars="200" w:firstLine="420"/>
      <w:jc w:val="both"/>
    </w:pPr>
    <w:rPr>
      <w:rFonts w:ascii="Calibri" w:hAnsi="Calibri"/>
      <w:kern w:val="2"/>
      <w:szCs w:val="22"/>
      <w:lang w:eastAsia="zh-CN" w:bidi="ar-SA"/>
    </w:rPr>
  </w:style>
  <w:style w:type="paragraph" w:customStyle="1" w:styleId="10">
    <w:name w:val="！标题1"/>
    <w:next w:val="aff3"/>
    <w:qFormat/>
    <w:rsid w:val="004D54F2"/>
    <w:pPr>
      <w:keepNext/>
      <w:numPr>
        <w:numId w:val="65"/>
      </w:numPr>
      <w:topLinePunct/>
      <w:adjustRightInd w:val="0"/>
      <w:snapToGrid w:val="0"/>
      <w:spacing w:beforeLines="50" w:after="0" w:line="360" w:lineRule="auto"/>
      <w:jc w:val="both"/>
      <w:outlineLvl w:val="0"/>
    </w:pPr>
    <w:rPr>
      <w:rFonts w:ascii="Times New Roman" w:hAnsi="Times New Roman" w:cs="Times New Roman Bold"/>
      <w:b/>
      <w:kern w:val="2"/>
      <w:sz w:val="28"/>
      <w:szCs w:val="28"/>
      <w:lang w:eastAsia="zh-CN"/>
    </w:rPr>
  </w:style>
  <w:style w:type="paragraph" w:customStyle="1" w:styleId="21">
    <w:name w:val="！标题2"/>
    <w:next w:val="aff3"/>
    <w:qFormat/>
    <w:rsid w:val="004D54F2"/>
    <w:pPr>
      <w:keepNext/>
      <w:numPr>
        <w:ilvl w:val="1"/>
        <w:numId w:val="65"/>
      </w:numPr>
      <w:topLinePunct/>
      <w:adjustRightInd w:val="0"/>
      <w:snapToGrid w:val="0"/>
      <w:spacing w:beforeLines="50" w:afterLines="30" w:after="0" w:line="360" w:lineRule="auto"/>
      <w:jc w:val="both"/>
      <w:outlineLvl w:val="1"/>
    </w:pPr>
    <w:rPr>
      <w:rFonts w:ascii="Times New Roman" w:hAnsi="Times New Roman" w:cs="Times New Roman Bold"/>
      <w:b/>
      <w:kern w:val="2"/>
      <w:sz w:val="24"/>
      <w:szCs w:val="24"/>
      <w:lang w:eastAsia="zh-CN"/>
    </w:rPr>
  </w:style>
  <w:style w:type="paragraph" w:customStyle="1" w:styleId="31">
    <w:name w:val="！标题3"/>
    <w:next w:val="aff3"/>
    <w:qFormat/>
    <w:rsid w:val="004D54F2"/>
    <w:pPr>
      <w:keepNext/>
      <w:numPr>
        <w:ilvl w:val="2"/>
        <w:numId w:val="65"/>
      </w:numPr>
      <w:topLinePunct/>
      <w:adjustRightInd w:val="0"/>
      <w:snapToGrid w:val="0"/>
      <w:spacing w:beforeLines="50" w:after="0" w:line="360" w:lineRule="auto"/>
      <w:ind w:left="0" w:firstLine="0"/>
      <w:outlineLvl w:val="2"/>
    </w:pPr>
    <w:rPr>
      <w:rFonts w:ascii="Times New Roman" w:hAnsi="Times New Roman" w:cs="Times New Roman Bold"/>
      <w:b/>
      <w:kern w:val="2"/>
      <w:sz w:val="24"/>
      <w:szCs w:val="24"/>
      <w:lang w:eastAsia="zh-CN"/>
    </w:rPr>
  </w:style>
  <w:style w:type="paragraph" w:customStyle="1" w:styleId="15">
    <w:name w:val="修订1"/>
    <w:hidden/>
    <w:uiPriority w:val="99"/>
    <w:semiHidden/>
    <w:qFormat/>
    <w:rsid w:val="004D54F2"/>
    <w:pPr>
      <w:spacing w:after="0" w:line="240" w:lineRule="auto"/>
    </w:pPr>
    <w:rPr>
      <w:rFonts w:eastAsiaTheme="minorEastAsia"/>
      <w:kern w:val="2"/>
      <w:sz w:val="21"/>
      <w:lang w:eastAsia="zh-CN"/>
    </w:rPr>
  </w:style>
  <w:style w:type="paragraph" w:customStyle="1" w:styleId="afff7">
    <w:name w:val="文本"/>
    <w:basedOn w:val="a1"/>
    <w:link w:val="Char1"/>
    <w:qFormat/>
    <w:rsid w:val="004D54F2"/>
    <w:pPr>
      <w:widowControl w:val="0"/>
      <w:spacing w:after="0" w:line="360" w:lineRule="auto"/>
      <w:ind w:firstLineChars="200" w:firstLine="200"/>
      <w:jc w:val="both"/>
    </w:pPr>
    <w:rPr>
      <w:kern w:val="2"/>
      <w:szCs w:val="22"/>
      <w:lang w:eastAsia="zh-CN" w:bidi="ar-SA"/>
    </w:rPr>
  </w:style>
  <w:style w:type="character" w:customStyle="1" w:styleId="Char1">
    <w:name w:val="文本 Char"/>
    <w:link w:val="afff7"/>
    <w:qFormat/>
    <w:rsid w:val="004D54F2"/>
    <w:rPr>
      <w:rFonts w:ascii="Times New Roman" w:hAnsi="Times New Roman" w:cs="Times New Roman"/>
      <w:kern w:val="2"/>
      <w:sz w:val="24"/>
      <w:lang w:eastAsia="zh-CN"/>
    </w:rPr>
  </w:style>
  <w:style w:type="character" w:customStyle="1" w:styleId="afff8">
    <w:name w:val="文档结构图 字符"/>
    <w:basedOn w:val="a2"/>
    <w:semiHidden/>
    <w:qFormat/>
    <w:rsid w:val="004D54F2"/>
    <w:rPr>
      <w:rFonts w:ascii="Microsoft YaHei UI" w:eastAsia="Microsoft YaHei UI"/>
      <w:sz w:val="18"/>
      <w:szCs w:val="18"/>
    </w:rPr>
  </w:style>
  <w:style w:type="character" w:customStyle="1" w:styleId="atn">
    <w:name w:val="atn"/>
    <w:qFormat/>
    <w:rsid w:val="004D54F2"/>
  </w:style>
  <w:style w:type="character" w:customStyle="1" w:styleId="shorttext">
    <w:name w:val="short_text"/>
    <w:qFormat/>
    <w:rsid w:val="004D54F2"/>
  </w:style>
  <w:style w:type="character" w:customStyle="1" w:styleId="afff9">
    <w:name w:val="无间隔 字符"/>
    <w:basedOn w:val="a2"/>
    <w:link w:val="afffa"/>
    <w:uiPriority w:val="1"/>
    <w:qFormat/>
    <w:rsid w:val="004D54F2"/>
    <w:rPr>
      <w:rFonts w:ascii="等线" w:eastAsia="等线" w:hAnsi="等线"/>
    </w:rPr>
  </w:style>
  <w:style w:type="paragraph" w:styleId="afffa">
    <w:name w:val="No Spacing"/>
    <w:link w:val="afff9"/>
    <w:uiPriority w:val="1"/>
    <w:qFormat/>
    <w:rsid w:val="004D54F2"/>
    <w:pPr>
      <w:widowControl w:val="0"/>
      <w:spacing w:after="0" w:line="240" w:lineRule="auto"/>
      <w:jc w:val="both"/>
    </w:pPr>
    <w:rPr>
      <w:rFonts w:ascii="等线" w:eastAsia="等线" w:hAnsi="等线"/>
    </w:rPr>
  </w:style>
  <w:style w:type="character" w:customStyle="1" w:styleId="labellist">
    <w:name w:val="label_list"/>
    <w:basedOn w:val="a2"/>
    <w:qFormat/>
    <w:rsid w:val="004D54F2"/>
  </w:style>
  <w:style w:type="character" w:customStyle="1" w:styleId="apple-converted-space">
    <w:name w:val="apple-converted-space"/>
    <w:qFormat/>
    <w:rsid w:val="004D54F2"/>
  </w:style>
  <w:style w:type="character" w:customStyle="1" w:styleId="Char2">
    <w:name w:val="普通适用 Char"/>
    <w:basedOn w:val="a2"/>
    <w:link w:val="afffb"/>
    <w:qFormat/>
    <w:rsid w:val="004D54F2"/>
  </w:style>
  <w:style w:type="paragraph" w:customStyle="1" w:styleId="afffb">
    <w:name w:val="普通适用"/>
    <w:basedOn w:val="afffa"/>
    <w:link w:val="Char2"/>
    <w:qFormat/>
    <w:rsid w:val="004D54F2"/>
    <w:rPr>
      <w:rFonts w:asciiTheme="minorHAnsi" w:eastAsia="宋体" w:hAnsiTheme="minorHAnsi"/>
    </w:rPr>
  </w:style>
  <w:style w:type="paragraph" w:customStyle="1" w:styleId="tgt2">
    <w:name w:val="tgt2"/>
    <w:basedOn w:val="a1"/>
    <w:qFormat/>
    <w:rsid w:val="004D54F2"/>
    <w:pPr>
      <w:spacing w:after="150" w:line="360" w:lineRule="auto"/>
    </w:pPr>
    <w:rPr>
      <w:rFonts w:ascii="宋体" w:hAnsi="宋体" w:cs="宋体"/>
      <w:b/>
      <w:bCs/>
      <w:sz w:val="36"/>
      <w:szCs w:val="36"/>
      <w:lang w:eastAsia="zh-CN" w:bidi="ar-SA"/>
    </w:rPr>
  </w:style>
  <w:style w:type="paragraph" w:customStyle="1" w:styleId="16">
    <w:name w:val="列出段落1"/>
    <w:basedOn w:val="a1"/>
    <w:uiPriority w:val="99"/>
    <w:qFormat/>
    <w:rsid w:val="004D54F2"/>
    <w:pPr>
      <w:widowControl w:val="0"/>
      <w:spacing w:after="0" w:line="360" w:lineRule="auto"/>
      <w:ind w:firstLineChars="200" w:firstLine="420"/>
      <w:jc w:val="both"/>
    </w:pPr>
    <w:rPr>
      <w:kern w:val="2"/>
      <w:szCs w:val="22"/>
      <w:lang w:eastAsia="zh-CN" w:bidi="ar-SA"/>
    </w:rPr>
  </w:style>
  <w:style w:type="paragraph" w:customStyle="1" w:styleId="41">
    <w:name w:val="标题4"/>
    <w:basedOn w:val="a1"/>
    <w:link w:val="42"/>
    <w:qFormat/>
    <w:rsid w:val="004D54F2"/>
    <w:pPr>
      <w:widowControl w:val="0"/>
      <w:spacing w:after="0" w:line="360" w:lineRule="auto"/>
      <w:outlineLvl w:val="3"/>
    </w:pPr>
    <w:rPr>
      <w:rFonts w:eastAsiaTheme="majorEastAsia"/>
      <w:b/>
      <w:szCs w:val="28"/>
      <w:lang w:eastAsia="zh-CN"/>
    </w:rPr>
  </w:style>
  <w:style w:type="paragraph" w:customStyle="1" w:styleId="TOC20">
    <w:name w:val="TOC 标题2"/>
    <w:basedOn w:val="1"/>
    <w:next w:val="a1"/>
    <w:uiPriority w:val="39"/>
    <w:unhideWhenUsed/>
    <w:qFormat/>
    <w:rsid w:val="004D54F2"/>
    <w:pPr>
      <w:pageBreakBefore w:val="0"/>
      <w:numPr>
        <w:numId w:val="0"/>
      </w:numPr>
      <w:tabs>
        <w:tab w:val="clear" w:pos="432"/>
      </w:tabs>
      <w:spacing w:before="240" w:after="0" w:line="259" w:lineRule="auto"/>
      <w:outlineLvl w:val="9"/>
    </w:pPr>
    <w:rPr>
      <w:rFonts w:ascii="Calibri Light" w:eastAsia="宋体" w:hAnsi="Calibri Light"/>
      <w:b w:val="0"/>
      <w:bCs w:val="0"/>
      <w:color w:val="2E74B5"/>
      <w:kern w:val="0"/>
      <w:sz w:val="32"/>
      <w:lang w:eastAsia="zh-CN" w:bidi="ar-SA"/>
    </w:rPr>
  </w:style>
  <w:style w:type="paragraph" w:customStyle="1" w:styleId="TOC10">
    <w:name w:val="TOC 标题1"/>
    <w:basedOn w:val="1"/>
    <w:next w:val="a1"/>
    <w:uiPriority w:val="39"/>
    <w:unhideWhenUsed/>
    <w:qFormat/>
    <w:rsid w:val="004D54F2"/>
    <w:pPr>
      <w:pageBreakBefore w:val="0"/>
      <w:numPr>
        <w:numId w:val="0"/>
      </w:numPr>
      <w:tabs>
        <w:tab w:val="clear" w:pos="432"/>
      </w:tabs>
      <w:spacing w:before="240" w:after="0" w:line="259" w:lineRule="auto"/>
      <w:outlineLvl w:val="9"/>
    </w:pPr>
    <w:rPr>
      <w:rFonts w:ascii="等线 Light" w:eastAsia="等线 Light" w:hAnsi="等线 Light"/>
      <w:b w:val="0"/>
      <w:bCs w:val="0"/>
      <w:color w:val="2E74B5"/>
      <w:kern w:val="0"/>
      <w:sz w:val="32"/>
      <w:lang w:bidi="ar-SA"/>
    </w:rPr>
  </w:style>
  <w:style w:type="paragraph" w:customStyle="1" w:styleId="-11">
    <w:name w:val="彩色底纹 - 强调文字颜色 11"/>
    <w:uiPriority w:val="71"/>
    <w:qFormat/>
    <w:rsid w:val="004D54F2"/>
    <w:pPr>
      <w:spacing w:after="0" w:line="240" w:lineRule="auto"/>
    </w:pPr>
    <w:rPr>
      <w:rFonts w:ascii="等线" w:eastAsia="等线" w:hAnsi="等线" w:cs="Times New Roman"/>
      <w:kern w:val="2"/>
      <w:sz w:val="21"/>
      <w:lang w:eastAsia="zh-CN"/>
    </w:rPr>
  </w:style>
  <w:style w:type="paragraph" w:customStyle="1" w:styleId="ListParagraph1">
    <w:name w:val="List Paragraph1"/>
    <w:basedOn w:val="a1"/>
    <w:uiPriority w:val="34"/>
    <w:qFormat/>
    <w:rsid w:val="004D54F2"/>
    <w:pPr>
      <w:widowControl w:val="0"/>
      <w:spacing w:after="0" w:line="360" w:lineRule="auto"/>
      <w:ind w:firstLineChars="200" w:firstLine="420"/>
      <w:jc w:val="both"/>
    </w:pPr>
    <w:rPr>
      <w:rFonts w:ascii="Calibri" w:hAnsi="Calibri"/>
      <w:kern w:val="2"/>
      <w:szCs w:val="22"/>
      <w:lang w:eastAsia="zh-CN" w:bidi="ar-SA"/>
    </w:rPr>
  </w:style>
  <w:style w:type="paragraph" w:customStyle="1" w:styleId="110">
    <w:name w:val="修订11"/>
    <w:uiPriority w:val="71"/>
    <w:qFormat/>
    <w:rsid w:val="004D54F2"/>
    <w:pPr>
      <w:spacing w:after="0" w:line="240" w:lineRule="auto"/>
    </w:pPr>
    <w:rPr>
      <w:rFonts w:ascii="等线" w:eastAsia="等线" w:hAnsi="等线" w:cs="Times New Roman"/>
      <w:kern w:val="2"/>
      <w:sz w:val="21"/>
      <w:lang w:eastAsia="zh-CN"/>
    </w:rPr>
  </w:style>
  <w:style w:type="paragraph" w:customStyle="1" w:styleId="-310">
    <w:name w:val="浅色列表 - 强调文字颜色 31"/>
    <w:uiPriority w:val="99"/>
    <w:unhideWhenUsed/>
    <w:qFormat/>
    <w:rsid w:val="004D54F2"/>
    <w:pPr>
      <w:spacing w:after="0" w:line="240" w:lineRule="auto"/>
    </w:pPr>
    <w:rPr>
      <w:rFonts w:ascii="等线" w:eastAsia="等线" w:hAnsi="等线" w:cs="Times New Roman"/>
      <w:kern w:val="2"/>
      <w:sz w:val="21"/>
      <w:lang w:eastAsia="zh-CN"/>
    </w:rPr>
  </w:style>
  <w:style w:type="paragraph" w:customStyle="1" w:styleId="25">
    <w:name w:val="修订2"/>
    <w:uiPriority w:val="99"/>
    <w:unhideWhenUsed/>
    <w:qFormat/>
    <w:rsid w:val="004D54F2"/>
    <w:pPr>
      <w:spacing w:after="0" w:line="240" w:lineRule="auto"/>
    </w:pPr>
    <w:rPr>
      <w:rFonts w:ascii="等线" w:eastAsia="等线" w:hAnsi="等线" w:cs="Times New Roman"/>
      <w:kern w:val="2"/>
      <w:sz w:val="21"/>
      <w:lang w:eastAsia="zh-CN"/>
    </w:rPr>
  </w:style>
  <w:style w:type="table" w:customStyle="1" w:styleId="17">
    <w:name w:val="浅色底纹1"/>
    <w:basedOn w:val="a3"/>
    <w:uiPriority w:val="60"/>
    <w:qFormat/>
    <w:rsid w:val="004D54F2"/>
    <w:pPr>
      <w:spacing w:after="0" w:line="240" w:lineRule="auto"/>
    </w:pPr>
    <w:rPr>
      <w:rFonts w:ascii="Times New Roman" w:hAnsi="Times New Roman" w:cs="Times New Roman"/>
      <w:color w:val="000000"/>
      <w:sz w:val="20"/>
      <w:szCs w:val="20"/>
      <w:lang w:eastAsia="zh-CN"/>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BFBFBF"/>
      </w:tcPr>
    </w:tblStylePr>
    <w:tblStylePr w:type="band1Horz">
      <w:tblPr/>
      <w:tcPr>
        <w:tcBorders>
          <w:top w:val="nil"/>
          <w:left w:val="nil"/>
          <w:bottom w:val="nil"/>
          <w:right w:val="nil"/>
          <w:insideH w:val="nil"/>
          <w:insideV w:val="nil"/>
          <w:tl2br w:val="nil"/>
          <w:tr2bl w:val="nil"/>
        </w:tcBorders>
        <w:shd w:val="clear" w:color="auto" w:fill="BFBFBF"/>
      </w:tcPr>
    </w:tblStylePr>
  </w:style>
  <w:style w:type="table" w:customStyle="1" w:styleId="210">
    <w:name w:val="无格式表格 21"/>
    <w:basedOn w:val="a3"/>
    <w:uiPriority w:val="42"/>
    <w:qFormat/>
    <w:rsid w:val="004D54F2"/>
    <w:pPr>
      <w:spacing w:after="0" w:line="240" w:lineRule="auto"/>
    </w:pPr>
    <w:rPr>
      <w:rFonts w:ascii="Calibri" w:hAnsi="Calibri" w:cs="Times New Roman"/>
      <w:sz w:val="20"/>
      <w:szCs w:val="20"/>
      <w:lang w:eastAsia="zh-CN"/>
    </w:rPr>
    <w:tblPr>
      <w:tblBorders>
        <w:top w:val="single" w:sz="4" w:space="0" w:color="7E7E7E"/>
        <w:bottom w:val="single" w:sz="4" w:space="0" w:color="7E7E7E"/>
      </w:tblBorders>
    </w:tblPr>
    <w:tblStylePr w:type="firstRow">
      <w:rPr>
        <w:b/>
        <w:bCs/>
      </w:rPr>
      <w:tblPr/>
      <w:tcPr>
        <w:tcBorders>
          <w:top w:val="nil"/>
          <w:left w:val="single" w:sz="4" w:space="0" w:color="7E7E7E"/>
          <w:bottom w:val="nil"/>
          <w:right w:val="nil"/>
          <w:insideH w:val="nil"/>
          <w:insideV w:val="nil"/>
          <w:tl2br w:val="nil"/>
          <w:tr2bl w:val="nil"/>
        </w:tcBorders>
      </w:tcPr>
    </w:tblStylePr>
    <w:tblStylePr w:type="lastRow">
      <w:rPr>
        <w:b/>
        <w:bCs/>
      </w:rPr>
      <w:tblPr/>
      <w:tcPr>
        <w:tcBorders>
          <w:top w:val="single" w:sz="4" w:space="0" w:color="7E7E7E"/>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single" w:sz="4" w:space="0" w:color="7E7E7E"/>
          <w:right w:val="single" w:sz="4" w:space="0" w:color="7E7E7E"/>
          <w:insideH w:val="nil"/>
          <w:insideV w:val="nil"/>
          <w:tl2br w:val="nil"/>
          <w:tr2bl w:val="nil"/>
        </w:tcBorders>
      </w:tcPr>
    </w:tblStylePr>
    <w:tblStylePr w:type="band2Vert">
      <w:tblPr/>
      <w:tcPr>
        <w:tcBorders>
          <w:top w:val="nil"/>
          <w:left w:val="nil"/>
          <w:bottom w:val="single" w:sz="4" w:space="0" w:color="7E7E7E"/>
          <w:right w:val="single" w:sz="4" w:space="0" w:color="7E7E7E"/>
          <w:insideH w:val="nil"/>
          <w:insideV w:val="nil"/>
          <w:tl2br w:val="nil"/>
          <w:tr2bl w:val="nil"/>
        </w:tcBorders>
      </w:tcPr>
    </w:tblStylePr>
    <w:tblStylePr w:type="band1Horz">
      <w:tblPr/>
      <w:tcPr>
        <w:tcBorders>
          <w:top w:val="single" w:sz="4" w:space="0" w:color="7E7E7E"/>
          <w:left w:val="single" w:sz="4" w:space="0" w:color="7E7E7E"/>
          <w:bottom w:val="nil"/>
          <w:right w:val="nil"/>
          <w:insideH w:val="nil"/>
          <w:insideV w:val="nil"/>
          <w:tl2br w:val="nil"/>
          <w:tr2bl w:val="nil"/>
        </w:tcBorders>
      </w:tcPr>
    </w:tblStylePr>
  </w:style>
  <w:style w:type="table" w:customStyle="1" w:styleId="211">
    <w:name w:val="清单表 21"/>
    <w:basedOn w:val="a3"/>
    <w:uiPriority w:val="47"/>
    <w:qFormat/>
    <w:rsid w:val="004D54F2"/>
    <w:pPr>
      <w:spacing w:after="0" w:line="240" w:lineRule="auto"/>
    </w:pPr>
    <w:rPr>
      <w:rFonts w:ascii="Times New Roman" w:hAnsi="Times New Roman" w:cs="Times New Roman"/>
      <w:sz w:val="20"/>
      <w:szCs w:val="20"/>
      <w:lang w:eastAsia="zh-CN"/>
    </w:rPr>
    <w:tblPr>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EndNoteBibliographyTitle">
    <w:name w:val="EndNote Bibliography Title"/>
    <w:basedOn w:val="a1"/>
    <w:link w:val="EndNoteBibliographyTitleChar"/>
    <w:qFormat/>
    <w:rsid w:val="004D54F2"/>
    <w:pPr>
      <w:widowControl w:val="0"/>
      <w:spacing w:after="0" w:line="360" w:lineRule="auto"/>
      <w:jc w:val="center"/>
    </w:pPr>
    <w:rPr>
      <w:rFonts w:ascii="等线" w:eastAsia="等线" w:hAnsi="等线"/>
      <w:kern w:val="2"/>
      <w:sz w:val="20"/>
      <w:szCs w:val="22"/>
      <w:lang w:eastAsia="zh-CN" w:bidi="ar-SA"/>
    </w:rPr>
  </w:style>
  <w:style w:type="character" w:customStyle="1" w:styleId="EndNoteBibliographyTitleChar">
    <w:name w:val="EndNote Bibliography Title Char"/>
    <w:basedOn w:val="a2"/>
    <w:link w:val="EndNoteBibliographyTitle"/>
    <w:qFormat/>
    <w:rsid w:val="004D54F2"/>
    <w:rPr>
      <w:rFonts w:ascii="等线" w:eastAsia="等线" w:hAnsi="等线" w:cs="Times New Roman"/>
      <w:kern w:val="2"/>
      <w:sz w:val="20"/>
      <w:lang w:eastAsia="zh-CN"/>
    </w:rPr>
  </w:style>
  <w:style w:type="paragraph" w:customStyle="1" w:styleId="EndNoteBibliography">
    <w:name w:val="EndNote Bibliography"/>
    <w:basedOn w:val="a1"/>
    <w:link w:val="EndNoteBibliographyChar"/>
    <w:qFormat/>
    <w:rsid w:val="004D54F2"/>
    <w:pPr>
      <w:widowControl w:val="0"/>
      <w:spacing w:after="0" w:line="240" w:lineRule="auto"/>
      <w:jc w:val="center"/>
    </w:pPr>
    <w:rPr>
      <w:rFonts w:ascii="等线" w:eastAsia="等线" w:hAnsi="等线"/>
      <w:kern w:val="2"/>
      <w:sz w:val="20"/>
      <w:szCs w:val="22"/>
      <w:lang w:eastAsia="zh-CN" w:bidi="ar-SA"/>
    </w:rPr>
  </w:style>
  <w:style w:type="character" w:customStyle="1" w:styleId="EndNoteBibliographyChar">
    <w:name w:val="EndNote Bibliography Char"/>
    <w:basedOn w:val="a2"/>
    <w:link w:val="EndNoteBibliography"/>
    <w:qFormat/>
    <w:rsid w:val="004D54F2"/>
    <w:rPr>
      <w:rFonts w:ascii="等线" w:eastAsia="等线" w:hAnsi="等线" w:cs="Times New Roman"/>
      <w:kern w:val="2"/>
      <w:sz w:val="20"/>
      <w:lang w:eastAsia="zh-CN"/>
    </w:rPr>
  </w:style>
  <w:style w:type="paragraph" w:customStyle="1" w:styleId="endnote">
    <w:name w:val="endnote"/>
    <w:basedOn w:val="EndNoteBibliography"/>
    <w:link w:val="endnoteChar"/>
    <w:qFormat/>
    <w:rsid w:val="004D54F2"/>
    <w:pPr>
      <w:ind w:firstLineChars="200" w:firstLine="480"/>
      <w:jc w:val="left"/>
    </w:pPr>
    <w:rPr>
      <w:sz w:val="24"/>
      <w:szCs w:val="24"/>
    </w:rPr>
  </w:style>
  <w:style w:type="character" w:customStyle="1" w:styleId="endnoteChar">
    <w:name w:val="endnote Char"/>
    <w:basedOn w:val="EndNoteBibliographyChar"/>
    <w:link w:val="endnote"/>
    <w:qFormat/>
    <w:rsid w:val="004D54F2"/>
    <w:rPr>
      <w:rFonts w:ascii="等线" w:eastAsia="等线" w:hAnsi="等线" w:cs="Times New Roman"/>
      <w:kern w:val="2"/>
      <w:sz w:val="24"/>
      <w:szCs w:val="24"/>
      <w:lang w:eastAsia="zh-CN"/>
    </w:rPr>
  </w:style>
  <w:style w:type="paragraph" w:customStyle="1" w:styleId="160">
    <w:name w:val="16"/>
    <w:basedOn w:val="a1"/>
    <w:qFormat/>
    <w:rsid w:val="004D54F2"/>
    <w:pPr>
      <w:spacing w:before="100" w:beforeAutospacing="1" w:after="100" w:afterAutospacing="1" w:line="360" w:lineRule="auto"/>
    </w:pPr>
    <w:rPr>
      <w:rFonts w:ascii="宋体" w:hAnsi="宋体" w:cs="宋体"/>
      <w:lang w:eastAsia="zh-CN" w:bidi="ar-SA"/>
    </w:rPr>
  </w:style>
  <w:style w:type="character" w:customStyle="1" w:styleId="web-item2">
    <w:name w:val="web-item2"/>
    <w:uiPriority w:val="99"/>
    <w:qFormat/>
    <w:rsid w:val="004D54F2"/>
    <w:rPr>
      <w:sz w:val="18"/>
    </w:rPr>
  </w:style>
  <w:style w:type="paragraph" w:customStyle="1" w:styleId="afffc">
    <w:name w:val="表格格式"/>
    <w:basedOn w:val="a1"/>
    <w:link w:val="Char3"/>
    <w:qFormat/>
    <w:rsid w:val="004D54F2"/>
    <w:pPr>
      <w:spacing w:after="0" w:line="240" w:lineRule="auto"/>
    </w:pPr>
    <w:rPr>
      <w:kern w:val="2"/>
      <w:sz w:val="21"/>
      <w:szCs w:val="22"/>
      <w:lang w:eastAsia="zh-CN" w:bidi="ar-SA"/>
    </w:rPr>
  </w:style>
  <w:style w:type="character" w:customStyle="1" w:styleId="Char3">
    <w:name w:val="表格格式 Char"/>
    <w:basedOn w:val="a2"/>
    <w:link w:val="afffc"/>
    <w:qFormat/>
    <w:rsid w:val="004D54F2"/>
    <w:rPr>
      <w:rFonts w:ascii="Times New Roman" w:hAnsi="Times New Roman" w:cs="Times New Roman"/>
      <w:kern w:val="2"/>
      <w:sz w:val="21"/>
      <w:lang w:eastAsia="zh-CN"/>
    </w:rPr>
  </w:style>
  <w:style w:type="character" w:customStyle="1" w:styleId="18">
    <w:name w:val="列出段落 字符1"/>
    <w:basedOn w:val="a2"/>
    <w:uiPriority w:val="34"/>
    <w:qFormat/>
    <w:rsid w:val="004D54F2"/>
  </w:style>
  <w:style w:type="paragraph" w:customStyle="1" w:styleId="C-BodyTextCharChar">
    <w:name w:val="C-Body Text Char Char"/>
    <w:uiPriority w:val="99"/>
    <w:qFormat/>
    <w:rsid w:val="004D54F2"/>
    <w:pPr>
      <w:spacing w:before="120" w:after="120" w:line="280" w:lineRule="atLeast"/>
    </w:pPr>
    <w:rPr>
      <w:rFonts w:ascii="Times New Roman" w:eastAsia="MS Mincho" w:hAnsi="Times New Roman" w:cs="Times New Roman"/>
      <w:sz w:val="24"/>
      <w:szCs w:val="20"/>
    </w:rPr>
  </w:style>
  <w:style w:type="paragraph" w:customStyle="1" w:styleId="List2withbullet">
    <w:name w:val="List 2 with bullet"/>
    <w:basedOn w:val="a1"/>
    <w:next w:val="a1"/>
    <w:uiPriority w:val="99"/>
    <w:qFormat/>
    <w:rsid w:val="004D54F2"/>
    <w:pPr>
      <w:spacing w:before="120" w:after="0" w:line="240" w:lineRule="auto"/>
      <w:jc w:val="both"/>
    </w:pPr>
    <w:rPr>
      <w:szCs w:val="20"/>
      <w:lang w:bidi="ar-SA"/>
    </w:rPr>
  </w:style>
  <w:style w:type="paragraph" w:customStyle="1" w:styleId="AlphaList">
    <w:name w:val="AlphaList"/>
    <w:basedOn w:val="a1"/>
    <w:uiPriority w:val="99"/>
    <w:qFormat/>
    <w:rsid w:val="004D54F2"/>
    <w:pPr>
      <w:numPr>
        <w:numId w:val="66"/>
      </w:numPr>
      <w:suppressAutoHyphens/>
      <w:spacing w:line="320" w:lineRule="exact"/>
    </w:pPr>
    <w:rPr>
      <w:szCs w:val="20"/>
      <w:lang w:bidi="ar-SA"/>
    </w:rPr>
  </w:style>
  <w:style w:type="character" w:customStyle="1" w:styleId="19">
    <w:name w:val="未处理的提及1"/>
    <w:basedOn w:val="a2"/>
    <w:uiPriority w:val="99"/>
    <w:semiHidden/>
    <w:unhideWhenUsed/>
    <w:qFormat/>
    <w:rsid w:val="004D54F2"/>
    <w:rPr>
      <w:color w:val="605E5C"/>
      <w:shd w:val="clear" w:color="auto" w:fill="E1DFDD"/>
    </w:rPr>
  </w:style>
  <w:style w:type="character" w:customStyle="1" w:styleId="Char4">
    <w:name w:val="批注文字 Char"/>
    <w:basedOn w:val="a2"/>
    <w:uiPriority w:val="99"/>
    <w:qFormat/>
    <w:rsid w:val="004D54F2"/>
  </w:style>
  <w:style w:type="paragraph" w:customStyle="1" w:styleId="35">
    <w:name w:val="修订3"/>
    <w:hidden/>
    <w:uiPriority w:val="99"/>
    <w:semiHidden/>
    <w:qFormat/>
    <w:rsid w:val="004D54F2"/>
    <w:pPr>
      <w:spacing w:after="0" w:line="240" w:lineRule="auto"/>
    </w:pPr>
    <w:rPr>
      <w:rFonts w:ascii="Times New Roman" w:hAnsi="Times New Roman" w:cs="Times New Roman"/>
      <w:kern w:val="2"/>
      <w:sz w:val="24"/>
      <w:lang w:eastAsia="zh-CN"/>
    </w:rPr>
  </w:style>
  <w:style w:type="character" w:customStyle="1" w:styleId="26">
    <w:name w:val="未处理的提及2"/>
    <w:basedOn w:val="a2"/>
    <w:uiPriority w:val="99"/>
    <w:semiHidden/>
    <w:unhideWhenUsed/>
    <w:qFormat/>
    <w:rsid w:val="004D54F2"/>
    <w:rPr>
      <w:color w:val="605E5C"/>
      <w:shd w:val="clear" w:color="auto" w:fill="E1DFDD"/>
    </w:rPr>
  </w:style>
  <w:style w:type="paragraph" w:customStyle="1" w:styleId="Normal1">
    <w:name w:val="Normal1"/>
    <w:qFormat/>
    <w:rsid w:val="004D54F2"/>
    <w:pPr>
      <w:spacing w:after="0" w:line="240" w:lineRule="auto"/>
      <w:jc w:val="both"/>
    </w:pPr>
    <w:rPr>
      <w:rFonts w:ascii="Times New Roman" w:hAnsi="Times New Roman" w:cs="Times New Roman"/>
      <w:kern w:val="2"/>
      <w:sz w:val="21"/>
      <w:szCs w:val="21"/>
      <w:lang w:eastAsia="zh-CN"/>
    </w:rPr>
  </w:style>
  <w:style w:type="character" w:customStyle="1" w:styleId="2Char1">
    <w:name w:val="标题 2 Char1"/>
    <w:uiPriority w:val="9"/>
    <w:qFormat/>
    <w:rsid w:val="004D54F2"/>
    <w:rPr>
      <w:rFonts w:ascii="Times New Roman Bold" w:eastAsia="Symbol" w:hAnsi="Times New Roman Bold" w:cs="Times New Roman Bold"/>
      <w:b/>
      <w:sz w:val="24"/>
      <w:szCs w:val="20"/>
    </w:rPr>
  </w:style>
  <w:style w:type="paragraph" w:customStyle="1" w:styleId="1a">
    <w:name w:val="尾注文本1"/>
    <w:basedOn w:val="a1"/>
    <w:next w:val="affd"/>
    <w:link w:val="Char5"/>
    <w:unhideWhenUsed/>
    <w:qFormat/>
    <w:rsid w:val="004D54F2"/>
    <w:pPr>
      <w:widowControl w:val="0"/>
      <w:snapToGrid w:val="0"/>
      <w:spacing w:after="0" w:line="240" w:lineRule="auto"/>
    </w:pPr>
    <w:rPr>
      <w:rFonts w:eastAsia="Symbol"/>
      <w:b/>
      <w:szCs w:val="20"/>
      <w:lang w:eastAsia="zh-CN" w:bidi="ar-SA"/>
    </w:rPr>
  </w:style>
  <w:style w:type="character" w:customStyle="1" w:styleId="Char5">
    <w:name w:val="尾注文本 Char"/>
    <w:link w:val="1a"/>
    <w:qFormat/>
    <w:rsid w:val="004D54F2"/>
    <w:rPr>
      <w:rFonts w:ascii="Times New Roman" w:eastAsia="Symbol" w:hAnsi="Times New Roman" w:cs="Times New Roman"/>
      <w:b/>
      <w:sz w:val="24"/>
      <w:szCs w:val="20"/>
      <w:lang w:eastAsia="zh-CN"/>
    </w:rPr>
  </w:style>
  <w:style w:type="table" w:customStyle="1" w:styleId="1b">
    <w:name w:val="网格型1"/>
    <w:basedOn w:val="a3"/>
    <w:uiPriority w:val="39"/>
    <w:qFormat/>
    <w:rsid w:val="004D54F2"/>
    <w:pPr>
      <w:widowControl w:val="0"/>
      <w:spacing w:after="0" w:line="240" w:lineRule="auto"/>
      <w:jc w:val="both"/>
    </w:pPr>
    <w:rPr>
      <w:rFonts w:ascii="Times New Roman Bold" w:eastAsia="华文宋体" w:hAnsi="Times New Roman Bold" w:cs="Times New Roman Bold"/>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d">
    <w:name w:val="！方案摘要"/>
    <w:next w:val="a1"/>
    <w:qFormat/>
    <w:rsid w:val="004D54F2"/>
    <w:pPr>
      <w:topLinePunct/>
      <w:adjustRightInd w:val="0"/>
      <w:snapToGrid w:val="0"/>
      <w:spacing w:after="0" w:line="360" w:lineRule="auto"/>
      <w:jc w:val="center"/>
      <w:outlineLvl w:val="0"/>
    </w:pPr>
    <w:rPr>
      <w:rFonts w:ascii="Times New Roman" w:eastAsia="黑体" w:hAnsi="Times New Roman" w:cs="Times New Roman"/>
      <w:kern w:val="2"/>
      <w:sz w:val="24"/>
      <w:szCs w:val="24"/>
      <w:lang w:eastAsia="zh-CN"/>
    </w:rPr>
  </w:style>
  <w:style w:type="paragraph" w:customStyle="1" w:styleId="mdBrktdBullet">
    <w:name w:val="md_Brktd Bullet"/>
    <w:basedOn w:val="a1"/>
    <w:qFormat/>
    <w:rsid w:val="004D54F2"/>
    <w:pPr>
      <w:keepLines/>
      <w:overflowPunct w:val="0"/>
      <w:autoSpaceDE w:val="0"/>
      <w:autoSpaceDN w:val="0"/>
      <w:adjustRightInd w:val="0"/>
      <w:spacing w:before="14" w:after="144" w:line="279" w:lineRule="atLeast"/>
      <w:ind w:left="1080" w:right="720" w:hanging="504"/>
      <w:textAlignment w:val="baseline"/>
    </w:pPr>
    <w:rPr>
      <w:rFonts w:ascii="Times New Roman Bold" w:eastAsia="华文宋体" w:hAnsi="Times New Roman Bold" w:cs="Times New Roman Bold"/>
      <w:szCs w:val="20"/>
      <w:lang w:bidi="ar-SA"/>
    </w:rPr>
  </w:style>
  <w:style w:type="character" w:customStyle="1" w:styleId="Char10">
    <w:name w:val="纯文本 Char1"/>
    <w:qFormat/>
    <w:locked/>
    <w:rsid w:val="004D54F2"/>
    <w:rPr>
      <w:rFonts w:ascii="华文宋体" w:eastAsia="华文宋体" w:hAnsi="Symbol"/>
      <w:kern w:val="2"/>
      <w:sz w:val="21"/>
      <w:lang w:val="en-US" w:eastAsia="zh-CN" w:bidi="ar-SA"/>
    </w:rPr>
  </w:style>
  <w:style w:type="character" w:customStyle="1" w:styleId="apple-style-span">
    <w:name w:val="apple-style-span"/>
    <w:basedOn w:val="a2"/>
    <w:qFormat/>
    <w:rsid w:val="004D54F2"/>
  </w:style>
  <w:style w:type="paragraph" w:customStyle="1" w:styleId="a0">
    <w:name w:val="！附件"/>
    <w:next w:val="aff3"/>
    <w:qFormat/>
    <w:rsid w:val="004D54F2"/>
    <w:pPr>
      <w:keepNext/>
      <w:numPr>
        <w:numId w:val="67"/>
      </w:numPr>
      <w:topLinePunct/>
      <w:adjustRightInd w:val="0"/>
      <w:snapToGrid w:val="0"/>
      <w:spacing w:after="0" w:line="360" w:lineRule="auto"/>
      <w:outlineLvl w:val="0"/>
    </w:pPr>
    <w:rPr>
      <w:rFonts w:ascii="Times New Roman Bold" w:eastAsia="Symbol" w:hAnsi="Times New Roman Bold" w:cs="Times New Roman Bold"/>
      <w:kern w:val="2"/>
      <w:sz w:val="24"/>
      <w:szCs w:val="24"/>
      <w:lang w:eastAsia="zh-CN"/>
    </w:rPr>
  </w:style>
  <w:style w:type="paragraph" w:customStyle="1" w:styleId="ColorfulShading-Accent11">
    <w:name w:val="Colorful Shading - Accent 11"/>
    <w:hidden/>
    <w:uiPriority w:val="99"/>
    <w:semiHidden/>
    <w:qFormat/>
    <w:rsid w:val="004D54F2"/>
    <w:pPr>
      <w:spacing w:after="0" w:line="240" w:lineRule="auto"/>
    </w:pPr>
    <w:rPr>
      <w:rFonts w:ascii="Times New Roman Bold" w:eastAsia="华文宋体" w:hAnsi="Times New Roman Bold" w:cs="Times New Roman Bold"/>
      <w:kern w:val="2"/>
      <w:sz w:val="21"/>
      <w:szCs w:val="24"/>
      <w:lang w:eastAsia="zh-CN"/>
    </w:rPr>
  </w:style>
  <w:style w:type="character" w:customStyle="1" w:styleId="Char11">
    <w:name w:val="尾注文本 Char1"/>
    <w:basedOn w:val="a2"/>
    <w:uiPriority w:val="99"/>
    <w:semiHidden/>
    <w:qFormat/>
    <w:rsid w:val="004D54F2"/>
    <w:rPr>
      <w:rFonts w:ascii="Times New Roman" w:eastAsia="宋体" w:hAnsi="Times New Roman" w:cs="Times New Roman"/>
      <w:szCs w:val="24"/>
    </w:rPr>
  </w:style>
  <w:style w:type="paragraph" w:customStyle="1" w:styleId="-110">
    <w:name w:val="彩色列表 - 强调文字颜色 11"/>
    <w:basedOn w:val="a1"/>
    <w:link w:val="-1Char"/>
    <w:qFormat/>
    <w:rsid w:val="004D54F2"/>
    <w:pPr>
      <w:widowControl w:val="0"/>
      <w:spacing w:after="0" w:line="360" w:lineRule="auto"/>
      <w:ind w:firstLineChars="200" w:firstLine="420"/>
      <w:jc w:val="both"/>
    </w:pPr>
    <w:rPr>
      <w:rFonts w:ascii="Cambria Math" w:eastAsia="华文宋体" w:hAnsi="Cambria Math" w:cs="Times New Roman Bold"/>
      <w:kern w:val="2"/>
      <w:szCs w:val="22"/>
      <w:lang w:eastAsia="zh-CN" w:bidi="ar-SA"/>
    </w:rPr>
  </w:style>
  <w:style w:type="character" w:customStyle="1" w:styleId="-1Char">
    <w:name w:val="彩色列表 - 强调文字颜色 1 Char"/>
    <w:link w:val="-110"/>
    <w:qFormat/>
    <w:rsid w:val="004D54F2"/>
    <w:rPr>
      <w:rFonts w:ascii="Cambria Math" w:eastAsia="华文宋体" w:hAnsi="Cambria Math" w:cs="Times New Roman Bold"/>
      <w:kern w:val="2"/>
      <w:sz w:val="24"/>
      <w:lang w:eastAsia="zh-CN"/>
    </w:rPr>
  </w:style>
  <w:style w:type="character" w:customStyle="1" w:styleId="1c">
    <w:name w:val="不明显强调1"/>
    <w:uiPriority w:val="19"/>
    <w:qFormat/>
    <w:rsid w:val="004D54F2"/>
    <w:rPr>
      <w:rFonts w:ascii="宋体" w:eastAsia="华文宋体" w:hAnsi="宋体" w:cs="Times New Roman Bold"/>
      <w:iCs/>
      <w:color w:val="71685A"/>
    </w:rPr>
  </w:style>
  <w:style w:type="paragraph" w:customStyle="1" w:styleId="-111">
    <w:name w:val="彩色列表 - 着色 11"/>
    <w:basedOn w:val="a1"/>
    <w:link w:val="-1Char0"/>
    <w:uiPriority w:val="34"/>
    <w:qFormat/>
    <w:rsid w:val="004D54F2"/>
    <w:pPr>
      <w:widowControl w:val="0"/>
      <w:spacing w:after="0" w:line="240" w:lineRule="auto"/>
      <w:ind w:firstLineChars="200" w:firstLine="420"/>
      <w:jc w:val="both"/>
    </w:pPr>
    <w:rPr>
      <w:rFonts w:ascii="Cambria Math" w:eastAsia="华文宋体" w:hAnsi="Cambria Math" w:cs="Times New Roman Bold"/>
      <w:kern w:val="2"/>
      <w:sz w:val="21"/>
      <w:szCs w:val="22"/>
      <w:lang w:eastAsia="zh-CN" w:bidi="ar-SA"/>
    </w:rPr>
  </w:style>
  <w:style w:type="character" w:customStyle="1" w:styleId="-1Char0">
    <w:name w:val="彩色列表 - 着色 1 Char"/>
    <w:link w:val="-111"/>
    <w:uiPriority w:val="34"/>
    <w:qFormat/>
    <w:rsid w:val="004D54F2"/>
    <w:rPr>
      <w:rFonts w:ascii="Cambria Math" w:eastAsia="华文宋体" w:hAnsi="Cambria Math" w:cs="Times New Roman Bold"/>
      <w:kern w:val="2"/>
      <w:sz w:val="21"/>
      <w:lang w:eastAsia="zh-CN"/>
    </w:rPr>
  </w:style>
  <w:style w:type="paragraph" w:customStyle="1" w:styleId="sp2086">
    <w:name w:val="sp2086 正文"/>
    <w:basedOn w:val="-111"/>
    <w:qFormat/>
    <w:rsid w:val="004D54F2"/>
    <w:pPr>
      <w:spacing w:line="360" w:lineRule="auto"/>
      <w:ind w:firstLine="480"/>
    </w:pPr>
    <w:rPr>
      <w:rFonts w:ascii="Times New Roman Bold" w:hAnsi="华文宋体"/>
      <w:sz w:val="24"/>
      <w:szCs w:val="24"/>
    </w:rPr>
  </w:style>
  <w:style w:type="paragraph" w:customStyle="1" w:styleId="xl36">
    <w:name w:val="xl36"/>
    <w:basedOn w:val="a1"/>
    <w:uiPriority w:val="99"/>
    <w:qFormat/>
    <w:rsid w:val="004D54F2"/>
    <w:pPr>
      <w:pBdr>
        <w:bottom w:val="single" w:sz="4" w:space="0" w:color="auto"/>
      </w:pBdr>
      <w:spacing w:before="100" w:beforeAutospacing="1" w:after="100" w:afterAutospacing="1" w:line="240" w:lineRule="auto"/>
      <w:jc w:val="center"/>
    </w:pPr>
    <w:rPr>
      <w:rFonts w:ascii="华文宋体" w:eastAsia="华文宋体" w:hAnsi="华文宋体" w:cs="Times New Roman Bold"/>
      <w:b/>
      <w:bCs/>
      <w:i/>
      <w:iCs/>
      <w:sz w:val="18"/>
      <w:szCs w:val="18"/>
      <w:lang w:eastAsia="zh-CN" w:bidi="ar-SA"/>
    </w:rPr>
  </w:style>
  <w:style w:type="character" w:customStyle="1" w:styleId="shorttext1">
    <w:name w:val="short_text1"/>
    <w:qFormat/>
    <w:rsid w:val="004D54F2"/>
    <w:rPr>
      <w:sz w:val="26"/>
      <w:szCs w:val="26"/>
    </w:rPr>
  </w:style>
  <w:style w:type="paragraph" w:customStyle="1" w:styleId="Table">
    <w:name w:val="Table"/>
    <w:basedOn w:val="a1"/>
    <w:link w:val="TableChar"/>
    <w:qFormat/>
    <w:rsid w:val="004D54F2"/>
    <w:pPr>
      <w:keepLines/>
      <w:tabs>
        <w:tab w:val="left" w:pos="284"/>
      </w:tabs>
      <w:spacing w:before="40" w:after="20" w:line="240" w:lineRule="auto"/>
    </w:pPr>
    <w:rPr>
      <w:rFonts w:eastAsia="华文宋体" w:cs="Times New Roman Bold"/>
      <w:sz w:val="20"/>
      <w:lang w:eastAsia="ja-JP" w:bidi="ar-SA"/>
    </w:rPr>
  </w:style>
  <w:style w:type="character" w:customStyle="1" w:styleId="TableChar">
    <w:name w:val="Table Char"/>
    <w:link w:val="Table"/>
    <w:qFormat/>
    <w:rsid w:val="004D54F2"/>
    <w:rPr>
      <w:rFonts w:ascii="Times New Roman" w:eastAsia="华文宋体" w:hAnsi="Times New Roman" w:cs="Times New Roman Bold"/>
      <w:sz w:val="20"/>
      <w:szCs w:val="24"/>
      <w:lang w:eastAsia="ja-JP"/>
    </w:rPr>
  </w:style>
  <w:style w:type="paragraph" w:customStyle="1" w:styleId="WXBodyText">
    <w:name w:val="WX Body Text"/>
    <w:link w:val="WXBodyTextChar"/>
    <w:qFormat/>
    <w:rsid w:val="004D54F2"/>
    <w:pPr>
      <w:snapToGrid w:val="0"/>
      <w:spacing w:before="120" w:after="120" w:line="240" w:lineRule="auto"/>
      <w:ind w:left="720"/>
      <w:jc w:val="both"/>
    </w:pPr>
    <w:rPr>
      <w:rFonts w:ascii="Times New Roman Bold" w:eastAsia="华文宋体" w:hAnsi="Times New Roman Bold" w:cs="Times New Roman Bold"/>
      <w:bCs/>
      <w:kern w:val="32"/>
      <w:sz w:val="24"/>
      <w:szCs w:val="24"/>
      <w:lang w:eastAsia="zh-CN"/>
    </w:rPr>
  </w:style>
  <w:style w:type="character" w:customStyle="1" w:styleId="WXBodyTextChar">
    <w:name w:val="WX Body Text Char"/>
    <w:link w:val="WXBodyText"/>
    <w:qFormat/>
    <w:rsid w:val="004D54F2"/>
    <w:rPr>
      <w:rFonts w:ascii="Times New Roman Bold" w:eastAsia="华文宋体" w:hAnsi="Times New Roman Bold" w:cs="Times New Roman Bold"/>
      <w:bCs/>
      <w:kern w:val="32"/>
      <w:sz w:val="24"/>
      <w:szCs w:val="24"/>
      <w:lang w:eastAsia="zh-CN"/>
    </w:rPr>
  </w:style>
  <w:style w:type="paragraph" w:customStyle="1" w:styleId="27">
    <w:name w:val="列出段落2"/>
    <w:basedOn w:val="a1"/>
    <w:qFormat/>
    <w:rsid w:val="004D54F2"/>
    <w:pPr>
      <w:widowControl w:val="0"/>
      <w:spacing w:after="0" w:line="240" w:lineRule="auto"/>
      <w:ind w:firstLineChars="200" w:firstLine="420"/>
      <w:jc w:val="both"/>
    </w:pPr>
    <w:rPr>
      <w:rFonts w:ascii="Cambria Math" w:eastAsia="华文宋体" w:hAnsi="Cambria Math" w:cs="华文宋体"/>
      <w:kern w:val="2"/>
      <w:sz w:val="21"/>
      <w:szCs w:val="21"/>
      <w:lang w:eastAsia="zh-CN" w:bidi="ar-SA"/>
    </w:rPr>
  </w:style>
  <w:style w:type="paragraph" w:customStyle="1" w:styleId="afffe">
    <w:name w:val="摘要"/>
    <w:basedOn w:val="23"/>
    <w:link w:val="affff"/>
    <w:qFormat/>
    <w:rsid w:val="004D54F2"/>
    <w:pPr>
      <w:spacing w:line="288" w:lineRule="auto"/>
      <w:ind w:firstLine="200"/>
      <w:jc w:val="both"/>
    </w:pPr>
    <w:rPr>
      <w:szCs w:val="21"/>
    </w:rPr>
  </w:style>
  <w:style w:type="character" w:customStyle="1" w:styleId="affff">
    <w:name w:val="摘要 字符"/>
    <w:basedOn w:val="24"/>
    <w:link w:val="afffe"/>
    <w:qFormat/>
    <w:rsid w:val="004D54F2"/>
    <w:rPr>
      <w:rFonts w:ascii="Times New Roman" w:hAnsi="Times New Roman" w:cs="Times New Roman"/>
      <w:kern w:val="2"/>
      <w:sz w:val="26"/>
      <w:szCs w:val="21"/>
      <w:lang w:eastAsia="zh-CN"/>
    </w:rPr>
  </w:style>
  <w:style w:type="paragraph" w:customStyle="1" w:styleId="LEFT10">
    <w:name w:val="LEFT10"/>
    <w:basedOn w:val="a1"/>
    <w:qFormat/>
    <w:rsid w:val="004D54F2"/>
    <w:pPr>
      <w:suppressAutoHyphens/>
      <w:spacing w:before="60" w:after="60" w:line="240" w:lineRule="auto"/>
    </w:pPr>
    <w:rPr>
      <w:sz w:val="20"/>
      <w:szCs w:val="20"/>
      <w:lang w:bidi="ar-SA"/>
    </w:rPr>
  </w:style>
  <w:style w:type="character" w:customStyle="1" w:styleId="hl3">
    <w:name w:val="hl3"/>
    <w:qFormat/>
    <w:rsid w:val="004D54F2"/>
    <w:rPr>
      <w:color w:val="B01E23"/>
    </w:rPr>
  </w:style>
  <w:style w:type="character" w:customStyle="1" w:styleId="tgc">
    <w:name w:val="_tgc"/>
    <w:qFormat/>
    <w:rsid w:val="004D54F2"/>
  </w:style>
  <w:style w:type="character" w:customStyle="1" w:styleId="2Char">
    <w:name w:val="样式 首行缩进:  2 字符 Char"/>
    <w:link w:val="28"/>
    <w:qFormat/>
    <w:rsid w:val="004D54F2"/>
    <w:rPr>
      <w:rFonts w:cs="宋体"/>
      <w:sz w:val="24"/>
    </w:rPr>
  </w:style>
  <w:style w:type="paragraph" w:customStyle="1" w:styleId="28">
    <w:name w:val="样式 首行缩进:  2 字符"/>
    <w:basedOn w:val="a1"/>
    <w:link w:val="2Char"/>
    <w:qFormat/>
    <w:rsid w:val="004D54F2"/>
    <w:pPr>
      <w:widowControl w:val="0"/>
      <w:adjustRightInd w:val="0"/>
      <w:snapToGrid w:val="0"/>
      <w:spacing w:after="0" w:line="360" w:lineRule="auto"/>
      <w:ind w:firstLine="420"/>
      <w:jc w:val="both"/>
    </w:pPr>
    <w:rPr>
      <w:rFonts w:asciiTheme="minorHAnsi" w:hAnsiTheme="minorHAnsi" w:cs="宋体"/>
      <w:szCs w:val="22"/>
      <w:lang w:bidi="ar-SA"/>
    </w:rPr>
  </w:style>
  <w:style w:type="table" w:customStyle="1" w:styleId="2-11">
    <w:name w:val="网格表 2 - 着色 11"/>
    <w:basedOn w:val="a3"/>
    <w:uiPriority w:val="47"/>
    <w:qFormat/>
    <w:rsid w:val="004D54F2"/>
    <w:pPr>
      <w:spacing w:after="0" w:line="240" w:lineRule="auto"/>
    </w:pPr>
    <w:rPr>
      <w:rFonts w:ascii="Calibri" w:hAnsi="Calibri" w:cs="Times New Roman"/>
      <w:sz w:val="20"/>
      <w:szCs w:val="20"/>
      <w:lang w:eastAsia="zh-CN"/>
    </w:rPr>
    <w:tblPr>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Text">
    <w:name w:val="Text"/>
    <w:basedOn w:val="af9"/>
    <w:link w:val="TextChar"/>
    <w:qFormat/>
    <w:rsid w:val="004D54F2"/>
    <w:pPr>
      <w:spacing w:line="360" w:lineRule="auto"/>
      <w:ind w:firstLineChars="200" w:firstLine="200"/>
    </w:pPr>
    <w:rPr>
      <w:rFonts w:ascii="宋体" w:eastAsia="华文宋体" w:hAnsi="Courier New" w:cs="Courier New"/>
      <w:kern w:val="2"/>
      <w:sz w:val="24"/>
      <w:lang w:val="en-GB"/>
    </w:rPr>
  </w:style>
  <w:style w:type="character" w:customStyle="1" w:styleId="TextChar">
    <w:name w:val="Text Char"/>
    <w:basedOn w:val="afa"/>
    <w:link w:val="Text"/>
    <w:qFormat/>
    <w:rsid w:val="004D54F2"/>
    <w:rPr>
      <w:rFonts w:ascii="宋体" w:eastAsia="华文宋体" w:hAnsi="Courier New" w:cs="Courier New"/>
      <w:kern w:val="2"/>
      <w:sz w:val="24"/>
      <w:szCs w:val="21"/>
      <w:lang w:val="en-GB" w:bidi="en-US"/>
    </w:rPr>
  </w:style>
  <w:style w:type="paragraph" w:customStyle="1" w:styleId="Affff0">
    <w:name w:val="正文 A"/>
    <w:qFormat/>
    <w:rsid w:val="004D54F2"/>
    <w:pPr>
      <w:widowControl w:val="0"/>
      <w:spacing w:beforeLines="30" w:after="0" w:line="300" w:lineRule="auto"/>
      <w:ind w:firstLineChars="200" w:firstLine="200"/>
      <w:jc w:val="both"/>
    </w:pPr>
    <w:rPr>
      <w:rFonts w:ascii="Times New Roman" w:hAnsi="Times New Roman" w:cs="微软雅黑" w:hint="eastAsia"/>
      <w:color w:val="000000"/>
      <w:kern w:val="2"/>
      <w:sz w:val="24"/>
      <w:szCs w:val="24"/>
      <w:u w:color="000000"/>
      <w:lang w:eastAsia="zh-CN"/>
    </w:rPr>
  </w:style>
  <w:style w:type="table" w:customStyle="1" w:styleId="2-12">
    <w:name w:val="网格表 2 - 着色 12"/>
    <w:basedOn w:val="a3"/>
    <w:uiPriority w:val="47"/>
    <w:qFormat/>
    <w:rsid w:val="004D54F2"/>
    <w:pPr>
      <w:spacing w:after="0" w:line="240" w:lineRule="auto"/>
    </w:pPr>
    <w:rPr>
      <w:rFonts w:ascii="Calibri" w:hAnsi="Calibri" w:cs="Times New Roman"/>
      <w:sz w:val="20"/>
      <w:szCs w:val="20"/>
      <w:lang w:eastAsia="zh-CN"/>
    </w:rPr>
    <w:tblPr>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42">
    <w:name w:val="标题4 字符"/>
    <w:basedOn w:val="40"/>
    <w:link w:val="41"/>
    <w:qFormat/>
    <w:rsid w:val="004D54F2"/>
    <w:rPr>
      <w:rFonts w:ascii="Times New Roman" w:eastAsiaTheme="majorEastAsia" w:hAnsi="Times New Roman" w:cs="Times New Roman"/>
      <w:b/>
      <w:bCs w:val="0"/>
      <w:iCs w:val="0"/>
      <w:sz w:val="24"/>
      <w:szCs w:val="28"/>
      <w:lang w:eastAsia="zh-CN" w:bidi="en-US"/>
    </w:rPr>
  </w:style>
  <w:style w:type="table" w:customStyle="1" w:styleId="2-13">
    <w:name w:val="网格表 2 - 着色 13"/>
    <w:basedOn w:val="a3"/>
    <w:uiPriority w:val="47"/>
    <w:qFormat/>
    <w:rsid w:val="004D54F2"/>
    <w:pPr>
      <w:spacing w:after="0" w:line="240" w:lineRule="auto"/>
    </w:pPr>
    <w:rPr>
      <w:rFonts w:ascii="Calibri" w:hAnsi="Calibri" w:cs="Times New Roman"/>
      <w:sz w:val="20"/>
      <w:szCs w:val="20"/>
      <w:lang w:eastAsia="zh-CN"/>
    </w:rPr>
    <w:tblPr>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36">
    <w:name w:val="未处理的提及3"/>
    <w:basedOn w:val="a2"/>
    <w:uiPriority w:val="99"/>
    <w:semiHidden/>
    <w:unhideWhenUsed/>
    <w:qFormat/>
    <w:rsid w:val="004D54F2"/>
    <w:rPr>
      <w:color w:val="605E5C"/>
      <w:shd w:val="clear" w:color="auto" w:fill="E1DFDD"/>
    </w:rPr>
  </w:style>
  <w:style w:type="table" w:customStyle="1" w:styleId="TableNormal1">
    <w:name w:val="Table Normal1"/>
    <w:uiPriority w:val="2"/>
    <w:semiHidden/>
    <w:unhideWhenUsed/>
    <w:qFormat/>
    <w:rsid w:val="004D54F2"/>
    <w:pPr>
      <w:widowControl w:val="0"/>
      <w:spacing w:after="0" w:line="240" w:lineRule="auto"/>
    </w:pPr>
    <w:rPr>
      <w:rFonts w:ascii="Calibri" w:hAnsi="Calibri" w:cs="Times New Roman"/>
      <w:szCs w:val="20"/>
    </w:rPr>
    <w:tblPr>
      <w:tblCellMar>
        <w:top w:w="0" w:type="dxa"/>
        <w:left w:w="0" w:type="dxa"/>
        <w:bottom w:w="0" w:type="dxa"/>
        <w:right w:w="0" w:type="dxa"/>
      </w:tblCellMar>
    </w:tblPr>
  </w:style>
  <w:style w:type="character" w:customStyle="1" w:styleId="43">
    <w:name w:val="未处理的提及4"/>
    <w:basedOn w:val="a2"/>
    <w:uiPriority w:val="99"/>
    <w:semiHidden/>
    <w:unhideWhenUsed/>
    <w:qFormat/>
    <w:rsid w:val="004D54F2"/>
    <w:rPr>
      <w:color w:val="605E5C"/>
      <w:shd w:val="clear" w:color="auto" w:fill="E1DFDD"/>
    </w:rPr>
  </w:style>
  <w:style w:type="table" w:customStyle="1" w:styleId="310">
    <w:name w:val="无格式表格 31"/>
    <w:basedOn w:val="a3"/>
    <w:uiPriority w:val="43"/>
    <w:qFormat/>
    <w:rsid w:val="004D54F2"/>
    <w:pPr>
      <w:spacing w:after="0" w:line="240" w:lineRule="auto"/>
    </w:pPr>
    <w:rPr>
      <w:rFonts w:ascii="Calibri" w:hAnsi="Calibri" w:cs="Times New Roman"/>
      <w:sz w:val="20"/>
      <w:szCs w:val="20"/>
      <w:lang w:eastAsia="zh-CN"/>
    </w:rP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TOC30">
    <w:name w:val="TOC 标题3"/>
    <w:basedOn w:val="1"/>
    <w:next w:val="a1"/>
    <w:uiPriority w:val="39"/>
    <w:unhideWhenUsed/>
    <w:qFormat/>
    <w:rsid w:val="004D54F2"/>
    <w:pPr>
      <w:pageBreakBefore w:val="0"/>
      <w:numPr>
        <w:numId w:val="0"/>
      </w:numPr>
      <w:tabs>
        <w:tab w:val="clear" w:pos="432"/>
      </w:tabs>
      <w:spacing w:before="240" w:after="0" w:line="259" w:lineRule="auto"/>
      <w:outlineLvl w:val="9"/>
    </w:pPr>
    <w:rPr>
      <w:rFonts w:asciiTheme="majorHAnsi" w:hAnsiTheme="majorHAnsi" w:cstheme="majorBidi"/>
      <w:b w:val="0"/>
      <w:bCs w:val="0"/>
      <w:color w:val="365F91" w:themeColor="accent1" w:themeShade="BF"/>
      <w:kern w:val="0"/>
      <w:sz w:val="32"/>
      <w:lang w:eastAsia="zh-CN" w:bidi="ar-SA"/>
    </w:rPr>
  </w:style>
  <w:style w:type="character" w:customStyle="1" w:styleId="ref-journal">
    <w:name w:val="ref-journal"/>
    <w:basedOn w:val="a2"/>
    <w:qFormat/>
    <w:rsid w:val="004D54F2"/>
  </w:style>
  <w:style w:type="character" w:customStyle="1" w:styleId="ref-vol">
    <w:name w:val="ref-vol"/>
    <w:basedOn w:val="a2"/>
    <w:qFormat/>
    <w:rsid w:val="004D54F2"/>
  </w:style>
  <w:style w:type="paragraph" w:customStyle="1" w:styleId="Pa19">
    <w:name w:val="Pa19"/>
    <w:basedOn w:val="a1"/>
    <w:next w:val="a1"/>
    <w:uiPriority w:val="99"/>
    <w:qFormat/>
    <w:rsid w:val="004D54F2"/>
    <w:pPr>
      <w:widowControl w:val="0"/>
      <w:autoSpaceDE w:val="0"/>
      <w:autoSpaceDN w:val="0"/>
      <w:adjustRightInd w:val="0"/>
      <w:spacing w:after="0" w:line="201" w:lineRule="atLeast"/>
    </w:pPr>
    <w:rPr>
      <w:rFonts w:eastAsiaTheme="minorEastAsia"/>
      <w:lang w:eastAsia="zh-CN" w:bidi="ar-SA"/>
    </w:rPr>
  </w:style>
  <w:style w:type="character" w:customStyle="1" w:styleId="highlight">
    <w:name w:val="highlight"/>
    <w:basedOn w:val="a2"/>
    <w:qFormat/>
    <w:rsid w:val="004D54F2"/>
  </w:style>
  <w:style w:type="paragraph" w:customStyle="1" w:styleId="1d">
    <w:name w:val="书目1"/>
    <w:basedOn w:val="a1"/>
    <w:next w:val="a1"/>
    <w:uiPriority w:val="37"/>
    <w:unhideWhenUsed/>
    <w:qFormat/>
    <w:rsid w:val="004D54F2"/>
    <w:pPr>
      <w:widowControl w:val="0"/>
      <w:tabs>
        <w:tab w:val="left" w:pos="384"/>
      </w:tabs>
      <w:spacing w:after="0" w:line="480" w:lineRule="auto"/>
      <w:ind w:left="384" w:hanging="384"/>
      <w:jc w:val="both"/>
    </w:pPr>
    <w:rPr>
      <w:kern w:val="2"/>
      <w:szCs w:val="22"/>
      <w:lang w:eastAsia="zh-CN" w:bidi="ar-SA"/>
    </w:rPr>
  </w:style>
  <w:style w:type="paragraph" w:customStyle="1" w:styleId="Style99">
    <w:name w:val="_Style 99"/>
    <w:basedOn w:val="a1"/>
    <w:next w:val="aff"/>
    <w:qFormat/>
    <w:rsid w:val="004D54F2"/>
    <w:pPr>
      <w:widowControl w:val="0"/>
      <w:spacing w:after="0" w:line="240" w:lineRule="auto"/>
      <w:ind w:firstLineChars="200" w:firstLine="420"/>
      <w:jc w:val="both"/>
    </w:pPr>
    <w:rPr>
      <w:rFonts w:ascii="Calibri" w:hAnsi="Calibri"/>
      <w:kern w:val="2"/>
      <w:sz w:val="21"/>
      <w:szCs w:val="22"/>
      <w:lang w:eastAsia="zh-CN" w:bidi="ar-SA"/>
    </w:rPr>
  </w:style>
  <w:style w:type="paragraph" w:customStyle="1" w:styleId="Head6">
    <w:name w:val="Head6"/>
    <w:basedOn w:val="aff"/>
    <w:qFormat/>
    <w:rsid w:val="004D54F2"/>
    <w:pPr>
      <w:widowControl w:val="0"/>
      <w:numPr>
        <w:numId w:val="68"/>
      </w:numPr>
      <w:adjustRightInd w:val="0"/>
      <w:snapToGrid w:val="0"/>
      <w:spacing w:after="0" w:line="360" w:lineRule="auto"/>
      <w:ind w:firstLine="0"/>
      <w:contextualSpacing w:val="0"/>
      <w:jc w:val="both"/>
    </w:pPr>
    <w:rPr>
      <w:rFonts w:ascii="Times New Roman" w:eastAsiaTheme="minorEastAsia" w:hAnsi="Times New Roman"/>
      <w:b/>
      <w:kern w:val="2"/>
      <w:sz w:val="24"/>
      <w:lang w:eastAsia="zh-CN"/>
    </w:rPr>
  </w:style>
  <w:style w:type="character" w:customStyle="1" w:styleId="lmming">
    <w:name w:val="lmming"/>
    <w:basedOn w:val="a2"/>
    <w:qFormat/>
    <w:rsid w:val="004D54F2"/>
  </w:style>
  <w:style w:type="paragraph" w:customStyle="1" w:styleId="font5">
    <w:name w:val="font5"/>
    <w:basedOn w:val="a1"/>
    <w:qFormat/>
    <w:rsid w:val="004D54F2"/>
    <w:pPr>
      <w:spacing w:before="100" w:beforeAutospacing="1" w:after="100" w:afterAutospacing="1" w:line="240" w:lineRule="auto"/>
    </w:pPr>
    <w:rPr>
      <w:rFonts w:ascii="宋体" w:hAnsi="宋体" w:cs="宋体"/>
      <w:sz w:val="18"/>
      <w:szCs w:val="18"/>
      <w:lang w:eastAsia="zh-CN" w:bidi="ar-SA"/>
    </w:rPr>
  </w:style>
  <w:style w:type="paragraph" w:customStyle="1" w:styleId="font6">
    <w:name w:val="font6"/>
    <w:basedOn w:val="a1"/>
    <w:qFormat/>
    <w:rsid w:val="004D54F2"/>
    <w:pPr>
      <w:spacing w:before="100" w:beforeAutospacing="1" w:after="100" w:afterAutospacing="1" w:line="240" w:lineRule="auto"/>
    </w:pPr>
    <w:rPr>
      <w:rFonts w:ascii="宋体" w:hAnsi="宋体" w:cs="宋体"/>
      <w:color w:val="000000"/>
      <w:sz w:val="21"/>
      <w:szCs w:val="21"/>
      <w:lang w:eastAsia="zh-CN" w:bidi="ar-SA"/>
    </w:rPr>
  </w:style>
  <w:style w:type="paragraph" w:customStyle="1" w:styleId="font7">
    <w:name w:val="font7"/>
    <w:basedOn w:val="a1"/>
    <w:qFormat/>
    <w:rsid w:val="004D54F2"/>
    <w:pPr>
      <w:spacing w:before="100" w:beforeAutospacing="1" w:after="100" w:afterAutospacing="1" w:line="240" w:lineRule="auto"/>
    </w:pPr>
    <w:rPr>
      <w:color w:val="000000"/>
      <w:sz w:val="21"/>
      <w:szCs w:val="21"/>
      <w:lang w:eastAsia="zh-CN" w:bidi="ar-SA"/>
    </w:rPr>
  </w:style>
  <w:style w:type="paragraph" w:customStyle="1" w:styleId="font8">
    <w:name w:val="font8"/>
    <w:basedOn w:val="a1"/>
    <w:qFormat/>
    <w:rsid w:val="004D54F2"/>
    <w:pPr>
      <w:spacing w:before="100" w:beforeAutospacing="1" w:after="100" w:afterAutospacing="1" w:line="240" w:lineRule="auto"/>
    </w:pPr>
    <w:rPr>
      <w:color w:val="000000"/>
      <w:sz w:val="21"/>
      <w:szCs w:val="21"/>
      <w:lang w:eastAsia="zh-CN" w:bidi="ar-SA"/>
    </w:rPr>
  </w:style>
  <w:style w:type="paragraph" w:customStyle="1" w:styleId="font9">
    <w:name w:val="font9"/>
    <w:basedOn w:val="a1"/>
    <w:qFormat/>
    <w:rsid w:val="004D54F2"/>
    <w:pPr>
      <w:spacing w:before="100" w:beforeAutospacing="1" w:after="100" w:afterAutospacing="1" w:line="240" w:lineRule="auto"/>
    </w:pPr>
    <w:rPr>
      <w:color w:val="FF0000"/>
      <w:sz w:val="21"/>
      <w:szCs w:val="21"/>
      <w:u w:val="single"/>
      <w:lang w:eastAsia="zh-CN" w:bidi="ar-SA"/>
    </w:rPr>
  </w:style>
  <w:style w:type="paragraph" w:customStyle="1" w:styleId="font10">
    <w:name w:val="font10"/>
    <w:basedOn w:val="a1"/>
    <w:qFormat/>
    <w:rsid w:val="004D54F2"/>
    <w:pPr>
      <w:spacing w:before="100" w:beforeAutospacing="1" w:after="100" w:afterAutospacing="1" w:line="240" w:lineRule="auto"/>
    </w:pPr>
    <w:rPr>
      <w:rFonts w:ascii="宋体" w:hAnsi="宋体" w:cs="宋体"/>
      <w:color w:val="FF0000"/>
      <w:sz w:val="21"/>
      <w:szCs w:val="21"/>
      <w:u w:val="single"/>
      <w:lang w:eastAsia="zh-CN" w:bidi="ar-SA"/>
    </w:rPr>
  </w:style>
  <w:style w:type="paragraph" w:customStyle="1" w:styleId="font11">
    <w:name w:val="font11"/>
    <w:basedOn w:val="a1"/>
    <w:qFormat/>
    <w:rsid w:val="004D54F2"/>
    <w:pPr>
      <w:spacing w:before="100" w:beforeAutospacing="1" w:after="100" w:afterAutospacing="1" w:line="240" w:lineRule="auto"/>
    </w:pPr>
    <w:rPr>
      <w:rFonts w:ascii="宋体" w:hAnsi="宋体" w:cs="宋体"/>
      <w:color w:val="161616"/>
      <w:sz w:val="21"/>
      <w:szCs w:val="21"/>
      <w:lang w:eastAsia="zh-CN" w:bidi="ar-SA"/>
    </w:rPr>
  </w:style>
  <w:style w:type="paragraph" w:customStyle="1" w:styleId="xl63">
    <w:name w:val="xl63"/>
    <w:basedOn w:val="a1"/>
    <w:qFormat/>
    <w:rsid w:val="004D54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hAnsi="宋体" w:cs="宋体"/>
      <w:lang w:eastAsia="zh-CN" w:bidi="ar-SA"/>
    </w:rPr>
  </w:style>
  <w:style w:type="paragraph" w:customStyle="1" w:styleId="xl64">
    <w:name w:val="xl64"/>
    <w:basedOn w:val="a1"/>
    <w:qFormat/>
    <w:rsid w:val="004D54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宋体" w:hAnsi="宋体" w:cs="宋体"/>
      <w:sz w:val="21"/>
      <w:szCs w:val="21"/>
      <w:lang w:eastAsia="zh-CN" w:bidi="ar-SA"/>
    </w:rPr>
  </w:style>
  <w:style w:type="paragraph" w:customStyle="1" w:styleId="xl65">
    <w:name w:val="xl65"/>
    <w:basedOn w:val="a1"/>
    <w:qFormat/>
    <w:rsid w:val="004D54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宋体" w:hAnsi="宋体" w:cs="宋体"/>
      <w:lang w:eastAsia="zh-CN" w:bidi="ar-SA"/>
    </w:rPr>
  </w:style>
  <w:style w:type="paragraph" w:customStyle="1" w:styleId="xl66">
    <w:name w:val="xl66"/>
    <w:basedOn w:val="a1"/>
    <w:qFormat/>
    <w:rsid w:val="004D54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sz w:val="21"/>
      <w:szCs w:val="21"/>
      <w:lang w:eastAsia="zh-CN" w:bidi="ar-SA"/>
    </w:rPr>
  </w:style>
  <w:style w:type="paragraph" w:customStyle="1" w:styleId="xl67">
    <w:name w:val="xl67"/>
    <w:basedOn w:val="a1"/>
    <w:qFormat/>
    <w:rsid w:val="004D54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 w:val="21"/>
      <w:szCs w:val="21"/>
      <w:lang w:eastAsia="zh-CN" w:bidi="ar-SA"/>
    </w:rPr>
  </w:style>
  <w:style w:type="paragraph" w:customStyle="1" w:styleId="xl68">
    <w:name w:val="xl68"/>
    <w:basedOn w:val="a1"/>
    <w:qFormat/>
    <w:rsid w:val="004D54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lang w:eastAsia="zh-CN" w:bidi="ar-SA"/>
    </w:rPr>
  </w:style>
  <w:style w:type="paragraph" w:customStyle="1" w:styleId="xl69">
    <w:name w:val="xl69"/>
    <w:basedOn w:val="a1"/>
    <w:qFormat/>
    <w:rsid w:val="004D54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lang w:eastAsia="zh-CN" w:bidi="ar-SA"/>
    </w:rPr>
  </w:style>
  <w:style w:type="paragraph" w:customStyle="1" w:styleId="xl70">
    <w:name w:val="xl70"/>
    <w:basedOn w:val="a1"/>
    <w:qFormat/>
    <w:rsid w:val="004D54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 w:val="21"/>
      <w:szCs w:val="21"/>
      <w:lang w:eastAsia="zh-CN" w:bidi="ar-SA"/>
    </w:rPr>
  </w:style>
  <w:style w:type="paragraph" w:customStyle="1" w:styleId="xl71">
    <w:name w:val="xl71"/>
    <w:basedOn w:val="a1"/>
    <w:qFormat/>
    <w:rsid w:val="004D54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lang w:eastAsia="zh-CN" w:bidi="ar-SA"/>
    </w:rPr>
  </w:style>
  <w:style w:type="paragraph" w:customStyle="1" w:styleId="xl72">
    <w:name w:val="xl72"/>
    <w:basedOn w:val="a1"/>
    <w:qFormat/>
    <w:rsid w:val="004D54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hAnsi="宋体" w:cs="宋体"/>
      <w:lang w:eastAsia="zh-CN" w:bidi="ar-SA"/>
    </w:rPr>
  </w:style>
  <w:style w:type="paragraph" w:customStyle="1" w:styleId="xl73">
    <w:name w:val="xl73"/>
    <w:basedOn w:val="a1"/>
    <w:qFormat/>
    <w:rsid w:val="004D54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sz w:val="21"/>
      <w:szCs w:val="21"/>
      <w:lang w:eastAsia="zh-CN" w:bidi="ar-SA"/>
    </w:rPr>
  </w:style>
  <w:style w:type="paragraph" w:customStyle="1" w:styleId="xl74">
    <w:name w:val="xl74"/>
    <w:basedOn w:val="a1"/>
    <w:qFormat/>
    <w:rsid w:val="004D54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sz w:val="21"/>
      <w:szCs w:val="21"/>
      <w:lang w:eastAsia="zh-CN" w:bidi="ar-SA"/>
    </w:rPr>
  </w:style>
  <w:style w:type="paragraph" w:customStyle="1" w:styleId="xl75">
    <w:name w:val="xl75"/>
    <w:basedOn w:val="a1"/>
    <w:qFormat/>
    <w:rsid w:val="004D54F2"/>
    <w:pPr>
      <w:pBdr>
        <w:top w:val="single" w:sz="4" w:space="0" w:color="auto"/>
        <w:left w:val="single" w:sz="4" w:space="0" w:color="auto"/>
        <w:bottom w:val="single" w:sz="4" w:space="0" w:color="auto"/>
      </w:pBdr>
      <w:spacing w:before="100" w:beforeAutospacing="1" w:after="100" w:afterAutospacing="1" w:line="240" w:lineRule="auto"/>
      <w:jc w:val="both"/>
    </w:pPr>
    <w:rPr>
      <w:rFonts w:ascii="宋体" w:hAnsi="宋体" w:cs="宋体"/>
      <w:sz w:val="21"/>
      <w:szCs w:val="21"/>
      <w:lang w:eastAsia="zh-CN" w:bidi="ar-SA"/>
    </w:rPr>
  </w:style>
  <w:style w:type="paragraph" w:customStyle="1" w:styleId="xl76">
    <w:name w:val="xl76"/>
    <w:basedOn w:val="a1"/>
    <w:qFormat/>
    <w:rsid w:val="004D54F2"/>
    <w:pPr>
      <w:pBdr>
        <w:top w:val="single" w:sz="4" w:space="0" w:color="auto"/>
        <w:bottom w:val="single" w:sz="4" w:space="0" w:color="auto"/>
        <w:right w:val="single" w:sz="4" w:space="0" w:color="auto"/>
      </w:pBdr>
      <w:spacing w:before="100" w:beforeAutospacing="1" w:after="100" w:afterAutospacing="1" w:line="240" w:lineRule="auto"/>
      <w:jc w:val="both"/>
    </w:pPr>
    <w:rPr>
      <w:rFonts w:ascii="宋体" w:hAnsi="宋体" w:cs="宋体"/>
      <w:lang w:eastAsia="zh-CN" w:bidi="ar-SA"/>
    </w:rPr>
  </w:style>
  <w:style w:type="paragraph" w:customStyle="1" w:styleId="xl77">
    <w:name w:val="xl77"/>
    <w:basedOn w:val="a1"/>
    <w:qFormat/>
    <w:rsid w:val="004D54F2"/>
    <w:pPr>
      <w:pBdr>
        <w:top w:val="single" w:sz="4" w:space="0" w:color="auto"/>
        <w:left w:val="single" w:sz="4" w:space="0" w:color="auto"/>
        <w:bottom w:val="single" w:sz="4" w:space="0" w:color="auto"/>
      </w:pBdr>
      <w:spacing w:before="100" w:beforeAutospacing="1" w:after="100" w:afterAutospacing="1" w:line="240" w:lineRule="auto"/>
      <w:jc w:val="both"/>
    </w:pPr>
    <w:rPr>
      <w:rFonts w:ascii="宋体" w:hAnsi="宋体" w:cs="宋体"/>
      <w:color w:val="FF0000"/>
      <w:sz w:val="21"/>
      <w:szCs w:val="21"/>
      <w:u w:val="single"/>
      <w:lang w:eastAsia="zh-CN" w:bidi="ar-SA"/>
    </w:rPr>
  </w:style>
  <w:style w:type="paragraph" w:customStyle="1" w:styleId="xl78">
    <w:name w:val="xl78"/>
    <w:basedOn w:val="a1"/>
    <w:qFormat/>
    <w:rsid w:val="004D54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宋体" w:hAnsi="宋体" w:cs="宋体"/>
      <w:color w:val="FF0000"/>
      <w:sz w:val="21"/>
      <w:szCs w:val="21"/>
      <w:u w:val="single"/>
      <w:lang w:eastAsia="zh-CN" w:bidi="ar-SA"/>
    </w:rPr>
  </w:style>
  <w:style w:type="character" w:customStyle="1" w:styleId="fontstyle11">
    <w:name w:val="fontstyle11"/>
    <w:basedOn w:val="a2"/>
    <w:qFormat/>
    <w:rsid w:val="004D54F2"/>
    <w:rPr>
      <w:rFonts w:ascii="GBK_S" w:hAnsi="GBK_S" w:hint="default"/>
      <w:color w:val="000000"/>
      <w:sz w:val="18"/>
      <w:szCs w:val="18"/>
    </w:rPr>
  </w:style>
  <w:style w:type="character" w:customStyle="1" w:styleId="fontstyle31">
    <w:name w:val="fontstyle31"/>
    <w:basedOn w:val="a2"/>
    <w:qFormat/>
    <w:rsid w:val="004D54F2"/>
    <w:rPr>
      <w:rFonts w:ascii="FZSSK--GBK1-0" w:hAnsi="FZSSK--GBK1-0" w:hint="default"/>
      <w:color w:val="000000"/>
      <w:sz w:val="18"/>
      <w:szCs w:val="18"/>
    </w:rPr>
  </w:style>
  <w:style w:type="character" w:customStyle="1" w:styleId="so-ask-best">
    <w:name w:val="so-ask-best"/>
    <w:basedOn w:val="a2"/>
    <w:qFormat/>
    <w:rsid w:val="004D54F2"/>
  </w:style>
  <w:style w:type="paragraph" w:customStyle="1" w:styleId="Basic11">
    <w:name w:val="Basic 11"/>
    <w:qFormat/>
    <w:rsid w:val="004D54F2"/>
    <w:pPr>
      <w:spacing w:after="0" w:line="240" w:lineRule="auto"/>
    </w:pPr>
    <w:rPr>
      <w:rFonts w:ascii="Times New Roman" w:hAnsi="Times New Roman" w:cs="Times New Roman"/>
      <w:szCs w:val="20"/>
      <w:lang w:eastAsia="zh-CN"/>
    </w:rPr>
  </w:style>
  <w:style w:type="paragraph" w:customStyle="1" w:styleId="MarkforTOC">
    <w:name w:val="Mark for TOC"/>
    <w:next w:val="Basic11"/>
    <w:qFormat/>
    <w:rsid w:val="004D54F2"/>
    <w:pPr>
      <w:keepNext/>
      <w:spacing w:before="60" w:after="60" w:line="240" w:lineRule="auto"/>
      <w:ind w:left="1440" w:hanging="1440"/>
    </w:pPr>
    <w:rPr>
      <w:rFonts w:ascii="Times New Roman" w:hAnsi="Times New Roman" w:cs="Times New Roman"/>
      <w:b/>
      <w:sz w:val="24"/>
      <w:szCs w:val="20"/>
      <w:lang w:eastAsia="zh-CN"/>
    </w:rPr>
  </w:style>
  <w:style w:type="paragraph" w:customStyle="1" w:styleId="font12">
    <w:name w:val="font12"/>
    <w:basedOn w:val="a1"/>
    <w:qFormat/>
    <w:rsid w:val="004D54F2"/>
    <w:pPr>
      <w:spacing w:before="100" w:beforeAutospacing="1" w:after="100" w:afterAutospacing="1" w:line="240" w:lineRule="auto"/>
    </w:pPr>
    <w:rPr>
      <w:rFonts w:ascii="宋体" w:hAnsi="宋体" w:cs="宋体"/>
      <w:color w:val="000000"/>
      <w:sz w:val="18"/>
      <w:szCs w:val="18"/>
      <w:lang w:eastAsia="zh-CN" w:bidi="ar-SA"/>
    </w:rPr>
  </w:style>
  <w:style w:type="paragraph" w:customStyle="1" w:styleId="font13">
    <w:name w:val="font13"/>
    <w:basedOn w:val="a1"/>
    <w:qFormat/>
    <w:rsid w:val="004D54F2"/>
    <w:pPr>
      <w:spacing w:before="100" w:beforeAutospacing="1" w:after="100" w:afterAutospacing="1" w:line="240" w:lineRule="auto"/>
    </w:pPr>
    <w:rPr>
      <w:rFonts w:ascii="宋体" w:hAnsi="宋体" w:cs="宋体"/>
      <w:color w:val="000000"/>
      <w:sz w:val="18"/>
      <w:szCs w:val="18"/>
      <w:lang w:eastAsia="zh-CN" w:bidi="ar-SA"/>
    </w:rPr>
  </w:style>
  <w:style w:type="paragraph" w:customStyle="1" w:styleId="font14">
    <w:name w:val="font14"/>
    <w:basedOn w:val="a1"/>
    <w:qFormat/>
    <w:rsid w:val="004D54F2"/>
    <w:pPr>
      <w:spacing w:before="100" w:beforeAutospacing="1" w:after="100" w:afterAutospacing="1" w:line="240" w:lineRule="auto"/>
    </w:pPr>
    <w:rPr>
      <w:b/>
      <w:bCs/>
      <w:color w:val="000000"/>
      <w:sz w:val="18"/>
      <w:szCs w:val="18"/>
      <w:lang w:eastAsia="zh-CN" w:bidi="ar-SA"/>
    </w:rPr>
  </w:style>
  <w:style w:type="paragraph" w:customStyle="1" w:styleId="xl79">
    <w:name w:val="xl79"/>
    <w:basedOn w:val="a1"/>
    <w:qFormat/>
    <w:rsid w:val="004D54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宋体" w:hAnsi="宋体" w:cs="宋体"/>
      <w:color w:val="000000"/>
      <w:sz w:val="18"/>
      <w:szCs w:val="18"/>
      <w:lang w:eastAsia="zh-CN" w:bidi="ar-SA"/>
    </w:rPr>
  </w:style>
  <w:style w:type="paragraph" w:customStyle="1" w:styleId="xl80">
    <w:name w:val="xl80"/>
    <w:basedOn w:val="a1"/>
    <w:qFormat/>
    <w:rsid w:val="004D54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sz w:val="18"/>
      <w:szCs w:val="18"/>
      <w:lang w:eastAsia="zh-CN" w:bidi="ar-SA"/>
    </w:rPr>
  </w:style>
  <w:style w:type="paragraph" w:customStyle="1" w:styleId="xl81">
    <w:name w:val="xl81"/>
    <w:basedOn w:val="a1"/>
    <w:qFormat/>
    <w:rsid w:val="004D54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color w:val="000000"/>
      <w:sz w:val="18"/>
      <w:szCs w:val="18"/>
      <w:lang w:eastAsia="zh-CN" w:bidi="ar-SA"/>
    </w:rPr>
  </w:style>
  <w:style w:type="paragraph" w:customStyle="1" w:styleId="xl82">
    <w:name w:val="xl82"/>
    <w:basedOn w:val="a1"/>
    <w:qFormat/>
    <w:rsid w:val="004D54F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宋体" w:hAnsi="宋体" w:cs="宋体"/>
      <w:sz w:val="18"/>
      <w:szCs w:val="18"/>
      <w:lang w:eastAsia="zh-CN" w:bidi="ar-SA"/>
    </w:rPr>
  </w:style>
  <w:style w:type="paragraph" w:customStyle="1" w:styleId="xl83">
    <w:name w:val="xl83"/>
    <w:basedOn w:val="a1"/>
    <w:qFormat/>
    <w:rsid w:val="004D54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hAnsi="宋体" w:cs="宋体"/>
      <w:color w:val="000000"/>
      <w:sz w:val="18"/>
      <w:szCs w:val="18"/>
      <w:lang w:eastAsia="zh-CN" w:bidi="ar-SA"/>
    </w:rPr>
  </w:style>
  <w:style w:type="paragraph" w:customStyle="1" w:styleId="xl84">
    <w:name w:val="xl84"/>
    <w:basedOn w:val="a1"/>
    <w:qFormat/>
    <w:rsid w:val="004D54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hAnsi="宋体" w:cs="宋体"/>
      <w:color w:val="000000"/>
      <w:sz w:val="18"/>
      <w:szCs w:val="18"/>
      <w:lang w:eastAsia="zh-CN" w:bidi="ar-SA"/>
    </w:rPr>
  </w:style>
  <w:style w:type="paragraph" w:customStyle="1" w:styleId="xl85">
    <w:name w:val="xl85"/>
    <w:basedOn w:val="a1"/>
    <w:qFormat/>
    <w:rsid w:val="004D54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color w:val="000000"/>
      <w:sz w:val="18"/>
      <w:szCs w:val="18"/>
      <w:lang w:eastAsia="zh-CN" w:bidi="ar-SA"/>
    </w:rPr>
  </w:style>
  <w:style w:type="paragraph" w:customStyle="1" w:styleId="xl86">
    <w:name w:val="xl86"/>
    <w:basedOn w:val="a1"/>
    <w:qFormat/>
    <w:rsid w:val="004D54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宋体" w:hAnsi="宋体" w:cs="宋体"/>
      <w:sz w:val="18"/>
      <w:szCs w:val="18"/>
      <w:lang w:eastAsia="zh-CN" w:bidi="ar-SA"/>
    </w:rPr>
  </w:style>
  <w:style w:type="paragraph" w:customStyle="1" w:styleId="xl87">
    <w:name w:val="xl87"/>
    <w:basedOn w:val="a1"/>
    <w:qFormat/>
    <w:rsid w:val="004D54F2"/>
    <w:pPr>
      <w:pBdr>
        <w:top w:val="single" w:sz="4" w:space="0" w:color="auto"/>
        <w:left w:val="single" w:sz="4" w:space="0" w:color="auto"/>
        <w:bottom w:val="single" w:sz="4" w:space="0" w:color="auto"/>
      </w:pBdr>
      <w:spacing w:before="100" w:beforeAutospacing="1" w:after="100" w:afterAutospacing="1" w:line="240" w:lineRule="auto"/>
      <w:jc w:val="center"/>
    </w:pPr>
    <w:rPr>
      <w:rFonts w:ascii="宋体" w:hAnsi="宋体" w:cs="宋体"/>
      <w:color w:val="000000"/>
      <w:sz w:val="18"/>
      <w:szCs w:val="18"/>
      <w:lang w:eastAsia="zh-CN" w:bidi="ar-SA"/>
    </w:rPr>
  </w:style>
  <w:style w:type="paragraph" w:customStyle="1" w:styleId="xl88">
    <w:name w:val="xl88"/>
    <w:basedOn w:val="a1"/>
    <w:qFormat/>
    <w:rsid w:val="004D54F2"/>
    <w:pPr>
      <w:pBdr>
        <w:top w:val="single" w:sz="4" w:space="0" w:color="auto"/>
        <w:bottom w:val="single" w:sz="4" w:space="0" w:color="auto"/>
      </w:pBdr>
      <w:spacing w:before="100" w:beforeAutospacing="1" w:after="100" w:afterAutospacing="1" w:line="240" w:lineRule="auto"/>
      <w:jc w:val="center"/>
    </w:pPr>
    <w:rPr>
      <w:rFonts w:ascii="宋体" w:hAnsi="宋体" w:cs="宋体"/>
      <w:color w:val="000000"/>
      <w:sz w:val="18"/>
      <w:szCs w:val="18"/>
      <w:lang w:eastAsia="zh-CN" w:bidi="ar-SA"/>
    </w:rPr>
  </w:style>
  <w:style w:type="paragraph" w:customStyle="1" w:styleId="xl89">
    <w:name w:val="xl89"/>
    <w:basedOn w:val="a1"/>
    <w:qFormat/>
    <w:rsid w:val="004D54F2"/>
    <w:pPr>
      <w:pBdr>
        <w:top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color w:val="000000"/>
      <w:sz w:val="18"/>
      <w:szCs w:val="18"/>
      <w:lang w:eastAsia="zh-CN" w:bidi="ar-SA"/>
    </w:rPr>
  </w:style>
  <w:style w:type="paragraph" w:customStyle="1" w:styleId="xl90">
    <w:name w:val="xl90"/>
    <w:basedOn w:val="a1"/>
    <w:rsid w:val="004D54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宋体" w:hAnsi="宋体" w:cs="宋体"/>
      <w:color w:val="000000"/>
      <w:sz w:val="18"/>
      <w:szCs w:val="18"/>
      <w:lang w:eastAsia="zh-CN" w:bidi="ar-SA"/>
    </w:rPr>
  </w:style>
  <w:style w:type="paragraph" w:customStyle="1" w:styleId="xl91">
    <w:name w:val="xl91"/>
    <w:basedOn w:val="a1"/>
    <w:qFormat/>
    <w:rsid w:val="004D54F2"/>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宋体" w:hAnsi="宋体" w:cs="宋体"/>
      <w:color w:val="000000"/>
      <w:sz w:val="18"/>
      <w:szCs w:val="18"/>
      <w:lang w:eastAsia="zh-CN" w:bidi="ar-SA"/>
    </w:rPr>
  </w:style>
  <w:style w:type="paragraph" w:customStyle="1" w:styleId="xl92">
    <w:name w:val="xl92"/>
    <w:basedOn w:val="a1"/>
    <w:qFormat/>
    <w:rsid w:val="004D54F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宋体" w:hAnsi="宋体" w:cs="宋体"/>
      <w:color w:val="000000"/>
      <w:sz w:val="18"/>
      <w:szCs w:val="18"/>
      <w:lang w:eastAsia="zh-CN" w:bidi="ar-SA"/>
    </w:rPr>
  </w:style>
  <w:style w:type="paragraph" w:customStyle="1" w:styleId="xl93">
    <w:name w:val="xl93"/>
    <w:basedOn w:val="a1"/>
    <w:qFormat/>
    <w:rsid w:val="004D54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color w:val="000000"/>
      <w:sz w:val="18"/>
      <w:szCs w:val="18"/>
      <w:lang w:eastAsia="zh-CN" w:bidi="ar-SA"/>
    </w:rPr>
  </w:style>
  <w:style w:type="paragraph" w:customStyle="1" w:styleId="xl94">
    <w:name w:val="xl94"/>
    <w:basedOn w:val="a1"/>
    <w:qFormat/>
    <w:rsid w:val="004D54F2"/>
    <w:pPr>
      <w:pBdr>
        <w:top w:val="single" w:sz="4" w:space="0" w:color="auto"/>
        <w:left w:val="single" w:sz="4" w:space="0" w:color="auto"/>
        <w:bottom w:val="single" w:sz="4" w:space="0" w:color="auto"/>
      </w:pBdr>
      <w:spacing w:before="100" w:beforeAutospacing="1" w:after="100" w:afterAutospacing="1" w:line="240" w:lineRule="auto"/>
    </w:pPr>
    <w:rPr>
      <w:rFonts w:ascii="宋体" w:hAnsi="宋体" w:cs="宋体"/>
      <w:color w:val="000000"/>
      <w:sz w:val="18"/>
      <w:szCs w:val="18"/>
      <w:lang w:eastAsia="zh-CN" w:bidi="ar-SA"/>
    </w:rPr>
  </w:style>
  <w:style w:type="paragraph" w:customStyle="1" w:styleId="xl95">
    <w:name w:val="xl95"/>
    <w:basedOn w:val="a1"/>
    <w:qFormat/>
    <w:rsid w:val="004D54F2"/>
    <w:pPr>
      <w:pBdr>
        <w:top w:val="single" w:sz="4" w:space="0" w:color="auto"/>
        <w:bottom w:val="single" w:sz="4" w:space="0" w:color="auto"/>
        <w:right w:val="single" w:sz="4" w:space="0" w:color="auto"/>
      </w:pBdr>
      <w:spacing w:before="100" w:beforeAutospacing="1" w:after="100" w:afterAutospacing="1" w:line="240" w:lineRule="auto"/>
    </w:pPr>
    <w:rPr>
      <w:rFonts w:ascii="宋体" w:hAnsi="宋体" w:cs="宋体"/>
      <w:color w:val="000000"/>
      <w:sz w:val="18"/>
      <w:szCs w:val="18"/>
      <w:lang w:eastAsia="zh-CN" w:bidi="ar-SA"/>
    </w:rPr>
  </w:style>
  <w:style w:type="paragraph" w:customStyle="1" w:styleId="xl96">
    <w:name w:val="xl96"/>
    <w:basedOn w:val="a1"/>
    <w:qFormat/>
    <w:rsid w:val="004D54F2"/>
    <w:pPr>
      <w:pBdr>
        <w:top w:val="single" w:sz="4" w:space="0" w:color="auto"/>
        <w:left w:val="single" w:sz="4" w:space="0" w:color="auto"/>
        <w:bottom w:val="single" w:sz="4" w:space="0" w:color="auto"/>
      </w:pBdr>
      <w:spacing w:before="100" w:beforeAutospacing="1" w:after="100" w:afterAutospacing="1" w:line="240" w:lineRule="auto"/>
      <w:jc w:val="center"/>
    </w:pPr>
    <w:rPr>
      <w:color w:val="000000"/>
      <w:sz w:val="18"/>
      <w:szCs w:val="18"/>
      <w:lang w:eastAsia="zh-CN" w:bidi="ar-SA"/>
    </w:rPr>
  </w:style>
  <w:style w:type="paragraph" w:customStyle="1" w:styleId="xl97">
    <w:name w:val="xl97"/>
    <w:basedOn w:val="a1"/>
    <w:qFormat/>
    <w:rsid w:val="004D54F2"/>
    <w:pPr>
      <w:pBdr>
        <w:top w:val="single" w:sz="4" w:space="0" w:color="auto"/>
        <w:bottom w:val="single" w:sz="4" w:space="0" w:color="auto"/>
        <w:right w:val="single" w:sz="4" w:space="0" w:color="auto"/>
      </w:pBdr>
      <w:spacing w:before="100" w:beforeAutospacing="1" w:after="100" w:afterAutospacing="1" w:line="240" w:lineRule="auto"/>
      <w:jc w:val="center"/>
    </w:pPr>
    <w:rPr>
      <w:color w:val="000000"/>
      <w:sz w:val="18"/>
      <w:szCs w:val="18"/>
      <w:lang w:eastAsia="zh-CN" w:bidi="ar-SA"/>
    </w:rPr>
  </w:style>
  <w:style w:type="paragraph" w:customStyle="1" w:styleId="xl98">
    <w:name w:val="xl98"/>
    <w:basedOn w:val="a1"/>
    <w:qFormat/>
    <w:rsid w:val="004D54F2"/>
    <w:pPr>
      <w:pBdr>
        <w:top w:val="single" w:sz="4" w:space="0" w:color="auto"/>
        <w:left w:val="single" w:sz="4" w:space="0" w:color="auto"/>
        <w:bottom w:val="single" w:sz="4" w:space="0" w:color="auto"/>
      </w:pBdr>
      <w:spacing w:before="100" w:beforeAutospacing="1" w:after="100" w:afterAutospacing="1" w:line="240" w:lineRule="auto"/>
    </w:pPr>
    <w:rPr>
      <w:sz w:val="18"/>
      <w:szCs w:val="18"/>
      <w:lang w:eastAsia="zh-CN" w:bidi="ar-SA"/>
    </w:rPr>
  </w:style>
  <w:style w:type="paragraph" w:customStyle="1" w:styleId="xl99">
    <w:name w:val="xl99"/>
    <w:basedOn w:val="a1"/>
    <w:rsid w:val="004D54F2"/>
    <w:pPr>
      <w:pBdr>
        <w:top w:val="single" w:sz="4" w:space="0" w:color="auto"/>
        <w:bottom w:val="single" w:sz="4" w:space="0" w:color="auto"/>
        <w:right w:val="single" w:sz="4" w:space="0" w:color="auto"/>
      </w:pBdr>
      <w:spacing w:before="100" w:beforeAutospacing="1" w:after="100" w:afterAutospacing="1" w:line="240" w:lineRule="auto"/>
    </w:pPr>
    <w:rPr>
      <w:sz w:val="18"/>
      <w:szCs w:val="18"/>
      <w:lang w:eastAsia="zh-CN" w:bidi="ar-SA"/>
    </w:rPr>
  </w:style>
  <w:style w:type="paragraph" w:customStyle="1" w:styleId="xl100">
    <w:name w:val="xl100"/>
    <w:basedOn w:val="a1"/>
    <w:qFormat/>
    <w:rsid w:val="004D54F2"/>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宋体" w:hAnsi="宋体" w:cs="宋体"/>
      <w:color w:val="000000"/>
      <w:sz w:val="18"/>
      <w:szCs w:val="18"/>
      <w:lang w:eastAsia="zh-CN" w:bidi="ar-SA"/>
    </w:rPr>
  </w:style>
  <w:style w:type="paragraph" w:customStyle="1" w:styleId="xl101">
    <w:name w:val="xl101"/>
    <w:basedOn w:val="a1"/>
    <w:qFormat/>
    <w:rsid w:val="004D54F2"/>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宋体" w:hAnsi="宋体" w:cs="宋体"/>
      <w:color w:val="000000"/>
      <w:sz w:val="18"/>
      <w:szCs w:val="18"/>
      <w:lang w:eastAsia="zh-CN" w:bidi="ar-SA"/>
    </w:rPr>
  </w:style>
  <w:style w:type="character" w:styleId="affff1">
    <w:name w:val="Placeholder Text"/>
    <w:basedOn w:val="a2"/>
    <w:uiPriority w:val="99"/>
    <w:semiHidden/>
    <w:rsid w:val="004D54F2"/>
    <w:rPr>
      <w:color w:val="808080"/>
    </w:rPr>
  </w:style>
  <w:style w:type="table" w:customStyle="1" w:styleId="PlainTable21">
    <w:name w:val="Plain Table 21"/>
    <w:basedOn w:val="a3"/>
    <w:uiPriority w:val="42"/>
    <w:qFormat/>
    <w:rsid w:val="004D54F2"/>
    <w:pPr>
      <w:spacing w:after="0" w:line="240" w:lineRule="auto"/>
    </w:pPr>
    <w:rPr>
      <w:rFonts w:ascii="等线" w:eastAsia="等线" w:hAnsi="等线" w:cs="Times New Roman"/>
      <w:sz w:val="20"/>
      <w:szCs w:val="20"/>
      <w:lang w:eastAsia="zh-CN"/>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20">
    <w:name w:val="无格式表格 22"/>
    <w:basedOn w:val="a3"/>
    <w:uiPriority w:val="99"/>
    <w:qFormat/>
    <w:rsid w:val="004D54F2"/>
    <w:pPr>
      <w:spacing w:after="0" w:line="240" w:lineRule="auto"/>
    </w:pPr>
    <w:rPr>
      <w:rFonts w:ascii="Times New Roman" w:hAnsi="Times New Roman" w:cs="Times New Roman"/>
      <w:sz w:val="20"/>
      <w:szCs w:val="20"/>
      <w:lang w:eastAsia="zh-CN"/>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51">
    <w:name w:val="未处理的提及5"/>
    <w:basedOn w:val="a2"/>
    <w:uiPriority w:val="99"/>
    <w:semiHidden/>
    <w:unhideWhenUsed/>
    <w:qFormat/>
    <w:rsid w:val="004D54F2"/>
    <w:rPr>
      <w:color w:val="605E5C"/>
      <w:shd w:val="clear" w:color="auto" w:fill="E1DFDD"/>
    </w:rPr>
  </w:style>
  <w:style w:type="character" w:customStyle="1" w:styleId="61">
    <w:name w:val="未处理的提及6"/>
    <w:basedOn w:val="a2"/>
    <w:uiPriority w:val="99"/>
    <w:semiHidden/>
    <w:unhideWhenUsed/>
    <w:qFormat/>
    <w:rsid w:val="004D54F2"/>
    <w:rPr>
      <w:color w:val="605E5C"/>
      <w:shd w:val="clear" w:color="auto" w:fill="E1DFDD"/>
    </w:rPr>
  </w:style>
  <w:style w:type="character" w:customStyle="1" w:styleId="72">
    <w:name w:val="未处理的提及7"/>
    <w:basedOn w:val="a2"/>
    <w:uiPriority w:val="99"/>
    <w:semiHidden/>
    <w:unhideWhenUsed/>
    <w:qFormat/>
    <w:rsid w:val="004D54F2"/>
    <w:rPr>
      <w:color w:val="605E5C"/>
      <w:shd w:val="clear" w:color="auto" w:fill="E1DFDD"/>
    </w:rPr>
  </w:style>
  <w:style w:type="character" w:customStyle="1" w:styleId="81">
    <w:name w:val="未处理的提及8"/>
    <w:basedOn w:val="a2"/>
    <w:uiPriority w:val="99"/>
    <w:semiHidden/>
    <w:unhideWhenUsed/>
    <w:rsid w:val="004D54F2"/>
    <w:rPr>
      <w:color w:val="605E5C"/>
      <w:shd w:val="clear" w:color="auto" w:fill="E1DFDD"/>
    </w:rPr>
  </w:style>
  <w:style w:type="paragraph" w:customStyle="1" w:styleId="GPRC5D1">
    <w:name w:val="GPRC5D样式1"/>
    <w:basedOn w:val="1"/>
    <w:qFormat/>
    <w:rsid w:val="004D54F2"/>
    <w:pPr>
      <w:pageBreakBefore w:val="0"/>
      <w:widowControl w:val="0"/>
      <w:numPr>
        <w:numId w:val="0"/>
      </w:numPr>
      <w:tabs>
        <w:tab w:val="clear" w:pos="432"/>
      </w:tabs>
      <w:snapToGrid w:val="0"/>
      <w:spacing w:before="0" w:afterLines="50"/>
    </w:pPr>
    <w:rPr>
      <w:rFonts w:ascii="Times New Roman" w:eastAsia="宋体" w:hAnsi="Times New Roman"/>
      <w:kern w:val="44"/>
      <w:sz w:val="28"/>
      <w:szCs w:val="28"/>
      <w:lang w:eastAsia="zh-CN" w:bidi="ar-SA"/>
    </w:rPr>
  </w:style>
  <w:style w:type="paragraph" w:customStyle="1" w:styleId="GPRC5D2">
    <w:name w:val="GPRC5D样式2"/>
    <w:basedOn w:val="21"/>
    <w:qFormat/>
    <w:rsid w:val="004D54F2"/>
    <w:pPr>
      <w:numPr>
        <w:ilvl w:val="0"/>
        <w:numId w:val="0"/>
      </w:numPr>
      <w:spacing w:beforeLines="0" w:afterLines="50" w:after="120" w:line="240" w:lineRule="auto"/>
    </w:pPr>
    <w:rPr>
      <w:rFonts w:cs="Times New Roman"/>
      <w:bCs/>
      <w:kern w:val="0"/>
    </w:rPr>
  </w:style>
  <w:style w:type="paragraph" w:customStyle="1" w:styleId="GPRC5D3">
    <w:name w:val="GPRC5D样式3"/>
    <w:basedOn w:val="21"/>
    <w:qFormat/>
    <w:rsid w:val="004D54F2"/>
    <w:pPr>
      <w:numPr>
        <w:ilvl w:val="2"/>
        <w:numId w:val="69"/>
      </w:numPr>
      <w:spacing w:beforeLines="0" w:afterLines="50" w:after="120" w:line="240" w:lineRule="auto"/>
      <w:outlineLvl w:val="2"/>
    </w:pPr>
  </w:style>
  <w:style w:type="table" w:customStyle="1" w:styleId="29">
    <w:name w:val="网格型2"/>
    <w:basedOn w:val="a3"/>
    <w:uiPriority w:val="39"/>
    <w:qFormat/>
    <w:rsid w:val="004D54F2"/>
    <w:pPr>
      <w:spacing w:after="0" w:line="240" w:lineRule="auto"/>
    </w:pPr>
    <w:rPr>
      <w:rFonts w:ascii="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41">
    <w:name w:val="font41"/>
    <w:basedOn w:val="a2"/>
    <w:qFormat/>
    <w:rsid w:val="004D54F2"/>
    <w:rPr>
      <w:rFonts w:ascii="Times New Roman" w:hAnsi="Times New Roman" w:cs="Times New Roman" w:hint="default"/>
      <w:color w:val="000000"/>
      <w:sz w:val="22"/>
      <w:szCs w:val="22"/>
      <w:u w:val="none"/>
      <w:vertAlign w:val="superscript"/>
    </w:rPr>
  </w:style>
  <w:style w:type="character" w:customStyle="1" w:styleId="font31">
    <w:name w:val="font31"/>
    <w:basedOn w:val="a2"/>
    <w:qFormat/>
    <w:rsid w:val="004D54F2"/>
    <w:rPr>
      <w:rFonts w:ascii="Times New Roman" w:hAnsi="Times New Roman" w:cs="Times New Roman" w:hint="default"/>
      <w:color w:val="000000"/>
      <w:sz w:val="22"/>
      <w:szCs w:val="22"/>
      <w:u w:val="none"/>
    </w:rPr>
  </w:style>
  <w:style w:type="character" w:customStyle="1" w:styleId="font21">
    <w:name w:val="font21"/>
    <w:basedOn w:val="a2"/>
    <w:qFormat/>
    <w:rsid w:val="004D54F2"/>
    <w:rPr>
      <w:rFonts w:ascii="Times New Roman" w:hAnsi="Times New Roman" w:cs="Times New Roman" w:hint="default"/>
      <w:color w:val="000000"/>
      <w:sz w:val="22"/>
      <w:szCs w:val="22"/>
      <w:u w:val="none"/>
    </w:rPr>
  </w:style>
  <w:style w:type="character" w:customStyle="1" w:styleId="font71">
    <w:name w:val="font71"/>
    <w:basedOn w:val="a2"/>
    <w:rsid w:val="004D54F2"/>
    <w:rPr>
      <w:rFonts w:ascii="Times New Roman" w:hAnsi="Times New Roman" w:cs="Times New Roman" w:hint="default"/>
      <w:color w:val="000000"/>
      <w:sz w:val="22"/>
      <w:szCs w:val="22"/>
      <w:u w:val="none"/>
      <w:vertAlign w:val="superscript"/>
    </w:rPr>
  </w:style>
  <w:style w:type="paragraph" w:customStyle="1" w:styleId="44">
    <w:name w:val="修订4"/>
    <w:hidden/>
    <w:uiPriority w:val="99"/>
    <w:semiHidden/>
    <w:qFormat/>
    <w:rsid w:val="004D54F2"/>
    <w:pPr>
      <w:spacing w:after="0" w:line="240" w:lineRule="auto"/>
    </w:pPr>
    <w:rPr>
      <w:rFonts w:eastAsiaTheme="minorEastAsia"/>
      <w:kern w:val="2"/>
      <w:sz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925604">
      <w:bodyDiv w:val="1"/>
      <w:marLeft w:val="0"/>
      <w:marRight w:val="0"/>
      <w:marTop w:val="0"/>
      <w:marBottom w:val="0"/>
      <w:divBdr>
        <w:top w:val="none" w:sz="0" w:space="0" w:color="auto"/>
        <w:left w:val="none" w:sz="0" w:space="0" w:color="auto"/>
        <w:bottom w:val="none" w:sz="0" w:space="0" w:color="auto"/>
        <w:right w:val="none" w:sz="0" w:space="0" w:color="auto"/>
      </w:divBdr>
    </w:div>
    <w:div w:id="206797623">
      <w:bodyDiv w:val="1"/>
      <w:marLeft w:val="0"/>
      <w:marRight w:val="0"/>
      <w:marTop w:val="0"/>
      <w:marBottom w:val="0"/>
      <w:divBdr>
        <w:top w:val="none" w:sz="0" w:space="0" w:color="auto"/>
        <w:left w:val="none" w:sz="0" w:space="0" w:color="auto"/>
        <w:bottom w:val="none" w:sz="0" w:space="0" w:color="auto"/>
        <w:right w:val="none" w:sz="0" w:space="0" w:color="auto"/>
      </w:divBdr>
    </w:div>
    <w:div w:id="215818110">
      <w:bodyDiv w:val="1"/>
      <w:marLeft w:val="0"/>
      <w:marRight w:val="0"/>
      <w:marTop w:val="0"/>
      <w:marBottom w:val="0"/>
      <w:divBdr>
        <w:top w:val="none" w:sz="0" w:space="0" w:color="auto"/>
        <w:left w:val="none" w:sz="0" w:space="0" w:color="auto"/>
        <w:bottom w:val="none" w:sz="0" w:space="0" w:color="auto"/>
        <w:right w:val="none" w:sz="0" w:space="0" w:color="auto"/>
      </w:divBdr>
    </w:div>
    <w:div w:id="234166316">
      <w:bodyDiv w:val="1"/>
      <w:marLeft w:val="0"/>
      <w:marRight w:val="0"/>
      <w:marTop w:val="0"/>
      <w:marBottom w:val="0"/>
      <w:divBdr>
        <w:top w:val="none" w:sz="0" w:space="0" w:color="auto"/>
        <w:left w:val="none" w:sz="0" w:space="0" w:color="auto"/>
        <w:bottom w:val="none" w:sz="0" w:space="0" w:color="auto"/>
        <w:right w:val="none" w:sz="0" w:space="0" w:color="auto"/>
      </w:divBdr>
      <w:divsChild>
        <w:div w:id="1456681327">
          <w:marLeft w:val="0"/>
          <w:marRight w:val="0"/>
          <w:marTop w:val="0"/>
          <w:marBottom w:val="0"/>
          <w:divBdr>
            <w:top w:val="none" w:sz="0" w:space="0" w:color="auto"/>
            <w:left w:val="none" w:sz="0" w:space="0" w:color="auto"/>
            <w:bottom w:val="none" w:sz="0" w:space="0" w:color="auto"/>
            <w:right w:val="none" w:sz="0" w:space="0" w:color="auto"/>
          </w:divBdr>
          <w:divsChild>
            <w:div w:id="399862090">
              <w:marLeft w:val="0"/>
              <w:marRight w:val="0"/>
              <w:marTop w:val="0"/>
              <w:marBottom w:val="0"/>
              <w:divBdr>
                <w:top w:val="none" w:sz="0" w:space="0" w:color="auto"/>
                <w:left w:val="none" w:sz="0" w:space="0" w:color="auto"/>
                <w:bottom w:val="none" w:sz="0" w:space="0" w:color="auto"/>
                <w:right w:val="none" w:sz="0" w:space="0" w:color="auto"/>
              </w:divBdr>
              <w:divsChild>
                <w:div w:id="411894371">
                  <w:marLeft w:val="0"/>
                  <w:marRight w:val="0"/>
                  <w:marTop w:val="0"/>
                  <w:marBottom w:val="0"/>
                  <w:divBdr>
                    <w:top w:val="none" w:sz="0" w:space="0" w:color="auto"/>
                    <w:left w:val="none" w:sz="0" w:space="0" w:color="auto"/>
                    <w:bottom w:val="none" w:sz="0" w:space="0" w:color="auto"/>
                    <w:right w:val="none" w:sz="0" w:space="0" w:color="auto"/>
                  </w:divBdr>
                  <w:divsChild>
                    <w:div w:id="950089395">
                      <w:marLeft w:val="0"/>
                      <w:marRight w:val="0"/>
                      <w:marTop w:val="0"/>
                      <w:marBottom w:val="0"/>
                      <w:divBdr>
                        <w:top w:val="none" w:sz="0" w:space="0" w:color="auto"/>
                        <w:left w:val="none" w:sz="0" w:space="0" w:color="auto"/>
                        <w:bottom w:val="none" w:sz="0" w:space="0" w:color="auto"/>
                        <w:right w:val="none" w:sz="0" w:space="0" w:color="auto"/>
                      </w:divBdr>
                      <w:divsChild>
                        <w:div w:id="150104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2320609">
      <w:bodyDiv w:val="1"/>
      <w:marLeft w:val="0"/>
      <w:marRight w:val="0"/>
      <w:marTop w:val="0"/>
      <w:marBottom w:val="0"/>
      <w:divBdr>
        <w:top w:val="none" w:sz="0" w:space="0" w:color="auto"/>
        <w:left w:val="none" w:sz="0" w:space="0" w:color="auto"/>
        <w:bottom w:val="none" w:sz="0" w:space="0" w:color="auto"/>
        <w:right w:val="none" w:sz="0" w:space="0" w:color="auto"/>
      </w:divBdr>
    </w:div>
    <w:div w:id="324476376">
      <w:bodyDiv w:val="1"/>
      <w:marLeft w:val="0"/>
      <w:marRight w:val="0"/>
      <w:marTop w:val="0"/>
      <w:marBottom w:val="0"/>
      <w:divBdr>
        <w:top w:val="none" w:sz="0" w:space="0" w:color="auto"/>
        <w:left w:val="none" w:sz="0" w:space="0" w:color="auto"/>
        <w:bottom w:val="none" w:sz="0" w:space="0" w:color="auto"/>
        <w:right w:val="none" w:sz="0" w:space="0" w:color="auto"/>
      </w:divBdr>
    </w:div>
    <w:div w:id="342248807">
      <w:bodyDiv w:val="1"/>
      <w:marLeft w:val="0"/>
      <w:marRight w:val="0"/>
      <w:marTop w:val="0"/>
      <w:marBottom w:val="0"/>
      <w:divBdr>
        <w:top w:val="none" w:sz="0" w:space="0" w:color="auto"/>
        <w:left w:val="none" w:sz="0" w:space="0" w:color="auto"/>
        <w:bottom w:val="none" w:sz="0" w:space="0" w:color="auto"/>
        <w:right w:val="none" w:sz="0" w:space="0" w:color="auto"/>
      </w:divBdr>
    </w:div>
    <w:div w:id="497161274">
      <w:bodyDiv w:val="1"/>
      <w:marLeft w:val="0"/>
      <w:marRight w:val="0"/>
      <w:marTop w:val="0"/>
      <w:marBottom w:val="0"/>
      <w:divBdr>
        <w:top w:val="none" w:sz="0" w:space="0" w:color="auto"/>
        <w:left w:val="none" w:sz="0" w:space="0" w:color="auto"/>
        <w:bottom w:val="none" w:sz="0" w:space="0" w:color="auto"/>
        <w:right w:val="none" w:sz="0" w:space="0" w:color="auto"/>
      </w:divBdr>
    </w:div>
    <w:div w:id="500045591">
      <w:bodyDiv w:val="1"/>
      <w:marLeft w:val="0"/>
      <w:marRight w:val="0"/>
      <w:marTop w:val="0"/>
      <w:marBottom w:val="0"/>
      <w:divBdr>
        <w:top w:val="none" w:sz="0" w:space="0" w:color="auto"/>
        <w:left w:val="none" w:sz="0" w:space="0" w:color="auto"/>
        <w:bottom w:val="none" w:sz="0" w:space="0" w:color="auto"/>
        <w:right w:val="none" w:sz="0" w:space="0" w:color="auto"/>
      </w:divBdr>
    </w:div>
    <w:div w:id="713507124">
      <w:bodyDiv w:val="1"/>
      <w:marLeft w:val="0"/>
      <w:marRight w:val="0"/>
      <w:marTop w:val="0"/>
      <w:marBottom w:val="0"/>
      <w:divBdr>
        <w:top w:val="none" w:sz="0" w:space="0" w:color="auto"/>
        <w:left w:val="none" w:sz="0" w:space="0" w:color="auto"/>
        <w:bottom w:val="none" w:sz="0" w:space="0" w:color="auto"/>
        <w:right w:val="none" w:sz="0" w:space="0" w:color="auto"/>
      </w:divBdr>
    </w:div>
    <w:div w:id="765157893">
      <w:bodyDiv w:val="1"/>
      <w:marLeft w:val="0"/>
      <w:marRight w:val="0"/>
      <w:marTop w:val="0"/>
      <w:marBottom w:val="0"/>
      <w:divBdr>
        <w:top w:val="none" w:sz="0" w:space="0" w:color="auto"/>
        <w:left w:val="none" w:sz="0" w:space="0" w:color="auto"/>
        <w:bottom w:val="none" w:sz="0" w:space="0" w:color="auto"/>
        <w:right w:val="none" w:sz="0" w:space="0" w:color="auto"/>
      </w:divBdr>
    </w:div>
    <w:div w:id="769549093">
      <w:bodyDiv w:val="1"/>
      <w:marLeft w:val="0"/>
      <w:marRight w:val="0"/>
      <w:marTop w:val="0"/>
      <w:marBottom w:val="0"/>
      <w:divBdr>
        <w:top w:val="none" w:sz="0" w:space="0" w:color="auto"/>
        <w:left w:val="none" w:sz="0" w:space="0" w:color="auto"/>
        <w:bottom w:val="none" w:sz="0" w:space="0" w:color="auto"/>
        <w:right w:val="none" w:sz="0" w:space="0" w:color="auto"/>
      </w:divBdr>
    </w:div>
    <w:div w:id="895046741">
      <w:bodyDiv w:val="1"/>
      <w:marLeft w:val="0"/>
      <w:marRight w:val="0"/>
      <w:marTop w:val="0"/>
      <w:marBottom w:val="0"/>
      <w:divBdr>
        <w:top w:val="none" w:sz="0" w:space="0" w:color="auto"/>
        <w:left w:val="none" w:sz="0" w:space="0" w:color="auto"/>
        <w:bottom w:val="none" w:sz="0" w:space="0" w:color="auto"/>
        <w:right w:val="none" w:sz="0" w:space="0" w:color="auto"/>
      </w:divBdr>
    </w:div>
    <w:div w:id="954141680">
      <w:bodyDiv w:val="1"/>
      <w:marLeft w:val="0"/>
      <w:marRight w:val="0"/>
      <w:marTop w:val="0"/>
      <w:marBottom w:val="0"/>
      <w:divBdr>
        <w:top w:val="none" w:sz="0" w:space="0" w:color="auto"/>
        <w:left w:val="none" w:sz="0" w:space="0" w:color="auto"/>
        <w:bottom w:val="none" w:sz="0" w:space="0" w:color="auto"/>
        <w:right w:val="none" w:sz="0" w:space="0" w:color="auto"/>
      </w:divBdr>
    </w:div>
    <w:div w:id="1051420558">
      <w:bodyDiv w:val="1"/>
      <w:marLeft w:val="0"/>
      <w:marRight w:val="0"/>
      <w:marTop w:val="0"/>
      <w:marBottom w:val="0"/>
      <w:divBdr>
        <w:top w:val="none" w:sz="0" w:space="0" w:color="auto"/>
        <w:left w:val="none" w:sz="0" w:space="0" w:color="auto"/>
        <w:bottom w:val="none" w:sz="0" w:space="0" w:color="auto"/>
        <w:right w:val="none" w:sz="0" w:space="0" w:color="auto"/>
      </w:divBdr>
    </w:div>
    <w:div w:id="1219128218">
      <w:bodyDiv w:val="1"/>
      <w:marLeft w:val="0"/>
      <w:marRight w:val="0"/>
      <w:marTop w:val="0"/>
      <w:marBottom w:val="0"/>
      <w:divBdr>
        <w:top w:val="none" w:sz="0" w:space="0" w:color="auto"/>
        <w:left w:val="none" w:sz="0" w:space="0" w:color="auto"/>
        <w:bottom w:val="none" w:sz="0" w:space="0" w:color="auto"/>
        <w:right w:val="none" w:sz="0" w:space="0" w:color="auto"/>
      </w:divBdr>
    </w:div>
    <w:div w:id="1235428573">
      <w:bodyDiv w:val="1"/>
      <w:marLeft w:val="0"/>
      <w:marRight w:val="0"/>
      <w:marTop w:val="0"/>
      <w:marBottom w:val="0"/>
      <w:divBdr>
        <w:top w:val="none" w:sz="0" w:space="0" w:color="auto"/>
        <w:left w:val="none" w:sz="0" w:space="0" w:color="auto"/>
        <w:bottom w:val="none" w:sz="0" w:space="0" w:color="auto"/>
        <w:right w:val="none" w:sz="0" w:space="0" w:color="auto"/>
      </w:divBdr>
    </w:div>
    <w:div w:id="1235552104">
      <w:bodyDiv w:val="1"/>
      <w:marLeft w:val="0"/>
      <w:marRight w:val="0"/>
      <w:marTop w:val="0"/>
      <w:marBottom w:val="0"/>
      <w:divBdr>
        <w:top w:val="none" w:sz="0" w:space="0" w:color="auto"/>
        <w:left w:val="none" w:sz="0" w:space="0" w:color="auto"/>
        <w:bottom w:val="none" w:sz="0" w:space="0" w:color="auto"/>
        <w:right w:val="none" w:sz="0" w:space="0" w:color="auto"/>
      </w:divBdr>
    </w:div>
    <w:div w:id="1236470945">
      <w:bodyDiv w:val="1"/>
      <w:marLeft w:val="0"/>
      <w:marRight w:val="0"/>
      <w:marTop w:val="0"/>
      <w:marBottom w:val="0"/>
      <w:divBdr>
        <w:top w:val="none" w:sz="0" w:space="0" w:color="auto"/>
        <w:left w:val="none" w:sz="0" w:space="0" w:color="auto"/>
        <w:bottom w:val="none" w:sz="0" w:space="0" w:color="auto"/>
        <w:right w:val="none" w:sz="0" w:space="0" w:color="auto"/>
      </w:divBdr>
      <w:divsChild>
        <w:div w:id="799999849">
          <w:marLeft w:val="0"/>
          <w:marRight w:val="0"/>
          <w:marTop w:val="0"/>
          <w:marBottom w:val="0"/>
          <w:divBdr>
            <w:top w:val="none" w:sz="0" w:space="0" w:color="auto"/>
            <w:left w:val="none" w:sz="0" w:space="0" w:color="auto"/>
            <w:bottom w:val="none" w:sz="0" w:space="0" w:color="auto"/>
            <w:right w:val="none" w:sz="0" w:space="0" w:color="auto"/>
          </w:divBdr>
          <w:divsChild>
            <w:div w:id="1948731175">
              <w:marLeft w:val="0"/>
              <w:marRight w:val="0"/>
              <w:marTop w:val="0"/>
              <w:marBottom w:val="0"/>
              <w:divBdr>
                <w:top w:val="none" w:sz="0" w:space="0" w:color="auto"/>
                <w:left w:val="none" w:sz="0" w:space="0" w:color="auto"/>
                <w:bottom w:val="none" w:sz="0" w:space="0" w:color="auto"/>
                <w:right w:val="none" w:sz="0" w:space="0" w:color="auto"/>
              </w:divBdr>
              <w:divsChild>
                <w:div w:id="866605832">
                  <w:marLeft w:val="0"/>
                  <w:marRight w:val="0"/>
                  <w:marTop w:val="0"/>
                  <w:marBottom w:val="0"/>
                  <w:divBdr>
                    <w:top w:val="none" w:sz="0" w:space="0" w:color="auto"/>
                    <w:left w:val="none" w:sz="0" w:space="0" w:color="auto"/>
                    <w:bottom w:val="none" w:sz="0" w:space="0" w:color="auto"/>
                    <w:right w:val="none" w:sz="0" w:space="0" w:color="auto"/>
                  </w:divBdr>
                  <w:divsChild>
                    <w:div w:id="379867430">
                      <w:marLeft w:val="0"/>
                      <w:marRight w:val="0"/>
                      <w:marTop w:val="0"/>
                      <w:marBottom w:val="0"/>
                      <w:divBdr>
                        <w:top w:val="none" w:sz="0" w:space="0" w:color="auto"/>
                        <w:left w:val="none" w:sz="0" w:space="0" w:color="auto"/>
                        <w:bottom w:val="none" w:sz="0" w:space="0" w:color="auto"/>
                        <w:right w:val="none" w:sz="0" w:space="0" w:color="auto"/>
                      </w:divBdr>
                      <w:divsChild>
                        <w:div w:id="1414859831">
                          <w:marLeft w:val="0"/>
                          <w:marRight w:val="0"/>
                          <w:marTop w:val="0"/>
                          <w:marBottom w:val="0"/>
                          <w:divBdr>
                            <w:top w:val="none" w:sz="0" w:space="0" w:color="auto"/>
                            <w:left w:val="none" w:sz="0" w:space="0" w:color="auto"/>
                            <w:bottom w:val="none" w:sz="0" w:space="0" w:color="auto"/>
                            <w:right w:val="none" w:sz="0" w:space="0" w:color="auto"/>
                          </w:divBdr>
                          <w:divsChild>
                            <w:div w:id="901522757">
                              <w:marLeft w:val="0"/>
                              <w:marRight w:val="0"/>
                              <w:marTop w:val="0"/>
                              <w:marBottom w:val="0"/>
                              <w:divBdr>
                                <w:top w:val="none" w:sz="0" w:space="0" w:color="auto"/>
                                <w:left w:val="none" w:sz="0" w:space="0" w:color="auto"/>
                                <w:bottom w:val="none" w:sz="0" w:space="0" w:color="auto"/>
                                <w:right w:val="none" w:sz="0" w:space="0" w:color="auto"/>
                              </w:divBdr>
                              <w:divsChild>
                                <w:div w:id="335696429">
                                  <w:marLeft w:val="0"/>
                                  <w:marRight w:val="0"/>
                                  <w:marTop w:val="0"/>
                                  <w:marBottom w:val="240"/>
                                  <w:divBdr>
                                    <w:top w:val="none" w:sz="0" w:space="0" w:color="auto"/>
                                    <w:left w:val="none" w:sz="0" w:space="0" w:color="auto"/>
                                    <w:bottom w:val="none" w:sz="0" w:space="0" w:color="auto"/>
                                    <w:right w:val="none" w:sz="0" w:space="0" w:color="auto"/>
                                  </w:divBdr>
                                  <w:divsChild>
                                    <w:div w:id="1591700998">
                                      <w:marLeft w:val="0"/>
                                      <w:marRight w:val="0"/>
                                      <w:marTop w:val="0"/>
                                      <w:marBottom w:val="0"/>
                                      <w:divBdr>
                                        <w:top w:val="none" w:sz="0" w:space="0" w:color="auto"/>
                                        <w:left w:val="none" w:sz="0" w:space="0" w:color="auto"/>
                                        <w:bottom w:val="none" w:sz="0" w:space="0" w:color="auto"/>
                                        <w:right w:val="none" w:sz="0" w:space="0" w:color="auto"/>
                                      </w:divBdr>
                                      <w:divsChild>
                                        <w:div w:id="307167691">
                                          <w:marLeft w:val="150"/>
                                          <w:marRight w:val="150"/>
                                          <w:marTop w:val="0"/>
                                          <w:marBottom w:val="0"/>
                                          <w:divBdr>
                                            <w:top w:val="none" w:sz="0" w:space="0" w:color="auto"/>
                                            <w:left w:val="none" w:sz="0" w:space="0" w:color="auto"/>
                                            <w:bottom w:val="none" w:sz="0" w:space="0" w:color="auto"/>
                                            <w:right w:val="none" w:sz="0" w:space="0" w:color="auto"/>
                                          </w:divBdr>
                                          <w:divsChild>
                                            <w:div w:id="1420178659">
                                              <w:marLeft w:val="0"/>
                                              <w:marRight w:val="0"/>
                                              <w:marTop w:val="0"/>
                                              <w:marBottom w:val="0"/>
                                              <w:divBdr>
                                                <w:top w:val="none" w:sz="0" w:space="0" w:color="auto"/>
                                                <w:left w:val="none" w:sz="0" w:space="0" w:color="auto"/>
                                                <w:bottom w:val="none" w:sz="0" w:space="0" w:color="auto"/>
                                                <w:right w:val="none" w:sz="0" w:space="0" w:color="auto"/>
                                              </w:divBdr>
                                              <w:divsChild>
                                                <w:div w:id="157635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46457104">
      <w:bodyDiv w:val="1"/>
      <w:marLeft w:val="0"/>
      <w:marRight w:val="0"/>
      <w:marTop w:val="0"/>
      <w:marBottom w:val="0"/>
      <w:divBdr>
        <w:top w:val="none" w:sz="0" w:space="0" w:color="auto"/>
        <w:left w:val="none" w:sz="0" w:space="0" w:color="auto"/>
        <w:bottom w:val="none" w:sz="0" w:space="0" w:color="auto"/>
        <w:right w:val="none" w:sz="0" w:space="0" w:color="auto"/>
      </w:divBdr>
    </w:div>
    <w:div w:id="1362127266">
      <w:bodyDiv w:val="1"/>
      <w:marLeft w:val="0"/>
      <w:marRight w:val="0"/>
      <w:marTop w:val="0"/>
      <w:marBottom w:val="0"/>
      <w:divBdr>
        <w:top w:val="none" w:sz="0" w:space="0" w:color="auto"/>
        <w:left w:val="none" w:sz="0" w:space="0" w:color="auto"/>
        <w:bottom w:val="none" w:sz="0" w:space="0" w:color="auto"/>
        <w:right w:val="none" w:sz="0" w:space="0" w:color="auto"/>
      </w:divBdr>
    </w:div>
    <w:div w:id="1412659505">
      <w:bodyDiv w:val="1"/>
      <w:marLeft w:val="0"/>
      <w:marRight w:val="0"/>
      <w:marTop w:val="0"/>
      <w:marBottom w:val="0"/>
      <w:divBdr>
        <w:top w:val="none" w:sz="0" w:space="0" w:color="auto"/>
        <w:left w:val="none" w:sz="0" w:space="0" w:color="auto"/>
        <w:bottom w:val="none" w:sz="0" w:space="0" w:color="auto"/>
        <w:right w:val="none" w:sz="0" w:space="0" w:color="auto"/>
      </w:divBdr>
    </w:div>
    <w:div w:id="1475610448">
      <w:bodyDiv w:val="1"/>
      <w:marLeft w:val="0"/>
      <w:marRight w:val="0"/>
      <w:marTop w:val="0"/>
      <w:marBottom w:val="0"/>
      <w:divBdr>
        <w:top w:val="none" w:sz="0" w:space="0" w:color="auto"/>
        <w:left w:val="none" w:sz="0" w:space="0" w:color="auto"/>
        <w:bottom w:val="none" w:sz="0" w:space="0" w:color="auto"/>
        <w:right w:val="none" w:sz="0" w:space="0" w:color="auto"/>
      </w:divBdr>
    </w:div>
    <w:div w:id="1574201312">
      <w:bodyDiv w:val="1"/>
      <w:marLeft w:val="0"/>
      <w:marRight w:val="0"/>
      <w:marTop w:val="0"/>
      <w:marBottom w:val="0"/>
      <w:divBdr>
        <w:top w:val="none" w:sz="0" w:space="0" w:color="auto"/>
        <w:left w:val="none" w:sz="0" w:space="0" w:color="auto"/>
        <w:bottom w:val="none" w:sz="0" w:space="0" w:color="auto"/>
        <w:right w:val="none" w:sz="0" w:space="0" w:color="auto"/>
      </w:divBdr>
    </w:div>
    <w:div w:id="1657761171">
      <w:bodyDiv w:val="1"/>
      <w:marLeft w:val="0"/>
      <w:marRight w:val="0"/>
      <w:marTop w:val="0"/>
      <w:marBottom w:val="0"/>
      <w:divBdr>
        <w:top w:val="none" w:sz="0" w:space="0" w:color="auto"/>
        <w:left w:val="none" w:sz="0" w:space="0" w:color="auto"/>
        <w:bottom w:val="none" w:sz="0" w:space="0" w:color="auto"/>
        <w:right w:val="none" w:sz="0" w:space="0" w:color="auto"/>
      </w:divBdr>
    </w:div>
    <w:div w:id="1785034493">
      <w:bodyDiv w:val="1"/>
      <w:marLeft w:val="0"/>
      <w:marRight w:val="0"/>
      <w:marTop w:val="0"/>
      <w:marBottom w:val="0"/>
      <w:divBdr>
        <w:top w:val="none" w:sz="0" w:space="0" w:color="auto"/>
        <w:left w:val="none" w:sz="0" w:space="0" w:color="auto"/>
        <w:bottom w:val="none" w:sz="0" w:space="0" w:color="auto"/>
        <w:right w:val="none" w:sz="0" w:space="0" w:color="auto"/>
      </w:divBdr>
      <w:divsChild>
        <w:div w:id="271400156">
          <w:marLeft w:val="0"/>
          <w:marRight w:val="0"/>
          <w:marTop w:val="0"/>
          <w:marBottom w:val="0"/>
          <w:divBdr>
            <w:top w:val="none" w:sz="0" w:space="0" w:color="auto"/>
            <w:left w:val="none" w:sz="0" w:space="0" w:color="auto"/>
            <w:bottom w:val="none" w:sz="0" w:space="0" w:color="auto"/>
            <w:right w:val="none" w:sz="0" w:space="0" w:color="auto"/>
          </w:divBdr>
        </w:div>
        <w:div w:id="670379390">
          <w:marLeft w:val="0"/>
          <w:marRight w:val="0"/>
          <w:marTop w:val="0"/>
          <w:marBottom w:val="0"/>
          <w:divBdr>
            <w:top w:val="none" w:sz="0" w:space="0" w:color="auto"/>
            <w:left w:val="none" w:sz="0" w:space="0" w:color="auto"/>
            <w:bottom w:val="none" w:sz="0" w:space="0" w:color="auto"/>
            <w:right w:val="none" w:sz="0" w:space="0" w:color="auto"/>
          </w:divBdr>
        </w:div>
        <w:div w:id="938366475">
          <w:marLeft w:val="0"/>
          <w:marRight w:val="0"/>
          <w:marTop w:val="0"/>
          <w:marBottom w:val="0"/>
          <w:divBdr>
            <w:top w:val="none" w:sz="0" w:space="0" w:color="auto"/>
            <w:left w:val="none" w:sz="0" w:space="0" w:color="auto"/>
            <w:bottom w:val="none" w:sz="0" w:space="0" w:color="auto"/>
            <w:right w:val="none" w:sz="0" w:space="0" w:color="auto"/>
          </w:divBdr>
        </w:div>
      </w:divsChild>
    </w:div>
    <w:div w:id="2066371271">
      <w:bodyDiv w:val="1"/>
      <w:marLeft w:val="0"/>
      <w:marRight w:val="0"/>
      <w:marTop w:val="0"/>
      <w:marBottom w:val="0"/>
      <w:divBdr>
        <w:top w:val="none" w:sz="0" w:space="0" w:color="auto"/>
        <w:left w:val="none" w:sz="0" w:space="0" w:color="auto"/>
        <w:bottom w:val="none" w:sz="0" w:space="0" w:color="auto"/>
        <w:right w:val="none" w:sz="0" w:space="0" w:color="auto"/>
      </w:divBdr>
    </w:div>
    <w:div w:id="2117670293">
      <w:bodyDiv w:val="1"/>
      <w:marLeft w:val="0"/>
      <w:marRight w:val="0"/>
      <w:marTop w:val="0"/>
      <w:marBottom w:val="0"/>
      <w:divBdr>
        <w:top w:val="none" w:sz="0" w:space="0" w:color="auto"/>
        <w:left w:val="none" w:sz="0" w:space="0" w:color="auto"/>
        <w:bottom w:val="none" w:sz="0" w:space="0" w:color="auto"/>
        <w:right w:val="none" w:sz="0" w:space="0" w:color="auto"/>
      </w:divBdr>
    </w:div>
    <w:div w:id="2130319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documenttasks/documenttasks1.xml><?xml version="1.0" encoding="utf-8"?>
<t:Tasks xmlns:t="http://schemas.microsoft.com/office/tasks/2019/documenttasks" xmlns:oel="http://schemas.microsoft.com/office/2019/extlst">
  <t:Task id="{2196BF45-4268-41C7-80A9-1906C61A82B8}">
    <t:Anchor>
      <t:Comment id="640134367"/>
    </t:Anchor>
    <t:History>
      <t:Event id="{FB790CA1-54D9-405C-852B-DD5183EF2769}" time="2022-06-10T20:29:57.113Z">
        <t:Attribution userId="S::marianne.wolfsteiner@syneoshealth.com::f439336d-e78e-4ebc-9de5-7c5b8b0c25a2" userProvider="AD" userName="Wolfsteiner, Marianne"/>
        <t:Anchor>
          <t:Comment id="96224403"/>
        </t:Anchor>
        <t:Create/>
      </t:Event>
      <t:Event id="{CCA51D96-44D4-487B-BC3D-2F182A69119C}" time="2022-06-10T20:29:57.113Z">
        <t:Attribution userId="S::marianne.wolfsteiner@syneoshealth.com::f439336d-e78e-4ebc-9de5-7c5b8b0c25a2" userProvider="AD" userName="Wolfsteiner, Marianne"/>
        <t:Anchor>
          <t:Comment id="96224403"/>
        </t:Anchor>
        <t:Assign userId="S::wael.harb@syneoshealth.com::4aaf0609-448a-4e26-9f57-cca4be902ec4" userProvider="AD" userName="Harb, Wael"/>
      </t:Event>
      <t:Event id="{F63038D3-6738-4617-8788-6774FE2B1205}" time="2022-06-10T20:29:57.113Z">
        <t:Attribution userId="S::marianne.wolfsteiner@syneoshealth.com::f439336d-e78e-4ebc-9de5-7c5b8b0c25a2" userProvider="AD" userName="Wolfsteiner, Marianne"/>
        <t:Anchor>
          <t:Comment id="96224403"/>
        </t:Anchor>
        <t:SetTitle title="@Harb, Wael"/>
      </t:Event>
    </t:History>
  </t:Task>
  <t:Task id="{9939FCCB-334D-48E7-BD9F-03D8576B3294}">
    <t:Anchor>
      <t:Comment id="643500561"/>
    </t:Anchor>
    <t:History>
      <t:Event id="{FD3FF1F3-BE40-4517-BF86-A9CDDF92535E}" time="2022-06-24T00:56:38.843Z">
        <t:Attribution userId="S::marianne.wolfsteiner@syneoshealth.com::f439336d-e78e-4ebc-9de5-7c5b8b0c25a2" userProvider="AD" userName="Wolfsteiner, Marianne"/>
        <t:Anchor>
          <t:Comment id="1993364470"/>
        </t:Anchor>
        <t:Create/>
      </t:Event>
      <t:Event id="{3C187652-3B20-4111-8679-89D83550D148}" time="2022-06-24T00:56:38.843Z">
        <t:Attribution userId="S::marianne.wolfsteiner@syneoshealth.com::f439336d-e78e-4ebc-9de5-7c5b8b0c25a2" userProvider="AD" userName="Wolfsteiner, Marianne"/>
        <t:Anchor>
          <t:Comment id="1993364470"/>
        </t:Anchor>
        <t:Assign userId="S::wael.harb@syneoshealth.com::4aaf0609-448a-4e26-9f57-cca4be902ec4" userProvider="AD" userName="Harb, Wael"/>
      </t:Event>
      <t:Event id="{10871842-E315-4132-BCC5-DAC3A43C1943}" time="2022-06-24T00:56:38.843Z">
        <t:Attribution userId="S::marianne.wolfsteiner@syneoshealth.com::f439336d-e78e-4ebc-9de5-7c5b8b0c25a2" userProvider="AD" userName="Wolfsteiner, Marianne"/>
        <t:Anchor>
          <t:Comment id="1993364470"/>
        </t:Anchor>
        <t:SetTitle title="I dont think this would be applicable and either way wouldnt need to be under this section - @Harb, Wael thoughts?"/>
      </t:Event>
    </t:History>
  </t:Task>
  <t:Task id="{661C7320-8C32-4144-97DF-4090AF244150}">
    <t:Anchor>
      <t:Comment id="643480866"/>
    </t:Anchor>
    <t:History>
      <t:Event id="{AF63C1EF-4414-4518-B9D3-FC97B606F6BF}" time="2022-06-24T01:45:22.766Z">
        <t:Attribution userId="S::marianne.wolfsteiner@syneoshealth.com::f439336d-e78e-4ebc-9de5-7c5b8b0c25a2" userProvider="AD" userName="Wolfsteiner, Marianne"/>
        <t:Anchor>
          <t:Comment id="1321125105"/>
        </t:Anchor>
        <t:Create/>
      </t:Event>
      <t:Event id="{7BF5BAB8-FFB0-40CD-9232-F7C0A4A3E1C2}" time="2022-06-24T01:45:22.766Z">
        <t:Attribution userId="S::marianne.wolfsteiner@syneoshealth.com::f439336d-e78e-4ebc-9de5-7c5b8b0c25a2" userProvider="AD" userName="Wolfsteiner, Marianne"/>
        <t:Anchor>
          <t:Comment id="1321125105"/>
        </t:Anchor>
        <t:Assign userId="S::wael.harb@syneoshealth.com::4aaf0609-448a-4e26-9f57-cca4be902ec4" userProvider="AD" userName="Harb, Wael"/>
      </t:Event>
      <t:Event id="{808D76D5-567E-4AD6-BCD9-3FB330F0915A}" time="2022-06-24T01:45:22.766Z">
        <t:Attribution userId="S::marianne.wolfsteiner@syneoshealth.com::f439336d-e78e-4ebc-9de5-7c5b8b0c25a2" userProvider="AD" userName="Wolfsteiner, Marianne"/>
        <t:Anchor>
          <t:Comment id="1321125105"/>
        </t:Anchor>
        <t:SetTitle title="@Harb, Wael I am not understanding this here... thought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1CFF3F05E4C244B04C08729606007E" ma:contentTypeVersion="12" ma:contentTypeDescription="Create a new document." ma:contentTypeScope="" ma:versionID="cebd996feb39a8688cfeff93b287d284">
  <xsd:schema xmlns:xsd="http://www.w3.org/2001/XMLSchema" xmlns:xs="http://www.w3.org/2001/XMLSchema" xmlns:p="http://schemas.microsoft.com/office/2006/metadata/properties" xmlns:ns2="0d292b0c-68c4-4476-8cc2-d13b498c467f" xmlns:ns3="58ec198f-0733-4afb-851b-68f446234ac3" targetNamespace="http://schemas.microsoft.com/office/2006/metadata/properties" ma:root="true" ma:fieldsID="a959adc1c0f2f5d88d66b1558e5fbcfe" ns2:_="" ns3:_="">
    <xsd:import namespace="0d292b0c-68c4-4476-8cc2-d13b498c467f"/>
    <xsd:import namespace="58ec198f-0733-4afb-851b-68f446234ac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292b0c-68c4-4476-8cc2-d13b498c46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c91ad3a-4b97-4996-8449-d07286d5eff6"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ec198f-0733-4afb-851b-68f446234ac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95d500d-ee24-4355-af45-15bb99482d88}" ma:internalName="TaxCatchAll" ma:showField="CatchAllData" ma:web="58ec198f-0733-4afb-851b-68f446234a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58ec198f-0733-4afb-851b-68f446234ac3" xsi:nil="true"/>
    <lcf76f155ced4ddcb4097134ff3c332f xmlns="0d292b0c-68c4-4476-8cc2-d13b498c467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AA2E9A2-96F6-4774-9962-051F5A47CB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292b0c-68c4-4476-8cc2-d13b498c467f"/>
    <ds:schemaRef ds:uri="58ec198f-0733-4afb-851b-68f446234a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A0BCBC-48DB-4F6C-8A7C-6F641A515BA3}">
  <ds:schemaRefs>
    <ds:schemaRef ds:uri="http://schemas.microsoft.com/sharepoint/v3/contenttype/forms"/>
  </ds:schemaRefs>
</ds:datastoreItem>
</file>

<file path=customXml/itemProps3.xml><?xml version="1.0" encoding="utf-8"?>
<ds:datastoreItem xmlns:ds="http://schemas.openxmlformats.org/officeDocument/2006/customXml" ds:itemID="{B232675D-2670-473A-B3C7-CC9444AE2E11}">
  <ds:schemaRefs>
    <ds:schemaRef ds:uri="http://schemas.openxmlformats.org/officeDocument/2006/bibliography"/>
  </ds:schemaRefs>
</ds:datastoreItem>
</file>

<file path=customXml/itemProps4.xml><?xml version="1.0" encoding="utf-8"?>
<ds:datastoreItem xmlns:ds="http://schemas.openxmlformats.org/officeDocument/2006/customXml" ds:itemID="{EA1626E4-5FBD-4B5C-8FA9-B1FDD05DCB7B}">
  <ds:schemaRefs>
    <ds:schemaRef ds:uri="http://schemas.microsoft.com/office/2006/metadata/properties"/>
    <ds:schemaRef ds:uri="http://schemas.microsoft.com/office/infopath/2007/PartnerControls"/>
    <ds:schemaRef ds:uri="58ec198f-0733-4afb-851b-68f446234ac3"/>
    <ds:schemaRef ds:uri="0d292b0c-68c4-4476-8cc2-d13b498c467f"/>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92</Pages>
  <Words>27047</Words>
  <Characters>154171</Characters>
  <Application>Microsoft Office Word</Application>
  <DocSecurity>0</DocSecurity>
  <PresentationFormat/>
  <Lines>1284</Lines>
  <Paragraphs>361</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4100A.02 Template Protocol, Effective Date 31-Jan-2022</vt:lpstr>
    </vt:vector>
  </TitlesOfParts>
  <Manager/>
  <Company>Syneos Health</Company>
  <LinksUpToDate>false</LinksUpToDate>
  <CharactersWithSpaces>180857</CharactersWithSpaces>
  <SharedDoc>false</SharedDoc>
  <HyperlinkBase/>
  <HLinks>
    <vt:vector size="630" baseType="variant">
      <vt:variant>
        <vt:i4>1638453</vt:i4>
      </vt:variant>
      <vt:variant>
        <vt:i4>632</vt:i4>
      </vt:variant>
      <vt:variant>
        <vt:i4>0</vt:i4>
      </vt:variant>
      <vt:variant>
        <vt:i4>5</vt:i4>
      </vt:variant>
      <vt:variant>
        <vt:lpwstr/>
      </vt:variant>
      <vt:variant>
        <vt:lpwstr>_Toc108680489</vt:lpwstr>
      </vt:variant>
      <vt:variant>
        <vt:i4>1638453</vt:i4>
      </vt:variant>
      <vt:variant>
        <vt:i4>623</vt:i4>
      </vt:variant>
      <vt:variant>
        <vt:i4>0</vt:i4>
      </vt:variant>
      <vt:variant>
        <vt:i4>5</vt:i4>
      </vt:variant>
      <vt:variant>
        <vt:lpwstr/>
      </vt:variant>
      <vt:variant>
        <vt:lpwstr>_Toc108680488</vt:lpwstr>
      </vt:variant>
      <vt:variant>
        <vt:i4>1638453</vt:i4>
      </vt:variant>
      <vt:variant>
        <vt:i4>617</vt:i4>
      </vt:variant>
      <vt:variant>
        <vt:i4>0</vt:i4>
      </vt:variant>
      <vt:variant>
        <vt:i4>5</vt:i4>
      </vt:variant>
      <vt:variant>
        <vt:lpwstr/>
      </vt:variant>
      <vt:variant>
        <vt:lpwstr>_Toc108680487</vt:lpwstr>
      </vt:variant>
      <vt:variant>
        <vt:i4>1638453</vt:i4>
      </vt:variant>
      <vt:variant>
        <vt:i4>611</vt:i4>
      </vt:variant>
      <vt:variant>
        <vt:i4>0</vt:i4>
      </vt:variant>
      <vt:variant>
        <vt:i4>5</vt:i4>
      </vt:variant>
      <vt:variant>
        <vt:lpwstr/>
      </vt:variant>
      <vt:variant>
        <vt:lpwstr>_Toc108680486</vt:lpwstr>
      </vt:variant>
      <vt:variant>
        <vt:i4>1638453</vt:i4>
      </vt:variant>
      <vt:variant>
        <vt:i4>605</vt:i4>
      </vt:variant>
      <vt:variant>
        <vt:i4>0</vt:i4>
      </vt:variant>
      <vt:variant>
        <vt:i4>5</vt:i4>
      </vt:variant>
      <vt:variant>
        <vt:lpwstr/>
      </vt:variant>
      <vt:variant>
        <vt:lpwstr>_Toc108680485</vt:lpwstr>
      </vt:variant>
      <vt:variant>
        <vt:i4>1638453</vt:i4>
      </vt:variant>
      <vt:variant>
        <vt:i4>599</vt:i4>
      </vt:variant>
      <vt:variant>
        <vt:i4>0</vt:i4>
      </vt:variant>
      <vt:variant>
        <vt:i4>5</vt:i4>
      </vt:variant>
      <vt:variant>
        <vt:lpwstr/>
      </vt:variant>
      <vt:variant>
        <vt:lpwstr>_Toc108680484</vt:lpwstr>
      </vt:variant>
      <vt:variant>
        <vt:i4>1638453</vt:i4>
      </vt:variant>
      <vt:variant>
        <vt:i4>590</vt:i4>
      </vt:variant>
      <vt:variant>
        <vt:i4>0</vt:i4>
      </vt:variant>
      <vt:variant>
        <vt:i4>5</vt:i4>
      </vt:variant>
      <vt:variant>
        <vt:lpwstr/>
      </vt:variant>
      <vt:variant>
        <vt:lpwstr>_Toc108680483</vt:lpwstr>
      </vt:variant>
      <vt:variant>
        <vt:i4>1638453</vt:i4>
      </vt:variant>
      <vt:variant>
        <vt:i4>584</vt:i4>
      </vt:variant>
      <vt:variant>
        <vt:i4>0</vt:i4>
      </vt:variant>
      <vt:variant>
        <vt:i4>5</vt:i4>
      </vt:variant>
      <vt:variant>
        <vt:lpwstr/>
      </vt:variant>
      <vt:variant>
        <vt:lpwstr>_Toc108680482</vt:lpwstr>
      </vt:variant>
      <vt:variant>
        <vt:i4>1638453</vt:i4>
      </vt:variant>
      <vt:variant>
        <vt:i4>578</vt:i4>
      </vt:variant>
      <vt:variant>
        <vt:i4>0</vt:i4>
      </vt:variant>
      <vt:variant>
        <vt:i4>5</vt:i4>
      </vt:variant>
      <vt:variant>
        <vt:lpwstr/>
      </vt:variant>
      <vt:variant>
        <vt:lpwstr>_Toc108680481</vt:lpwstr>
      </vt:variant>
      <vt:variant>
        <vt:i4>1638453</vt:i4>
      </vt:variant>
      <vt:variant>
        <vt:i4>572</vt:i4>
      </vt:variant>
      <vt:variant>
        <vt:i4>0</vt:i4>
      </vt:variant>
      <vt:variant>
        <vt:i4>5</vt:i4>
      </vt:variant>
      <vt:variant>
        <vt:lpwstr/>
      </vt:variant>
      <vt:variant>
        <vt:lpwstr>_Toc108680480</vt:lpwstr>
      </vt:variant>
      <vt:variant>
        <vt:i4>1441845</vt:i4>
      </vt:variant>
      <vt:variant>
        <vt:i4>566</vt:i4>
      </vt:variant>
      <vt:variant>
        <vt:i4>0</vt:i4>
      </vt:variant>
      <vt:variant>
        <vt:i4>5</vt:i4>
      </vt:variant>
      <vt:variant>
        <vt:lpwstr/>
      </vt:variant>
      <vt:variant>
        <vt:lpwstr>_Toc108680479</vt:lpwstr>
      </vt:variant>
      <vt:variant>
        <vt:i4>1441845</vt:i4>
      </vt:variant>
      <vt:variant>
        <vt:i4>560</vt:i4>
      </vt:variant>
      <vt:variant>
        <vt:i4>0</vt:i4>
      </vt:variant>
      <vt:variant>
        <vt:i4>5</vt:i4>
      </vt:variant>
      <vt:variant>
        <vt:lpwstr/>
      </vt:variant>
      <vt:variant>
        <vt:lpwstr>_Toc108680478</vt:lpwstr>
      </vt:variant>
      <vt:variant>
        <vt:i4>1441845</vt:i4>
      </vt:variant>
      <vt:variant>
        <vt:i4>554</vt:i4>
      </vt:variant>
      <vt:variant>
        <vt:i4>0</vt:i4>
      </vt:variant>
      <vt:variant>
        <vt:i4>5</vt:i4>
      </vt:variant>
      <vt:variant>
        <vt:lpwstr/>
      </vt:variant>
      <vt:variant>
        <vt:lpwstr>_Toc108680477</vt:lpwstr>
      </vt:variant>
      <vt:variant>
        <vt:i4>1441845</vt:i4>
      </vt:variant>
      <vt:variant>
        <vt:i4>548</vt:i4>
      </vt:variant>
      <vt:variant>
        <vt:i4>0</vt:i4>
      </vt:variant>
      <vt:variant>
        <vt:i4>5</vt:i4>
      </vt:variant>
      <vt:variant>
        <vt:lpwstr/>
      </vt:variant>
      <vt:variant>
        <vt:lpwstr>_Toc108680476</vt:lpwstr>
      </vt:variant>
      <vt:variant>
        <vt:i4>1441845</vt:i4>
      </vt:variant>
      <vt:variant>
        <vt:i4>542</vt:i4>
      </vt:variant>
      <vt:variant>
        <vt:i4>0</vt:i4>
      </vt:variant>
      <vt:variant>
        <vt:i4>5</vt:i4>
      </vt:variant>
      <vt:variant>
        <vt:lpwstr/>
      </vt:variant>
      <vt:variant>
        <vt:lpwstr>_Toc108680475</vt:lpwstr>
      </vt:variant>
      <vt:variant>
        <vt:i4>1441845</vt:i4>
      </vt:variant>
      <vt:variant>
        <vt:i4>536</vt:i4>
      </vt:variant>
      <vt:variant>
        <vt:i4>0</vt:i4>
      </vt:variant>
      <vt:variant>
        <vt:i4>5</vt:i4>
      </vt:variant>
      <vt:variant>
        <vt:lpwstr/>
      </vt:variant>
      <vt:variant>
        <vt:lpwstr>_Toc108680474</vt:lpwstr>
      </vt:variant>
      <vt:variant>
        <vt:i4>1441845</vt:i4>
      </vt:variant>
      <vt:variant>
        <vt:i4>530</vt:i4>
      </vt:variant>
      <vt:variant>
        <vt:i4>0</vt:i4>
      </vt:variant>
      <vt:variant>
        <vt:i4>5</vt:i4>
      </vt:variant>
      <vt:variant>
        <vt:lpwstr/>
      </vt:variant>
      <vt:variant>
        <vt:lpwstr>_Toc108680473</vt:lpwstr>
      </vt:variant>
      <vt:variant>
        <vt:i4>1441845</vt:i4>
      </vt:variant>
      <vt:variant>
        <vt:i4>524</vt:i4>
      </vt:variant>
      <vt:variant>
        <vt:i4>0</vt:i4>
      </vt:variant>
      <vt:variant>
        <vt:i4>5</vt:i4>
      </vt:variant>
      <vt:variant>
        <vt:lpwstr/>
      </vt:variant>
      <vt:variant>
        <vt:lpwstr>_Toc108680472</vt:lpwstr>
      </vt:variant>
      <vt:variant>
        <vt:i4>1441845</vt:i4>
      </vt:variant>
      <vt:variant>
        <vt:i4>518</vt:i4>
      </vt:variant>
      <vt:variant>
        <vt:i4>0</vt:i4>
      </vt:variant>
      <vt:variant>
        <vt:i4>5</vt:i4>
      </vt:variant>
      <vt:variant>
        <vt:lpwstr/>
      </vt:variant>
      <vt:variant>
        <vt:lpwstr>_Toc108680471</vt:lpwstr>
      </vt:variant>
      <vt:variant>
        <vt:i4>1441845</vt:i4>
      </vt:variant>
      <vt:variant>
        <vt:i4>512</vt:i4>
      </vt:variant>
      <vt:variant>
        <vt:i4>0</vt:i4>
      </vt:variant>
      <vt:variant>
        <vt:i4>5</vt:i4>
      </vt:variant>
      <vt:variant>
        <vt:lpwstr/>
      </vt:variant>
      <vt:variant>
        <vt:lpwstr>_Toc108680470</vt:lpwstr>
      </vt:variant>
      <vt:variant>
        <vt:i4>1507381</vt:i4>
      </vt:variant>
      <vt:variant>
        <vt:i4>506</vt:i4>
      </vt:variant>
      <vt:variant>
        <vt:i4>0</vt:i4>
      </vt:variant>
      <vt:variant>
        <vt:i4>5</vt:i4>
      </vt:variant>
      <vt:variant>
        <vt:lpwstr/>
      </vt:variant>
      <vt:variant>
        <vt:lpwstr>_Toc108680469</vt:lpwstr>
      </vt:variant>
      <vt:variant>
        <vt:i4>1507381</vt:i4>
      </vt:variant>
      <vt:variant>
        <vt:i4>500</vt:i4>
      </vt:variant>
      <vt:variant>
        <vt:i4>0</vt:i4>
      </vt:variant>
      <vt:variant>
        <vt:i4>5</vt:i4>
      </vt:variant>
      <vt:variant>
        <vt:lpwstr/>
      </vt:variant>
      <vt:variant>
        <vt:lpwstr>_Toc108680468</vt:lpwstr>
      </vt:variant>
      <vt:variant>
        <vt:i4>1507381</vt:i4>
      </vt:variant>
      <vt:variant>
        <vt:i4>494</vt:i4>
      </vt:variant>
      <vt:variant>
        <vt:i4>0</vt:i4>
      </vt:variant>
      <vt:variant>
        <vt:i4>5</vt:i4>
      </vt:variant>
      <vt:variant>
        <vt:lpwstr/>
      </vt:variant>
      <vt:variant>
        <vt:lpwstr>_Toc108680467</vt:lpwstr>
      </vt:variant>
      <vt:variant>
        <vt:i4>1507381</vt:i4>
      </vt:variant>
      <vt:variant>
        <vt:i4>488</vt:i4>
      </vt:variant>
      <vt:variant>
        <vt:i4>0</vt:i4>
      </vt:variant>
      <vt:variant>
        <vt:i4>5</vt:i4>
      </vt:variant>
      <vt:variant>
        <vt:lpwstr/>
      </vt:variant>
      <vt:variant>
        <vt:lpwstr>_Toc108680466</vt:lpwstr>
      </vt:variant>
      <vt:variant>
        <vt:i4>1507381</vt:i4>
      </vt:variant>
      <vt:variant>
        <vt:i4>482</vt:i4>
      </vt:variant>
      <vt:variant>
        <vt:i4>0</vt:i4>
      </vt:variant>
      <vt:variant>
        <vt:i4>5</vt:i4>
      </vt:variant>
      <vt:variant>
        <vt:lpwstr/>
      </vt:variant>
      <vt:variant>
        <vt:lpwstr>_Toc108680465</vt:lpwstr>
      </vt:variant>
      <vt:variant>
        <vt:i4>1507381</vt:i4>
      </vt:variant>
      <vt:variant>
        <vt:i4>476</vt:i4>
      </vt:variant>
      <vt:variant>
        <vt:i4>0</vt:i4>
      </vt:variant>
      <vt:variant>
        <vt:i4>5</vt:i4>
      </vt:variant>
      <vt:variant>
        <vt:lpwstr/>
      </vt:variant>
      <vt:variant>
        <vt:lpwstr>_Toc108680464</vt:lpwstr>
      </vt:variant>
      <vt:variant>
        <vt:i4>1507381</vt:i4>
      </vt:variant>
      <vt:variant>
        <vt:i4>470</vt:i4>
      </vt:variant>
      <vt:variant>
        <vt:i4>0</vt:i4>
      </vt:variant>
      <vt:variant>
        <vt:i4>5</vt:i4>
      </vt:variant>
      <vt:variant>
        <vt:lpwstr/>
      </vt:variant>
      <vt:variant>
        <vt:lpwstr>_Toc108680463</vt:lpwstr>
      </vt:variant>
      <vt:variant>
        <vt:i4>1507381</vt:i4>
      </vt:variant>
      <vt:variant>
        <vt:i4>464</vt:i4>
      </vt:variant>
      <vt:variant>
        <vt:i4>0</vt:i4>
      </vt:variant>
      <vt:variant>
        <vt:i4>5</vt:i4>
      </vt:variant>
      <vt:variant>
        <vt:lpwstr/>
      </vt:variant>
      <vt:variant>
        <vt:lpwstr>_Toc108680462</vt:lpwstr>
      </vt:variant>
      <vt:variant>
        <vt:i4>1507381</vt:i4>
      </vt:variant>
      <vt:variant>
        <vt:i4>458</vt:i4>
      </vt:variant>
      <vt:variant>
        <vt:i4>0</vt:i4>
      </vt:variant>
      <vt:variant>
        <vt:i4>5</vt:i4>
      </vt:variant>
      <vt:variant>
        <vt:lpwstr/>
      </vt:variant>
      <vt:variant>
        <vt:lpwstr>_Toc108680461</vt:lpwstr>
      </vt:variant>
      <vt:variant>
        <vt:i4>1507381</vt:i4>
      </vt:variant>
      <vt:variant>
        <vt:i4>452</vt:i4>
      </vt:variant>
      <vt:variant>
        <vt:i4>0</vt:i4>
      </vt:variant>
      <vt:variant>
        <vt:i4>5</vt:i4>
      </vt:variant>
      <vt:variant>
        <vt:lpwstr/>
      </vt:variant>
      <vt:variant>
        <vt:lpwstr>_Toc108680460</vt:lpwstr>
      </vt:variant>
      <vt:variant>
        <vt:i4>1310773</vt:i4>
      </vt:variant>
      <vt:variant>
        <vt:i4>446</vt:i4>
      </vt:variant>
      <vt:variant>
        <vt:i4>0</vt:i4>
      </vt:variant>
      <vt:variant>
        <vt:i4>5</vt:i4>
      </vt:variant>
      <vt:variant>
        <vt:lpwstr/>
      </vt:variant>
      <vt:variant>
        <vt:lpwstr>_Toc108680459</vt:lpwstr>
      </vt:variant>
      <vt:variant>
        <vt:i4>1310773</vt:i4>
      </vt:variant>
      <vt:variant>
        <vt:i4>440</vt:i4>
      </vt:variant>
      <vt:variant>
        <vt:i4>0</vt:i4>
      </vt:variant>
      <vt:variant>
        <vt:i4>5</vt:i4>
      </vt:variant>
      <vt:variant>
        <vt:lpwstr/>
      </vt:variant>
      <vt:variant>
        <vt:lpwstr>_Toc108680458</vt:lpwstr>
      </vt:variant>
      <vt:variant>
        <vt:i4>1310773</vt:i4>
      </vt:variant>
      <vt:variant>
        <vt:i4>434</vt:i4>
      </vt:variant>
      <vt:variant>
        <vt:i4>0</vt:i4>
      </vt:variant>
      <vt:variant>
        <vt:i4>5</vt:i4>
      </vt:variant>
      <vt:variant>
        <vt:lpwstr/>
      </vt:variant>
      <vt:variant>
        <vt:lpwstr>_Toc108680457</vt:lpwstr>
      </vt:variant>
      <vt:variant>
        <vt:i4>1310773</vt:i4>
      </vt:variant>
      <vt:variant>
        <vt:i4>428</vt:i4>
      </vt:variant>
      <vt:variant>
        <vt:i4>0</vt:i4>
      </vt:variant>
      <vt:variant>
        <vt:i4>5</vt:i4>
      </vt:variant>
      <vt:variant>
        <vt:lpwstr/>
      </vt:variant>
      <vt:variant>
        <vt:lpwstr>_Toc108680456</vt:lpwstr>
      </vt:variant>
      <vt:variant>
        <vt:i4>1310773</vt:i4>
      </vt:variant>
      <vt:variant>
        <vt:i4>422</vt:i4>
      </vt:variant>
      <vt:variant>
        <vt:i4>0</vt:i4>
      </vt:variant>
      <vt:variant>
        <vt:i4>5</vt:i4>
      </vt:variant>
      <vt:variant>
        <vt:lpwstr/>
      </vt:variant>
      <vt:variant>
        <vt:lpwstr>_Toc108680455</vt:lpwstr>
      </vt:variant>
      <vt:variant>
        <vt:i4>1310773</vt:i4>
      </vt:variant>
      <vt:variant>
        <vt:i4>416</vt:i4>
      </vt:variant>
      <vt:variant>
        <vt:i4>0</vt:i4>
      </vt:variant>
      <vt:variant>
        <vt:i4>5</vt:i4>
      </vt:variant>
      <vt:variant>
        <vt:lpwstr/>
      </vt:variant>
      <vt:variant>
        <vt:lpwstr>_Toc108680454</vt:lpwstr>
      </vt:variant>
      <vt:variant>
        <vt:i4>1310773</vt:i4>
      </vt:variant>
      <vt:variant>
        <vt:i4>410</vt:i4>
      </vt:variant>
      <vt:variant>
        <vt:i4>0</vt:i4>
      </vt:variant>
      <vt:variant>
        <vt:i4>5</vt:i4>
      </vt:variant>
      <vt:variant>
        <vt:lpwstr/>
      </vt:variant>
      <vt:variant>
        <vt:lpwstr>_Toc108680453</vt:lpwstr>
      </vt:variant>
      <vt:variant>
        <vt:i4>1310773</vt:i4>
      </vt:variant>
      <vt:variant>
        <vt:i4>404</vt:i4>
      </vt:variant>
      <vt:variant>
        <vt:i4>0</vt:i4>
      </vt:variant>
      <vt:variant>
        <vt:i4>5</vt:i4>
      </vt:variant>
      <vt:variant>
        <vt:lpwstr/>
      </vt:variant>
      <vt:variant>
        <vt:lpwstr>_Toc108680452</vt:lpwstr>
      </vt:variant>
      <vt:variant>
        <vt:i4>1310773</vt:i4>
      </vt:variant>
      <vt:variant>
        <vt:i4>398</vt:i4>
      </vt:variant>
      <vt:variant>
        <vt:i4>0</vt:i4>
      </vt:variant>
      <vt:variant>
        <vt:i4>5</vt:i4>
      </vt:variant>
      <vt:variant>
        <vt:lpwstr/>
      </vt:variant>
      <vt:variant>
        <vt:lpwstr>_Toc108680451</vt:lpwstr>
      </vt:variant>
      <vt:variant>
        <vt:i4>1310773</vt:i4>
      </vt:variant>
      <vt:variant>
        <vt:i4>392</vt:i4>
      </vt:variant>
      <vt:variant>
        <vt:i4>0</vt:i4>
      </vt:variant>
      <vt:variant>
        <vt:i4>5</vt:i4>
      </vt:variant>
      <vt:variant>
        <vt:lpwstr/>
      </vt:variant>
      <vt:variant>
        <vt:lpwstr>_Toc108680450</vt:lpwstr>
      </vt:variant>
      <vt:variant>
        <vt:i4>1376309</vt:i4>
      </vt:variant>
      <vt:variant>
        <vt:i4>386</vt:i4>
      </vt:variant>
      <vt:variant>
        <vt:i4>0</vt:i4>
      </vt:variant>
      <vt:variant>
        <vt:i4>5</vt:i4>
      </vt:variant>
      <vt:variant>
        <vt:lpwstr/>
      </vt:variant>
      <vt:variant>
        <vt:lpwstr>_Toc108680449</vt:lpwstr>
      </vt:variant>
      <vt:variant>
        <vt:i4>1376309</vt:i4>
      </vt:variant>
      <vt:variant>
        <vt:i4>380</vt:i4>
      </vt:variant>
      <vt:variant>
        <vt:i4>0</vt:i4>
      </vt:variant>
      <vt:variant>
        <vt:i4>5</vt:i4>
      </vt:variant>
      <vt:variant>
        <vt:lpwstr/>
      </vt:variant>
      <vt:variant>
        <vt:lpwstr>_Toc108680448</vt:lpwstr>
      </vt:variant>
      <vt:variant>
        <vt:i4>1376309</vt:i4>
      </vt:variant>
      <vt:variant>
        <vt:i4>374</vt:i4>
      </vt:variant>
      <vt:variant>
        <vt:i4>0</vt:i4>
      </vt:variant>
      <vt:variant>
        <vt:i4>5</vt:i4>
      </vt:variant>
      <vt:variant>
        <vt:lpwstr/>
      </vt:variant>
      <vt:variant>
        <vt:lpwstr>_Toc108680447</vt:lpwstr>
      </vt:variant>
      <vt:variant>
        <vt:i4>1376309</vt:i4>
      </vt:variant>
      <vt:variant>
        <vt:i4>368</vt:i4>
      </vt:variant>
      <vt:variant>
        <vt:i4>0</vt:i4>
      </vt:variant>
      <vt:variant>
        <vt:i4>5</vt:i4>
      </vt:variant>
      <vt:variant>
        <vt:lpwstr/>
      </vt:variant>
      <vt:variant>
        <vt:lpwstr>_Toc108680446</vt:lpwstr>
      </vt:variant>
      <vt:variant>
        <vt:i4>1376309</vt:i4>
      </vt:variant>
      <vt:variant>
        <vt:i4>362</vt:i4>
      </vt:variant>
      <vt:variant>
        <vt:i4>0</vt:i4>
      </vt:variant>
      <vt:variant>
        <vt:i4>5</vt:i4>
      </vt:variant>
      <vt:variant>
        <vt:lpwstr/>
      </vt:variant>
      <vt:variant>
        <vt:lpwstr>_Toc108680445</vt:lpwstr>
      </vt:variant>
      <vt:variant>
        <vt:i4>1376309</vt:i4>
      </vt:variant>
      <vt:variant>
        <vt:i4>356</vt:i4>
      </vt:variant>
      <vt:variant>
        <vt:i4>0</vt:i4>
      </vt:variant>
      <vt:variant>
        <vt:i4>5</vt:i4>
      </vt:variant>
      <vt:variant>
        <vt:lpwstr/>
      </vt:variant>
      <vt:variant>
        <vt:lpwstr>_Toc108680444</vt:lpwstr>
      </vt:variant>
      <vt:variant>
        <vt:i4>1376309</vt:i4>
      </vt:variant>
      <vt:variant>
        <vt:i4>350</vt:i4>
      </vt:variant>
      <vt:variant>
        <vt:i4>0</vt:i4>
      </vt:variant>
      <vt:variant>
        <vt:i4>5</vt:i4>
      </vt:variant>
      <vt:variant>
        <vt:lpwstr/>
      </vt:variant>
      <vt:variant>
        <vt:lpwstr>_Toc108680443</vt:lpwstr>
      </vt:variant>
      <vt:variant>
        <vt:i4>1376309</vt:i4>
      </vt:variant>
      <vt:variant>
        <vt:i4>344</vt:i4>
      </vt:variant>
      <vt:variant>
        <vt:i4>0</vt:i4>
      </vt:variant>
      <vt:variant>
        <vt:i4>5</vt:i4>
      </vt:variant>
      <vt:variant>
        <vt:lpwstr/>
      </vt:variant>
      <vt:variant>
        <vt:lpwstr>_Toc108680442</vt:lpwstr>
      </vt:variant>
      <vt:variant>
        <vt:i4>1376309</vt:i4>
      </vt:variant>
      <vt:variant>
        <vt:i4>338</vt:i4>
      </vt:variant>
      <vt:variant>
        <vt:i4>0</vt:i4>
      </vt:variant>
      <vt:variant>
        <vt:i4>5</vt:i4>
      </vt:variant>
      <vt:variant>
        <vt:lpwstr/>
      </vt:variant>
      <vt:variant>
        <vt:lpwstr>_Toc108680441</vt:lpwstr>
      </vt:variant>
      <vt:variant>
        <vt:i4>1376309</vt:i4>
      </vt:variant>
      <vt:variant>
        <vt:i4>332</vt:i4>
      </vt:variant>
      <vt:variant>
        <vt:i4>0</vt:i4>
      </vt:variant>
      <vt:variant>
        <vt:i4>5</vt:i4>
      </vt:variant>
      <vt:variant>
        <vt:lpwstr/>
      </vt:variant>
      <vt:variant>
        <vt:lpwstr>_Toc108680440</vt:lpwstr>
      </vt:variant>
      <vt:variant>
        <vt:i4>1179701</vt:i4>
      </vt:variant>
      <vt:variant>
        <vt:i4>326</vt:i4>
      </vt:variant>
      <vt:variant>
        <vt:i4>0</vt:i4>
      </vt:variant>
      <vt:variant>
        <vt:i4>5</vt:i4>
      </vt:variant>
      <vt:variant>
        <vt:lpwstr/>
      </vt:variant>
      <vt:variant>
        <vt:lpwstr>_Toc108680439</vt:lpwstr>
      </vt:variant>
      <vt:variant>
        <vt:i4>1179701</vt:i4>
      </vt:variant>
      <vt:variant>
        <vt:i4>320</vt:i4>
      </vt:variant>
      <vt:variant>
        <vt:i4>0</vt:i4>
      </vt:variant>
      <vt:variant>
        <vt:i4>5</vt:i4>
      </vt:variant>
      <vt:variant>
        <vt:lpwstr/>
      </vt:variant>
      <vt:variant>
        <vt:lpwstr>_Toc108680438</vt:lpwstr>
      </vt:variant>
      <vt:variant>
        <vt:i4>1179701</vt:i4>
      </vt:variant>
      <vt:variant>
        <vt:i4>314</vt:i4>
      </vt:variant>
      <vt:variant>
        <vt:i4>0</vt:i4>
      </vt:variant>
      <vt:variant>
        <vt:i4>5</vt:i4>
      </vt:variant>
      <vt:variant>
        <vt:lpwstr/>
      </vt:variant>
      <vt:variant>
        <vt:lpwstr>_Toc108680437</vt:lpwstr>
      </vt:variant>
      <vt:variant>
        <vt:i4>1179701</vt:i4>
      </vt:variant>
      <vt:variant>
        <vt:i4>308</vt:i4>
      </vt:variant>
      <vt:variant>
        <vt:i4>0</vt:i4>
      </vt:variant>
      <vt:variant>
        <vt:i4>5</vt:i4>
      </vt:variant>
      <vt:variant>
        <vt:lpwstr/>
      </vt:variant>
      <vt:variant>
        <vt:lpwstr>_Toc108680436</vt:lpwstr>
      </vt:variant>
      <vt:variant>
        <vt:i4>1179701</vt:i4>
      </vt:variant>
      <vt:variant>
        <vt:i4>302</vt:i4>
      </vt:variant>
      <vt:variant>
        <vt:i4>0</vt:i4>
      </vt:variant>
      <vt:variant>
        <vt:i4>5</vt:i4>
      </vt:variant>
      <vt:variant>
        <vt:lpwstr/>
      </vt:variant>
      <vt:variant>
        <vt:lpwstr>_Toc108680435</vt:lpwstr>
      </vt:variant>
      <vt:variant>
        <vt:i4>1179701</vt:i4>
      </vt:variant>
      <vt:variant>
        <vt:i4>296</vt:i4>
      </vt:variant>
      <vt:variant>
        <vt:i4>0</vt:i4>
      </vt:variant>
      <vt:variant>
        <vt:i4>5</vt:i4>
      </vt:variant>
      <vt:variant>
        <vt:lpwstr/>
      </vt:variant>
      <vt:variant>
        <vt:lpwstr>_Toc108680434</vt:lpwstr>
      </vt:variant>
      <vt:variant>
        <vt:i4>1179701</vt:i4>
      </vt:variant>
      <vt:variant>
        <vt:i4>290</vt:i4>
      </vt:variant>
      <vt:variant>
        <vt:i4>0</vt:i4>
      </vt:variant>
      <vt:variant>
        <vt:i4>5</vt:i4>
      </vt:variant>
      <vt:variant>
        <vt:lpwstr/>
      </vt:variant>
      <vt:variant>
        <vt:lpwstr>_Toc108680433</vt:lpwstr>
      </vt:variant>
      <vt:variant>
        <vt:i4>1179701</vt:i4>
      </vt:variant>
      <vt:variant>
        <vt:i4>284</vt:i4>
      </vt:variant>
      <vt:variant>
        <vt:i4>0</vt:i4>
      </vt:variant>
      <vt:variant>
        <vt:i4>5</vt:i4>
      </vt:variant>
      <vt:variant>
        <vt:lpwstr/>
      </vt:variant>
      <vt:variant>
        <vt:lpwstr>_Toc108680432</vt:lpwstr>
      </vt:variant>
      <vt:variant>
        <vt:i4>1179701</vt:i4>
      </vt:variant>
      <vt:variant>
        <vt:i4>278</vt:i4>
      </vt:variant>
      <vt:variant>
        <vt:i4>0</vt:i4>
      </vt:variant>
      <vt:variant>
        <vt:i4>5</vt:i4>
      </vt:variant>
      <vt:variant>
        <vt:lpwstr/>
      </vt:variant>
      <vt:variant>
        <vt:lpwstr>_Toc108680431</vt:lpwstr>
      </vt:variant>
      <vt:variant>
        <vt:i4>1179701</vt:i4>
      </vt:variant>
      <vt:variant>
        <vt:i4>272</vt:i4>
      </vt:variant>
      <vt:variant>
        <vt:i4>0</vt:i4>
      </vt:variant>
      <vt:variant>
        <vt:i4>5</vt:i4>
      </vt:variant>
      <vt:variant>
        <vt:lpwstr/>
      </vt:variant>
      <vt:variant>
        <vt:lpwstr>_Toc108680430</vt:lpwstr>
      </vt:variant>
      <vt:variant>
        <vt:i4>1245237</vt:i4>
      </vt:variant>
      <vt:variant>
        <vt:i4>266</vt:i4>
      </vt:variant>
      <vt:variant>
        <vt:i4>0</vt:i4>
      </vt:variant>
      <vt:variant>
        <vt:i4>5</vt:i4>
      </vt:variant>
      <vt:variant>
        <vt:lpwstr/>
      </vt:variant>
      <vt:variant>
        <vt:lpwstr>_Toc108680429</vt:lpwstr>
      </vt:variant>
      <vt:variant>
        <vt:i4>1245237</vt:i4>
      </vt:variant>
      <vt:variant>
        <vt:i4>260</vt:i4>
      </vt:variant>
      <vt:variant>
        <vt:i4>0</vt:i4>
      </vt:variant>
      <vt:variant>
        <vt:i4>5</vt:i4>
      </vt:variant>
      <vt:variant>
        <vt:lpwstr/>
      </vt:variant>
      <vt:variant>
        <vt:lpwstr>_Toc108680428</vt:lpwstr>
      </vt:variant>
      <vt:variant>
        <vt:i4>1245237</vt:i4>
      </vt:variant>
      <vt:variant>
        <vt:i4>254</vt:i4>
      </vt:variant>
      <vt:variant>
        <vt:i4>0</vt:i4>
      </vt:variant>
      <vt:variant>
        <vt:i4>5</vt:i4>
      </vt:variant>
      <vt:variant>
        <vt:lpwstr/>
      </vt:variant>
      <vt:variant>
        <vt:lpwstr>_Toc108680427</vt:lpwstr>
      </vt:variant>
      <vt:variant>
        <vt:i4>1245237</vt:i4>
      </vt:variant>
      <vt:variant>
        <vt:i4>248</vt:i4>
      </vt:variant>
      <vt:variant>
        <vt:i4>0</vt:i4>
      </vt:variant>
      <vt:variant>
        <vt:i4>5</vt:i4>
      </vt:variant>
      <vt:variant>
        <vt:lpwstr/>
      </vt:variant>
      <vt:variant>
        <vt:lpwstr>_Toc108680426</vt:lpwstr>
      </vt:variant>
      <vt:variant>
        <vt:i4>1245237</vt:i4>
      </vt:variant>
      <vt:variant>
        <vt:i4>242</vt:i4>
      </vt:variant>
      <vt:variant>
        <vt:i4>0</vt:i4>
      </vt:variant>
      <vt:variant>
        <vt:i4>5</vt:i4>
      </vt:variant>
      <vt:variant>
        <vt:lpwstr/>
      </vt:variant>
      <vt:variant>
        <vt:lpwstr>_Toc108680425</vt:lpwstr>
      </vt:variant>
      <vt:variant>
        <vt:i4>1245237</vt:i4>
      </vt:variant>
      <vt:variant>
        <vt:i4>236</vt:i4>
      </vt:variant>
      <vt:variant>
        <vt:i4>0</vt:i4>
      </vt:variant>
      <vt:variant>
        <vt:i4>5</vt:i4>
      </vt:variant>
      <vt:variant>
        <vt:lpwstr/>
      </vt:variant>
      <vt:variant>
        <vt:lpwstr>_Toc108680424</vt:lpwstr>
      </vt:variant>
      <vt:variant>
        <vt:i4>1245237</vt:i4>
      </vt:variant>
      <vt:variant>
        <vt:i4>230</vt:i4>
      </vt:variant>
      <vt:variant>
        <vt:i4>0</vt:i4>
      </vt:variant>
      <vt:variant>
        <vt:i4>5</vt:i4>
      </vt:variant>
      <vt:variant>
        <vt:lpwstr/>
      </vt:variant>
      <vt:variant>
        <vt:lpwstr>_Toc108680423</vt:lpwstr>
      </vt:variant>
      <vt:variant>
        <vt:i4>1245237</vt:i4>
      </vt:variant>
      <vt:variant>
        <vt:i4>224</vt:i4>
      </vt:variant>
      <vt:variant>
        <vt:i4>0</vt:i4>
      </vt:variant>
      <vt:variant>
        <vt:i4>5</vt:i4>
      </vt:variant>
      <vt:variant>
        <vt:lpwstr/>
      </vt:variant>
      <vt:variant>
        <vt:lpwstr>_Toc108680422</vt:lpwstr>
      </vt:variant>
      <vt:variant>
        <vt:i4>1245237</vt:i4>
      </vt:variant>
      <vt:variant>
        <vt:i4>218</vt:i4>
      </vt:variant>
      <vt:variant>
        <vt:i4>0</vt:i4>
      </vt:variant>
      <vt:variant>
        <vt:i4>5</vt:i4>
      </vt:variant>
      <vt:variant>
        <vt:lpwstr/>
      </vt:variant>
      <vt:variant>
        <vt:lpwstr>_Toc108680421</vt:lpwstr>
      </vt:variant>
      <vt:variant>
        <vt:i4>1245237</vt:i4>
      </vt:variant>
      <vt:variant>
        <vt:i4>212</vt:i4>
      </vt:variant>
      <vt:variant>
        <vt:i4>0</vt:i4>
      </vt:variant>
      <vt:variant>
        <vt:i4>5</vt:i4>
      </vt:variant>
      <vt:variant>
        <vt:lpwstr/>
      </vt:variant>
      <vt:variant>
        <vt:lpwstr>_Toc108680420</vt:lpwstr>
      </vt:variant>
      <vt:variant>
        <vt:i4>1048629</vt:i4>
      </vt:variant>
      <vt:variant>
        <vt:i4>206</vt:i4>
      </vt:variant>
      <vt:variant>
        <vt:i4>0</vt:i4>
      </vt:variant>
      <vt:variant>
        <vt:i4>5</vt:i4>
      </vt:variant>
      <vt:variant>
        <vt:lpwstr/>
      </vt:variant>
      <vt:variant>
        <vt:lpwstr>_Toc108680419</vt:lpwstr>
      </vt:variant>
      <vt:variant>
        <vt:i4>1048629</vt:i4>
      </vt:variant>
      <vt:variant>
        <vt:i4>200</vt:i4>
      </vt:variant>
      <vt:variant>
        <vt:i4>0</vt:i4>
      </vt:variant>
      <vt:variant>
        <vt:i4>5</vt:i4>
      </vt:variant>
      <vt:variant>
        <vt:lpwstr/>
      </vt:variant>
      <vt:variant>
        <vt:lpwstr>_Toc108680418</vt:lpwstr>
      </vt:variant>
      <vt:variant>
        <vt:i4>1048629</vt:i4>
      </vt:variant>
      <vt:variant>
        <vt:i4>194</vt:i4>
      </vt:variant>
      <vt:variant>
        <vt:i4>0</vt:i4>
      </vt:variant>
      <vt:variant>
        <vt:i4>5</vt:i4>
      </vt:variant>
      <vt:variant>
        <vt:lpwstr/>
      </vt:variant>
      <vt:variant>
        <vt:lpwstr>_Toc108680417</vt:lpwstr>
      </vt:variant>
      <vt:variant>
        <vt:i4>1048629</vt:i4>
      </vt:variant>
      <vt:variant>
        <vt:i4>188</vt:i4>
      </vt:variant>
      <vt:variant>
        <vt:i4>0</vt:i4>
      </vt:variant>
      <vt:variant>
        <vt:i4>5</vt:i4>
      </vt:variant>
      <vt:variant>
        <vt:lpwstr/>
      </vt:variant>
      <vt:variant>
        <vt:lpwstr>_Toc108680416</vt:lpwstr>
      </vt:variant>
      <vt:variant>
        <vt:i4>1048629</vt:i4>
      </vt:variant>
      <vt:variant>
        <vt:i4>182</vt:i4>
      </vt:variant>
      <vt:variant>
        <vt:i4>0</vt:i4>
      </vt:variant>
      <vt:variant>
        <vt:i4>5</vt:i4>
      </vt:variant>
      <vt:variant>
        <vt:lpwstr/>
      </vt:variant>
      <vt:variant>
        <vt:lpwstr>_Toc108680415</vt:lpwstr>
      </vt:variant>
      <vt:variant>
        <vt:i4>1048629</vt:i4>
      </vt:variant>
      <vt:variant>
        <vt:i4>176</vt:i4>
      </vt:variant>
      <vt:variant>
        <vt:i4>0</vt:i4>
      </vt:variant>
      <vt:variant>
        <vt:i4>5</vt:i4>
      </vt:variant>
      <vt:variant>
        <vt:lpwstr/>
      </vt:variant>
      <vt:variant>
        <vt:lpwstr>_Toc108680414</vt:lpwstr>
      </vt:variant>
      <vt:variant>
        <vt:i4>1048629</vt:i4>
      </vt:variant>
      <vt:variant>
        <vt:i4>170</vt:i4>
      </vt:variant>
      <vt:variant>
        <vt:i4>0</vt:i4>
      </vt:variant>
      <vt:variant>
        <vt:i4>5</vt:i4>
      </vt:variant>
      <vt:variant>
        <vt:lpwstr/>
      </vt:variant>
      <vt:variant>
        <vt:lpwstr>_Toc108680413</vt:lpwstr>
      </vt:variant>
      <vt:variant>
        <vt:i4>1048629</vt:i4>
      </vt:variant>
      <vt:variant>
        <vt:i4>164</vt:i4>
      </vt:variant>
      <vt:variant>
        <vt:i4>0</vt:i4>
      </vt:variant>
      <vt:variant>
        <vt:i4>5</vt:i4>
      </vt:variant>
      <vt:variant>
        <vt:lpwstr/>
      </vt:variant>
      <vt:variant>
        <vt:lpwstr>_Toc108680412</vt:lpwstr>
      </vt:variant>
      <vt:variant>
        <vt:i4>1048629</vt:i4>
      </vt:variant>
      <vt:variant>
        <vt:i4>158</vt:i4>
      </vt:variant>
      <vt:variant>
        <vt:i4>0</vt:i4>
      </vt:variant>
      <vt:variant>
        <vt:i4>5</vt:i4>
      </vt:variant>
      <vt:variant>
        <vt:lpwstr/>
      </vt:variant>
      <vt:variant>
        <vt:lpwstr>_Toc108680411</vt:lpwstr>
      </vt:variant>
      <vt:variant>
        <vt:i4>1048629</vt:i4>
      </vt:variant>
      <vt:variant>
        <vt:i4>152</vt:i4>
      </vt:variant>
      <vt:variant>
        <vt:i4>0</vt:i4>
      </vt:variant>
      <vt:variant>
        <vt:i4>5</vt:i4>
      </vt:variant>
      <vt:variant>
        <vt:lpwstr/>
      </vt:variant>
      <vt:variant>
        <vt:lpwstr>_Toc108680410</vt:lpwstr>
      </vt:variant>
      <vt:variant>
        <vt:i4>1114165</vt:i4>
      </vt:variant>
      <vt:variant>
        <vt:i4>146</vt:i4>
      </vt:variant>
      <vt:variant>
        <vt:i4>0</vt:i4>
      </vt:variant>
      <vt:variant>
        <vt:i4>5</vt:i4>
      </vt:variant>
      <vt:variant>
        <vt:lpwstr/>
      </vt:variant>
      <vt:variant>
        <vt:lpwstr>_Toc108680409</vt:lpwstr>
      </vt:variant>
      <vt:variant>
        <vt:i4>1114165</vt:i4>
      </vt:variant>
      <vt:variant>
        <vt:i4>140</vt:i4>
      </vt:variant>
      <vt:variant>
        <vt:i4>0</vt:i4>
      </vt:variant>
      <vt:variant>
        <vt:i4>5</vt:i4>
      </vt:variant>
      <vt:variant>
        <vt:lpwstr/>
      </vt:variant>
      <vt:variant>
        <vt:lpwstr>_Toc108680408</vt:lpwstr>
      </vt:variant>
      <vt:variant>
        <vt:i4>1114165</vt:i4>
      </vt:variant>
      <vt:variant>
        <vt:i4>134</vt:i4>
      </vt:variant>
      <vt:variant>
        <vt:i4>0</vt:i4>
      </vt:variant>
      <vt:variant>
        <vt:i4>5</vt:i4>
      </vt:variant>
      <vt:variant>
        <vt:lpwstr/>
      </vt:variant>
      <vt:variant>
        <vt:lpwstr>_Toc108680407</vt:lpwstr>
      </vt:variant>
      <vt:variant>
        <vt:i4>1114165</vt:i4>
      </vt:variant>
      <vt:variant>
        <vt:i4>128</vt:i4>
      </vt:variant>
      <vt:variant>
        <vt:i4>0</vt:i4>
      </vt:variant>
      <vt:variant>
        <vt:i4>5</vt:i4>
      </vt:variant>
      <vt:variant>
        <vt:lpwstr/>
      </vt:variant>
      <vt:variant>
        <vt:lpwstr>_Toc108680406</vt:lpwstr>
      </vt:variant>
      <vt:variant>
        <vt:i4>1114165</vt:i4>
      </vt:variant>
      <vt:variant>
        <vt:i4>122</vt:i4>
      </vt:variant>
      <vt:variant>
        <vt:i4>0</vt:i4>
      </vt:variant>
      <vt:variant>
        <vt:i4>5</vt:i4>
      </vt:variant>
      <vt:variant>
        <vt:lpwstr/>
      </vt:variant>
      <vt:variant>
        <vt:lpwstr>_Toc108680405</vt:lpwstr>
      </vt:variant>
      <vt:variant>
        <vt:i4>1114165</vt:i4>
      </vt:variant>
      <vt:variant>
        <vt:i4>116</vt:i4>
      </vt:variant>
      <vt:variant>
        <vt:i4>0</vt:i4>
      </vt:variant>
      <vt:variant>
        <vt:i4>5</vt:i4>
      </vt:variant>
      <vt:variant>
        <vt:lpwstr/>
      </vt:variant>
      <vt:variant>
        <vt:lpwstr>_Toc108680404</vt:lpwstr>
      </vt:variant>
      <vt:variant>
        <vt:i4>1114165</vt:i4>
      </vt:variant>
      <vt:variant>
        <vt:i4>110</vt:i4>
      </vt:variant>
      <vt:variant>
        <vt:i4>0</vt:i4>
      </vt:variant>
      <vt:variant>
        <vt:i4>5</vt:i4>
      </vt:variant>
      <vt:variant>
        <vt:lpwstr/>
      </vt:variant>
      <vt:variant>
        <vt:lpwstr>_Toc108680403</vt:lpwstr>
      </vt:variant>
      <vt:variant>
        <vt:i4>1114165</vt:i4>
      </vt:variant>
      <vt:variant>
        <vt:i4>104</vt:i4>
      </vt:variant>
      <vt:variant>
        <vt:i4>0</vt:i4>
      </vt:variant>
      <vt:variant>
        <vt:i4>5</vt:i4>
      </vt:variant>
      <vt:variant>
        <vt:lpwstr/>
      </vt:variant>
      <vt:variant>
        <vt:lpwstr>_Toc108680402</vt:lpwstr>
      </vt:variant>
      <vt:variant>
        <vt:i4>1114165</vt:i4>
      </vt:variant>
      <vt:variant>
        <vt:i4>98</vt:i4>
      </vt:variant>
      <vt:variant>
        <vt:i4>0</vt:i4>
      </vt:variant>
      <vt:variant>
        <vt:i4>5</vt:i4>
      </vt:variant>
      <vt:variant>
        <vt:lpwstr/>
      </vt:variant>
      <vt:variant>
        <vt:lpwstr>_Toc108680401</vt:lpwstr>
      </vt:variant>
      <vt:variant>
        <vt:i4>1114165</vt:i4>
      </vt:variant>
      <vt:variant>
        <vt:i4>92</vt:i4>
      </vt:variant>
      <vt:variant>
        <vt:i4>0</vt:i4>
      </vt:variant>
      <vt:variant>
        <vt:i4>5</vt:i4>
      </vt:variant>
      <vt:variant>
        <vt:lpwstr/>
      </vt:variant>
      <vt:variant>
        <vt:lpwstr>_Toc108680400</vt:lpwstr>
      </vt:variant>
      <vt:variant>
        <vt:i4>1572914</vt:i4>
      </vt:variant>
      <vt:variant>
        <vt:i4>86</vt:i4>
      </vt:variant>
      <vt:variant>
        <vt:i4>0</vt:i4>
      </vt:variant>
      <vt:variant>
        <vt:i4>5</vt:i4>
      </vt:variant>
      <vt:variant>
        <vt:lpwstr/>
      </vt:variant>
      <vt:variant>
        <vt:lpwstr>_Toc108680399</vt:lpwstr>
      </vt:variant>
      <vt:variant>
        <vt:i4>1572914</vt:i4>
      </vt:variant>
      <vt:variant>
        <vt:i4>80</vt:i4>
      </vt:variant>
      <vt:variant>
        <vt:i4>0</vt:i4>
      </vt:variant>
      <vt:variant>
        <vt:i4>5</vt:i4>
      </vt:variant>
      <vt:variant>
        <vt:lpwstr/>
      </vt:variant>
      <vt:variant>
        <vt:lpwstr>_Toc108680398</vt:lpwstr>
      </vt:variant>
      <vt:variant>
        <vt:i4>1572914</vt:i4>
      </vt:variant>
      <vt:variant>
        <vt:i4>74</vt:i4>
      </vt:variant>
      <vt:variant>
        <vt:i4>0</vt:i4>
      </vt:variant>
      <vt:variant>
        <vt:i4>5</vt:i4>
      </vt:variant>
      <vt:variant>
        <vt:lpwstr/>
      </vt:variant>
      <vt:variant>
        <vt:lpwstr>_Toc108680397</vt:lpwstr>
      </vt:variant>
      <vt:variant>
        <vt:i4>1572914</vt:i4>
      </vt:variant>
      <vt:variant>
        <vt:i4>68</vt:i4>
      </vt:variant>
      <vt:variant>
        <vt:i4>0</vt:i4>
      </vt:variant>
      <vt:variant>
        <vt:i4>5</vt:i4>
      </vt:variant>
      <vt:variant>
        <vt:lpwstr/>
      </vt:variant>
      <vt:variant>
        <vt:lpwstr>_Toc108680396</vt:lpwstr>
      </vt:variant>
      <vt:variant>
        <vt:i4>1572914</vt:i4>
      </vt:variant>
      <vt:variant>
        <vt:i4>62</vt:i4>
      </vt:variant>
      <vt:variant>
        <vt:i4>0</vt:i4>
      </vt:variant>
      <vt:variant>
        <vt:i4>5</vt:i4>
      </vt:variant>
      <vt:variant>
        <vt:lpwstr/>
      </vt:variant>
      <vt:variant>
        <vt:lpwstr>_Toc108680395</vt:lpwstr>
      </vt:variant>
      <vt:variant>
        <vt:i4>1572914</vt:i4>
      </vt:variant>
      <vt:variant>
        <vt:i4>56</vt:i4>
      </vt:variant>
      <vt:variant>
        <vt:i4>0</vt:i4>
      </vt:variant>
      <vt:variant>
        <vt:i4>5</vt:i4>
      </vt:variant>
      <vt:variant>
        <vt:lpwstr/>
      </vt:variant>
      <vt:variant>
        <vt:lpwstr>_Toc108680394</vt:lpwstr>
      </vt:variant>
      <vt:variant>
        <vt:i4>1572914</vt:i4>
      </vt:variant>
      <vt:variant>
        <vt:i4>50</vt:i4>
      </vt:variant>
      <vt:variant>
        <vt:i4>0</vt:i4>
      </vt:variant>
      <vt:variant>
        <vt:i4>5</vt:i4>
      </vt:variant>
      <vt:variant>
        <vt:lpwstr/>
      </vt:variant>
      <vt:variant>
        <vt:lpwstr>_Toc108680393</vt:lpwstr>
      </vt:variant>
      <vt:variant>
        <vt:i4>1572914</vt:i4>
      </vt:variant>
      <vt:variant>
        <vt:i4>44</vt:i4>
      </vt:variant>
      <vt:variant>
        <vt:i4>0</vt:i4>
      </vt:variant>
      <vt:variant>
        <vt:i4>5</vt:i4>
      </vt:variant>
      <vt:variant>
        <vt:lpwstr/>
      </vt:variant>
      <vt:variant>
        <vt:lpwstr>_Toc108680392</vt:lpwstr>
      </vt:variant>
      <vt:variant>
        <vt:i4>1572914</vt:i4>
      </vt:variant>
      <vt:variant>
        <vt:i4>38</vt:i4>
      </vt:variant>
      <vt:variant>
        <vt:i4>0</vt:i4>
      </vt:variant>
      <vt:variant>
        <vt:i4>5</vt:i4>
      </vt:variant>
      <vt:variant>
        <vt:lpwstr/>
      </vt:variant>
      <vt:variant>
        <vt:lpwstr>_Toc108680391</vt:lpwstr>
      </vt:variant>
      <vt:variant>
        <vt:i4>1572914</vt:i4>
      </vt:variant>
      <vt:variant>
        <vt:i4>32</vt:i4>
      </vt:variant>
      <vt:variant>
        <vt:i4>0</vt:i4>
      </vt:variant>
      <vt:variant>
        <vt:i4>5</vt:i4>
      </vt:variant>
      <vt:variant>
        <vt:lpwstr/>
      </vt:variant>
      <vt:variant>
        <vt:lpwstr>_Toc108680390</vt:lpwstr>
      </vt:variant>
      <vt:variant>
        <vt:i4>1638450</vt:i4>
      </vt:variant>
      <vt:variant>
        <vt:i4>26</vt:i4>
      </vt:variant>
      <vt:variant>
        <vt:i4>0</vt:i4>
      </vt:variant>
      <vt:variant>
        <vt:i4>5</vt:i4>
      </vt:variant>
      <vt:variant>
        <vt:lpwstr/>
      </vt:variant>
      <vt:variant>
        <vt:lpwstr>_Toc108680389</vt:lpwstr>
      </vt:variant>
      <vt:variant>
        <vt:i4>1638450</vt:i4>
      </vt:variant>
      <vt:variant>
        <vt:i4>20</vt:i4>
      </vt:variant>
      <vt:variant>
        <vt:i4>0</vt:i4>
      </vt:variant>
      <vt:variant>
        <vt:i4>5</vt:i4>
      </vt:variant>
      <vt:variant>
        <vt:lpwstr/>
      </vt:variant>
      <vt:variant>
        <vt:lpwstr>_Toc108680388</vt:lpwstr>
      </vt:variant>
      <vt:variant>
        <vt:i4>1638450</vt:i4>
      </vt:variant>
      <vt:variant>
        <vt:i4>14</vt:i4>
      </vt:variant>
      <vt:variant>
        <vt:i4>0</vt:i4>
      </vt:variant>
      <vt:variant>
        <vt:i4>5</vt:i4>
      </vt:variant>
      <vt:variant>
        <vt:lpwstr/>
      </vt:variant>
      <vt:variant>
        <vt:lpwstr>_Toc108680387</vt:lpwstr>
      </vt:variant>
      <vt:variant>
        <vt:i4>1638450</vt:i4>
      </vt:variant>
      <vt:variant>
        <vt:i4>8</vt:i4>
      </vt:variant>
      <vt:variant>
        <vt:i4>0</vt:i4>
      </vt:variant>
      <vt:variant>
        <vt:i4>5</vt:i4>
      </vt:variant>
      <vt:variant>
        <vt:lpwstr/>
      </vt:variant>
      <vt:variant>
        <vt:lpwstr>_Toc108680386</vt:lpwstr>
      </vt:variant>
      <vt:variant>
        <vt:i4>1638450</vt:i4>
      </vt:variant>
      <vt:variant>
        <vt:i4>2</vt:i4>
      </vt:variant>
      <vt:variant>
        <vt:i4>0</vt:i4>
      </vt:variant>
      <vt:variant>
        <vt:i4>5</vt:i4>
      </vt:variant>
      <vt:variant>
        <vt:lpwstr/>
      </vt:variant>
      <vt:variant>
        <vt:lpwstr>_Toc108680385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4100A.02 Template Protocol, Effective Date 31-Jan-2022</dc:title>
  <dc:subject/>
  <dc:creator>cheryl.kelly@syneoshealth.com;dawn.maxemow@syneoshealth.com;barbara.jenkins@syneoshealth.com</dc:creator>
  <cp:keywords/>
  <dc:description>Filing requirement: TMF/PMF</dc:description>
  <cp:lastModifiedBy>加菲</cp:lastModifiedBy>
  <cp:revision>3</cp:revision>
  <cp:lastPrinted>2021-11-13T07:42:00Z</cp:lastPrinted>
  <dcterms:created xsi:type="dcterms:W3CDTF">2022-09-12T11:59:00Z</dcterms:created>
  <dcterms:modified xsi:type="dcterms:W3CDTF">2023-03-19T14:47:00Z</dcterms:modified>
  <cp:category/>
  <cp:contentStatus>Template Effective 31-Jan-2022</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0x010100191CFF3F05E4C244B04C08729606007E</vt:lpwstr>
  </property>
  <property fmtid="{D5CDD505-2E9C-101B-9397-08002B2CF9AE}" pid="4" name="MediaServiceImageTags">
    <vt:lpwstr/>
  </property>
</Properties>
</file>