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B103FD" w14:textId="1E447A80" w:rsidR="00E109DB" w:rsidRDefault="00E109DB" w:rsidP="00E109DB">
      <w:pPr>
        <w:spacing w:line="480" w:lineRule="auto"/>
        <w:jc w:val="both"/>
        <w:rPr>
          <w:rFonts w:ascii="Times Roman" w:hAnsi="Times Roman" w:cs="Calibri"/>
          <w:b/>
          <w:bCs/>
          <w:color w:val="000000"/>
        </w:rPr>
      </w:pPr>
      <w:bookmarkStart w:id="0" w:name="_GoBack"/>
      <w:r>
        <w:rPr>
          <w:rFonts w:ascii="Times Roman" w:hAnsi="Times Roman" w:cs="Calibri"/>
          <w:b/>
          <w:bCs/>
          <w:color w:val="000000"/>
        </w:rPr>
        <w:t>Table S</w:t>
      </w:r>
      <w:r w:rsidR="00516C4D">
        <w:rPr>
          <w:rFonts w:ascii="Times Roman" w:hAnsi="Times Roman" w:cs="Calibri"/>
          <w:b/>
          <w:bCs/>
          <w:color w:val="000000"/>
        </w:rPr>
        <w:t>10</w:t>
      </w:r>
      <w:r>
        <w:rPr>
          <w:rFonts w:ascii="Times Roman" w:hAnsi="Times Roman" w:cs="Calibri"/>
          <w:b/>
          <w:bCs/>
          <w:color w:val="000000"/>
        </w:rPr>
        <w:t xml:space="preserve"> - Mendelian randomization estimates for the effect of increased genetically predicted </w:t>
      </w:r>
      <w:r w:rsidR="000E0515">
        <w:rPr>
          <w:rFonts w:ascii="Times Roman" w:hAnsi="Times Roman" w:cs="Calibri"/>
          <w:b/>
          <w:bCs/>
          <w:color w:val="000000"/>
        </w:rPr>
        <w:t>TEK</w:t>
      </w:r>
      <w:r>
        <w:rPr>
          <w:rFonts w:ascii="Times Roman" w:hAnsi="Times Roman" w:cs="Calibri"/>
          <w:b/>
          <w:bCs/>
          <w:color w:val="000000"/>
        </w:rPr>
        <w:t xml:space="preserve"> signalling (</w:t>
      </w:r>
      <w:r w:rsidRPr="003762FB">
        <w:rPr>
          <w:rFonts w:ascii="Times Roman" w:hAnsi="Times Roman" w:cs="Calibri"/>
          <w:b/>
          <w:bCs/>
          <w:color w:val="000000"/>
        </w:rPr>
        <w:t xml:space="preserve">using Sun </w:t>
      </w:r>
      <w:r w:rsidRPr="003762FB">
        <w:rPr>
          <w:rFonts w:ascii="Times Roman" w:hAnsi="Times Roman" w:cs="Calibri"/>
          <w:b/>
          <w:bCs/>
          <w:i/>
          <w:iCs/>
          <w:color w:val="000000"/>
        </w:rPr>
        <w:t>et al.</w:t>
      </w:r>
      <w:r w:rsidRPr="003762FB">
        <w:rPr>
          <w:rFonts w:ascii="Times Roman" w:hAnsi="Times Roman" w:cs="Calibri"/>
          <w:b/>
          <w:bCs/>
          <w:color w:val="000000"/>
        </w:rPr>
        <w:t xml:space="preserve"> 2018 GWAS of plasma proteome (N = 3,301)</w:t>
      </w:r>
      <w:r>
        <w:rPr>
          <w:rFonts w:ascii="Times Roman" w:hAnsi="Times Roman" w:cs="Calibri"/>
          <w:b/>
          <w:bCs/>
          <w:color w:val="000000"/>
        </w:rPr>
        <w:t>)</w:t>
      </w:r>
      <w:r w:rsidRPr="002E3229">
        <w:rPr>
          <w:rFonts w:ascii="Times Roman" w:hAnsi="Times Roman" w:cs="Calibri"/>
          <w:b/>
          <w:bCs/>
          <w:color w:val="000000"/>
        </w:rPr>
        <w:t xml:space="preserve"> </w:t>
      </w:r>
      <w:r>
        <w:rPr>
          <w:rFonts w:ascii="Times Roman" w:hAnsi="Times Roman" w:cs="Calibri"/>
          <w:b/>
          <w:bCs/>
          <w:color w:val="000000"/>
        </w:rPr>
        <w:t>on IOP and POAG</w:t>
      </w:r>
    </w:p>
    <w:p w14:paraId="0BF2F74D" w14:textId="77777777" w:rsidR="00E109DB" w:rsidRPr="00B36A5D" w:rsidRDefault="00E109DB" w:rsidP="00E109DB">
      <w:pPr>
        <w:spacing w:line="480" w:lineRule="auto"/>
        <w:jc w:val="both"/>
        <w:rPr>
          <w:rFonts w:ascii="Times Roman" w:hAnsi="Times Roman" w:cs="Calibri"/>
          <w:b/>
          <w:bCs/>
          <w:color w:val="000000"/>
        </w:rPr>
      </w:pPr>
    </w:p>
    <w:tbl>
      <w:tblPr>
        <w:tblStyle w:val="PlainTable1"/>
        <w:tblW w:w="9776" w:type="dxa"/>
        <w:tblLook w:val="04A0" w:firstRow="1" w:lastRow="0" w:firstColumn="1" w:lastColumn="0" w:noHBand="0" w:noVBand="1"/>
      </w:tblPr>
      <w:tblGrid>
        <w:gridCol w:w="1696"/>
        <w:gridCol w:w="1134"/>
        <w:gridCol w:w="851"/>
        <w:gridCol w:w="2268"/>
        <w:gridCol w:w="2551"/>
        <w:gridCol w:w="1276"/>
      </w:tblGrid>
      <w:tr w:rsidR="000E0515" w:rsidRPr="000E0515" w14:paraId="7C4267CB" w14:textId="77777777" w:rsidTr="006B0700">
        <w:trPr>
          <w:cnfStyle w:val="100000000000" w:firstRow="1" w:lastRow="0" w:firstColumn="0" w:lastColumn="0" w:oddVBand="0" w:evenVBand="0" w:oddHBand="0"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696" w:type="dxa"/>
            <w:hideMark/>
          </w:tcPr>
          <w:p w14:paraId="0305F827" w14:textId="77777777" w:rsidR="000E0515" w:rsidRPr="000E0515" w:rsidRDefault="000E0515" w:rsidP="00893185">
            <w:pPr>
              <w:rPr>
                <w:rFonts w:ascii="Times" w:hAnsi="Times" w:cs="Calibri"/>
                <w:color w:val="000000"/>
                <w:sz w:val="22"/>
                <w:szCs w:val="22"/>
              </w:rPr>
            </w:pPr>
            <w:r w:rsidRPr="000E0515">
              <w:rPr>
                <w:rFonts w:ascii="Times" w:hAnsi="Times" w:cs="Calibri"/>
                <w:color w:val="000000"/>
                <w:sz w:val="22"/>
                <w:szCs w:val="22"/>
              </w:rPr>
              <w:t>P-value and LD clumping threshold</w:t>
            </w:r>
          </w:p>
        </w:tc>
        <w:tc>
          <w:tcPr>
            <w:tcW w:w="1134" w:type="dxa"/>
            <w:hideMark/>
          </w:tcPr>
          <w:p w14:paraId="170DA5F8" w14:textId="77777777" w:rsidR="000E0515" w:rsidRPr="000E0515" w:rsidRDefault="000E0515"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Outcome</w:t>
            </w:r>
          </w:p>
        </w:tc>
        <w:tc>
          <w:tcPr>
            <w:tcW w:w="851" w:type="dxa"/>
            <w:hideMark/>
          </w:tcPr>
          <w:p w14:paraId="01A4DE9C" w14:textId="77777777" w:rsidR="000E0515" w:rsidRPr="000E0515" w:rsidRDefault="000E0515"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No. of SNPs</w:t>
            </w:r>
          </w:p>
        </w:tc>
        <w:tc>
          <w:tcPr>
            <w:tcW w:w="2268" w:type="dxa"/>
            <w:hideMark/>
          </w:tcPr>
          <w:p w14:paraId="2CFCC40A" w14:textId="77777777" w:rsidR="000E0515" w:rsidRPr="000E0515" w:rsidRDefault="000E0515"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MR Method</w:t>
            </w:r>
          </w:p>
        </w:tc>
        <w:tc>
          <w:tcPr>
            <w:tcW w:w="2551" w:type="dxa"/>
            <w:hideMark/>
          </w:tcPr>
          <w:p w14:paraId="77F98467" w14:textId="77777777" w:rsidR="000E0515" w:rsidRPr="000E0515" w:rsidRDefault="000E0515"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Beta/OR (95% CI)</w:t>
            </w:r>
          </w:p>
        </w:tc>
        <w:tc>
          <w:tcPr>
            <w:tcW w:w="1276" w:type="dxa"/>
            <w:hideMark/>
          </w:tcPr>
          <w:p w14:paraId="3A5967C8" w14:textId="77777777" w:rsidR="000E0515" w:rsidRPr="000E0515" w:rsidRDefault="000E0515"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P-value</w:t>
            </w:r>
          </w:p>
        </w:tc>
      </w:tr>
      <w:tr w:rsidR="000E0515" w:rsidRPr="000E0515" w14:paraId="0171D5A4"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96" w:type="dxa"/>
            <w:hideMark/>
          </w:tcPr>
          <w:p w14:paraId="66476B21" w14:textId="77777777" w:rsidR="006B0700" w:rsidRDefault="000E0515" w:rsidP="006B0700">
            <w:pPr>
              <w:spacing w:line="360" w:lineRule="auto"/>
              <w:jc w:val="center"/>
              <w:rPr>
                <w:rFonts w:ascii="Times" w:hAnsi="Times" w:cs="Calibri"/>
                <w:b w:val="0"/>
                <w:bCs w:val="0"/>
                <w:color w:val="000000"/>
                <w:sz w:val="22"/>
                <w:szCs w:val="22"/>
              </w:rPr>
            </w:pPr>
            <w:r w:rsidRPr="000E0515">
              <w:rPr>
                <w:rFonts w:ascii="Times" w:hAnsi="Times" w:cs="Calibri"/>
                <w:color w:val="000000"/>
                <w:sz w:val="22"/>
                <w:szCs w:val="22"/>
              </w:rPr>
              <w:t xml:space="preserve">P &lt; 5e-8 &amp; </w:t>
            </w:r>
          </w:p>
          <w:p w14:paraId="1A94C5DE" w14:textId="7209351C" w:rsidR="000E0515" w:rsidRPr="000E0515" w:rsidRDefault="000E0515" w:rsidP="006B0700">
            <w:pPr>
              <w:spacing w:line="360" w:lineRule="auto"/>
              <w:jc w:val="center"/>
              <w:rPr>
                <w:rFonts w:ascii="Times" w:hAnsi="Times" w:cs="Calibri"/>
                <w:color w:val="000000"/>
                <w:sz w:val="22"/>
                <w:szCs w:val="22"/>
              </w:rPr>
            </w:pPr>
            <w:r w:rsidRPr="000E0515">
              <w:rPr>
                <w:rFonts w:ascii="Times" w:hAnsi="Times" w:cs="Calibri"/>
                <w:color w:val="000000"/>
                <w:sz w:val="22"/>
                <w:szCs w:val="22"/>
              </w:rPr>
              <w:t>r</w:t>
            </w:r>
            <w:r w:rsidRPr="000E0515">
              <w:rPr>
                <w:rFonts w:ascii="Times" w:hAnsi="Times" w:cs="Calibri"/>
                <w:color w:val="000000"/>
                <w:sz w:val="22"/>
                <w:szCs w:val="22"/>
                <w:vertAlign w:val="superscript"/>
              </w:rPr>
              <w:t>2</w:t>
            </w:r>
            <w:r w:rsidRPr="000E0515">
              <w:rPr>
                <w:rFonts w:ascii="Times" w:hAnsi="Times" w:cs="Calibri"/>
                <w:color w:val="000000"/>
                <w:sz w:val="22"/>
                <w:szCs w:val="22"/>
              </w:rPr>
              <w:t xml:space="preserve"> &lt; 0.1</w:t>
            </w:r>
          </w:p>
        </w:tc>
        <w:tc>
          <w:tcPr>
            <w:tcW w:w="1134" w:type="dxa"/>
            <w:hideMark/>
          </w:tcPr>
          <w:p w14:paraId="58779782" w14:textId="77777777" w:rsidR="000E0515" w:rsidRPr="000E0515" w:rsidRDefault="000E0515" w:rsidP="00893185">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IOP</w:t>
            </w:r>
          </w:p>
        </w:tc>
        <w:tc>
          <w:tcPr>
            <w:tcW w:w="851" w:type="dxa"/>
            <w:hideMark/>
          </w:tcPr>
          <w:p w14:paraId="7EFC4976" w14:textId="5655A2DE" w:rsidR="000E0515" w:rsidRPr="000E0515" w:rsidRDefault="000E0515" w:rsidP="00893185">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1</w:t>
            </w:r>
          </w:p>
        </w:tc>
        <w:tc>
          <w:tcPr>
            <w:tcW w:w="2268" w:type="dxa"/>
            <w:hideMark/>
          </w:tcPr>
          <w:p w14:paraId="2F9B4202" w14:textId="77777777" w:rsidR="000E0515" w:rsidRPr="000E0515" w:rsidRDefault="000E0515"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Wald estimate</w:t>
            </w:r>
          </w:p>
        </w:tc>
        <w:tc>
          <w:tcPr>
            <w:tcW w:w="2551" w:type="dxa"/>
            <w:hideMark/>
          </w:tcPr>
          <w:p w14:paraId="7240103A" w14:textId="394454A7" w:rsidR="000E0515" w:rsidRPr="000E0515" w:rsidRDefault="000E0515"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-0.13 (-0.24 to -0.03)</w:t>
            </w:r>
          </w:p>
        </w:tc>
        <w:tc>
          <w:tcPr>
            <w:tcW w:w="1276" w:type="dxa"/>
            <w:hideMark/>
          </w:tcPr>
          <w:p w14:paraId="1EBB888B" w14:textId="33BF4CC5" w:rsidR="000E0515" w:rsidRPr="000E0515" w:rsidRDefault="000E0515" w:rsidP="000E051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0.015</w:t>
            </w:r>
          </w:p>
        </w:tc>
      </w:tr>
      <w:tr w:rsidR="000E0515" w:rsidRPr="000E0515" w14:paraId="001567E6" w14:textId="77777777" w:rsidTr="006B0700">
        <w:trPr>
          <w:trHeight w:val="340"/>
        </w:trPr>
        <w:tc>
          <w:tcPr>
            <w:cnfStyle w:val="001000000000" w:firstRow="0" w:lastRow="0" w:firstColumn="1" w:lastColumn="0" w:oddVBand="0" w:evenVBand="0" w:oddHBand="0" w:evenHBand="0" w:firstRowFirstColumn="0" w:firstRowLastColumn="0" w:lastRowFirstColumn="0" w:lastRowLastColumn="0"/>
            <w:tcW w:w="1696" w:type="dxa"/>
            <w:hideMark/>
          </w:tcPr>
          <w:p w14:paraId="767D6325" w14:textId="77777777" w:rsidR="006B0700" w:rsidRDefault="000E0515" w:rsidP="006B0700">
            <w:pPr>
              <w:spacing w:line="360" w:lineRule="auto"/>
              <w:jc w:val="center"/>
              <w:rPr>
                <w:rFonts w:ascii="Times" w:hAnsi="Times" w:cs="Calibri"/>
                <w:b w:val="0"/>
                <w:bCs w:val="0"/>
                <w:color w:val="000000"/>
                <w:sz w:val="22"/>
                <w:szCs w:val="22"/>
              </w:rPr>
            </w:pPr>
            <w:r w:rsidRPr="000E0515">
              <w:rPr>
                <w:rFonts w:ascii="Times" w:hAnsi="Times" w:cs="Calibri"/>
                <w:color w:val="000000"/>
                <w:sz w:val="22"/>
                <w:szCs w:val="22"/>
              </w:rPr>
              <w:t xml:space="preserve">P &lt; 5e-8 &amp; </w:t>
            </w:r>
          </w:p>
          <w:p w14:paraId="071D9DB8" w14:textId="5CE5C9D9" w:rsidR="000E0515" w:rsidRPr="000E0515" w:rsidRDefault="000E0515" w:rsidP="006B0700">
            <w:pPr>
              <w:spacing w:line="360" w:lineRule="auto"/>
              <w:jc w:val="center"/>
              <w:rPr>
                <w:rFonts w:ascii="Times" w:hAnsi="Times" w:cs="Calibri"/>
                <w:color w:val="000000"/>
                <w:sz w:val="22"/>
                <w:szCs w:val="22"/>
              </w:rPr>
            </w:pPr>
            <w:r w:rsidRPr="000E0515">
              <w:rPr>
                <w:rFonts w:ascii="Times" w:hAnsi="Times" w:cs="Calibri"/>
                <w:color w:val="000000"/>
                <w:sz w:val="22"/>
                <w:szCs w:val="22"/>
              </w:rPr>
              <w:t>r</w:t>
            </w:r>
            <w:r w:rsidRPr="000E0515">
              <w:rPr>
                <w:rFonts w:ascii="Times" w:hAnsi="Times" w:cs="Calibri"/>
                <w:color w:val="000000"/>
                <w:sz w:val="22"/>
                <w:szCs w:val="22"/>
                <w:vertAlign w:val="superscript"/>
              </w:rPr>
              <w:t>2</w:t>
            </w:r>
            <w:r w:rsidRPr="000E0515">
              <w:rPr>
                <w:rFonts w:ascii="Times" w:hAnsi="Times" w:cs="Calibri"/>
                <w:color w:val="000000"/>
                <w:sz w:val="22"/>
                <w:szCs w:val="22"/>
              </w:rPr>
              <w:t xml:space="preserve"> &lt; 0.1</w:t>
            </w:r>
          </w:p>
        </w:tc>
        <w:tc>
          <w:tcPr>
            <w:tcW w:w="1134" w:type="dxa"/>
            <w:hideMark/>
          </w:tcPr>
          <w:p w14:paraId="1638449C" w14:textId="77777777" w:rsidR="000E0515" w:rsidRPr="000E0515" w:rsidRDefault="000E0515" w:rsidP="00893185">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POAG</w:t>
            </w:r>
          </w:p>
        </w:tc>
        <w:tc>
          <w:tcPr>
            <w:tcW w:w="851" w:type="dxa"/>
            <w:hideMark/>
          </w:tcPr>
          <w:p w14:paraId="07ACCC76" w14:textId="378BB2A5" w:rsidR="000E0515" w:rsidRPr="000E0515" w:rsidRDefault="000E0515" w:rsidP="00893185">
            <w:pPr>
              <w:jc w:val="cente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0E0515">
              <w:rPr>
                <w:rFonts w:ascii="Times" w:hAnsi="Times" w:cs="Calibri"/>
                <w:sz w:val="22"/>
                <w:szCs w:val="22"/>
              </w:rPr>
              <w:t>1</w:t>
            </w:r>
          </w:p>
        </w:tc>
        <w:tc>
          <w:tcPr>
            <w:tcW w:w="2268" w:type="dxa"/>
            <w:hideMark/>
          </w:tcPr>
          <w:p w14:paraId="0B2C740B" w14:textId="77777777" w:rsidR="000E0515" w:rsidRPr="000E0515" w:rsidRDefault="000E0515"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Wald estimate</w:t>
            </w:r>
          </w:p>
        </w:tc>
        <w:tc>
          <w:tcPr>
            <w:tcW w:w="2551" w:type="dxa"/>
            <w:hideMark/>
          </w:tcPr>
          <w:p w14:paraId="436C896C" w14:textId="49237F92" w:rsidR="000E0515" w:rsidRPr="000E0515" w:rsidRDefault="000E0515"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0.93 (0.83 to 1.03)</w:t>
            </w:r>
          </w:p>
        </w:tc>
        <w:tc>
          <w:tcPr>
            <w:tcW w:w="1276" w:type="dxa"/>
            <w:hideMark/>
          </w:tcPr>
          <w:p w14:paraId="72DE6D8B" w14:textId="2CEBBC19" w:rsidR="000E0515" w:rsidRPr="000E0515" w:rsidRDefault="000E0515" w:rsidP="000E051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E0515">
              <w:rPr>
                <w:rFonts w:ascii="Times" w:hAnsi="Times" w:cs="Calibri"/>
                <w:color w:val="000000"/>
                <w:sz w:val="22"/>
                <w:szCs w:val="22"/>
              </w:rPr>
              <w:t>0.1</w:t>
            </w:r>
            <w:r w:rsidR="000461DA">
              <w:rPr>
                <w:rFonts w:ascii="Times" w:hAnsi="Times" w:cs="Calibri"/>
                <w:color w:val="000000"/>
                <w:sz w:val="22"/>
                <w:szCs w:val="22"/>
              </w:rPr>
              <w:t>6</w:t>
            </w:r>
          </w:p>
          <w:p w14:paraId="35E0D801" w14:textId="77777777" w:rsidR="000E0515" w:rsidRPr="000E0515" w:rsidRDefault="000E0515" w:rsidP="000E0515">
            <w:pPr>
              <w:jc w:val="right"/>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r>
    </w:tbl>
    <w:p w14:paraId="503F8180" w14:textId="77777777" w:rsidR="00E109DB" w:rsidRDefault="00E109DB" w:rsidP="00E109DB">
      <w:pPr>
        <w:spacing w:line="480" w:lineRule="auto"/>
        <w:jc w:val="both"/>
        <w:rPr>
          <w:b/>
          <w:bCs/>
        </w:rPr>
      </w:pPr>
    </w:p>
    <w:p w14:paraId="2F57E604" w14:textId="58E7FFB6" w:rsidR="00E109DB" w:rsidRDefault="00E109DB" w:rsidP="00E109DB">
      <w:pPr>
        <w:spacing w:line="360" w:lineRule="auto"/>
        <w:jc w:val="both"/>
        <w:rPr>
          <w:rFonts w:ascii="Times" w:hAnsi="Times"/>
          <w:sz w:val="20"/>
          <w:szCs w:val="20"/>
        </w:rPr>
      </w:pPr>
      <w:r w:rsidRPr="009D7786">
        <w:rPr>
          <w:rFonts w:ascii="Times" w:hAnsi="Times"/>
          <w:sz w:val="20"/>
          <w:szCs w:val="20"/>
        </w:rPr>
        <w:t xml:space="preserve">MR effect estimates are scaled to a 1 standard deviation (SD) </w:t>
      </w:r>
      <w:r>
        <w:rPr>
          <w:rFonts w:ascii="Times" w:hAnsi="Times"/>
          <w:sz w:val="20"/>
          <w:szCs w:val="20"/>
        </w:rPr>
        <w:t>decrease</w:t>
      </w:r>
      <w:r w:rsidRPr="009D7786">
        <w:rPr>
          <w:rFonts w:ascii="Times" w:hAnsi="Times"/>
          <w:sz w:val="20"/>
          <w:szCs w:val="20"/>
        </w:rPr>
        <w:t xml:space="preserve"> in </w:t>
      </w:r>
      <w:r>
        <w:rPr>
          <w:rFonts w:ascii="Times" w:hAnsi="Times"/>
          <w:sz w:val="20"/>
          <w:szCs w:val="20"/>
        </w:rPr>
        <w:t>sTEK circulating protein</w:t>
      </w:r>
      <w:r w:rsidRPr="009D7786">
        <w:rPr>
          <w:rFonts w:ascii="Times" w:hAnsi="Times"/>
          <w:sz w:val="20"/>
          <w:szCs w:val="20"/>
        </w:rPr>
        <w:t xml:space="preserve">. </w:t>
      </w:r>
      <w:r>
        <w:rPr>
          <w:rFonts w:ascii="Times" w:hAnsi="Times"/>
          <w:sz w:val="20"/>
          <w:szCs w:val="20"/>
        </w:rPr>
        <w:t>Wald estimate b</w:t>
      </w:r>
      <w:r w:rsidRPr="009D7786">
        <w:rPr>
          <w:rFonts w:ascii="Times" w:hAnsi="Times"/>
          <w:sz w:val="20"/>
          <w:szCs w:val="20"/>
        </w:rPr>
        <w:t xml:space="preserve">eta (95% CI) is reported for IOP, and Odds Ratio (OR) (95% CI) is reported for POAG. </w:t>
      </w:r>
    </w:p>
    <w:p w14:paraId="461D97F6" w14:textId="77777777" w:rsidR="008E46DE" w:rsidRDefault="008E46DE" w:rsidP="00C96833">
      <w:pPr>
        <w:spacing w:line="480" w:lineRule="auto"/>
        <w:jc w:val="both"/>
        <w:rPr>
          <w:rFonts w:ascii="Times" w:eastAsiaTheme="minorHAnsi" w:hAnsi="Times" w:cs="AppleSystemUIFont"/>
          <w:sz w:val="20"/>
          <w:szCs w:val="20"/>
        </w:rPr>
      </w:pPr>
    </w:p>
    <w:p w14:paraId="0C0302F8" w14:textId="6A95A774" w:rsidR="002E3229" w:rsidRDefault="002E3229" w:rsidP="00C96833">
      <w:pPr>
        <w:spacing w:line="480" w:lineRule="auto"/>
        <w:jc w:val="both"/>
        <w:rPr>
          <w:rFonts w:ascii="Times" w:eastAsiaTheme="minorHAnsi" w:hAnsi="Times" w:cs="AppleSystemUIFont"/>
          <w:sz w:val="20"/>
          <w:szCs w:val="20"/>
        </w:rPr>
      </w:pPr>
    </w:p>
    <w:bookmarkEnd w:id="0"/>
    <w:p w14:paraId="2C35358A" w14:textId="77777777" w:rsidR="00156545" w:rsidRDefault="00156545" w:rsidP="00ED5798">
      <w:pPr>
        <w:spacing w:line="360" w:lineRule="auto"/>
      </w:pPr>
    </w:p>
    <w:sectPr w:rsidR="00156545" w:rsidSect="009F73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16C4D"/>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9F73D2"/>
    <w:rsid w:val="00A21D98"/>
    <w:rsid w:val="00A52152"/>
    <w:rsid w:val="00A65E7E"/>
    <w:rsid w:val="00A7394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A6F4EFD5-EDB0-4B9F-A4F2-77ED76E07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92</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2023-05-13T11:31:00Z</dcterms:created>
  <dcterms:modified xsi:type="dcterms:W3CDTF">2023-11-18T01:58:00Z</dcterms:modified>
</cp:coreProperties>
</file>