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0B7C51" w14:textId="461C18F1" w:rsidR="003A2DFB" w:rsidRPr="00EC79B3" w:rsidRDefault="003A2DFB" w:rsidP="003A2DFB">
      <w:pPr>
        <w:spacing w:line="480" w:lineRule="auto"/>
      </w:pPr>
      <w:r>
        <w:rPr>
          <w:rFonts w:ascii="Times" w:eastAsia="Calibri" w:hAnsi="Times"/>
          <w:b/>
          <w:bCs/>
          <w:szCs w:val="18"/>
        </w:rPr>
        <w:t xml:space="preserve">Table </w:t>
      </w:r>
      <w:r w:rsidR="00024469">
        <w:rPr>
          <w:rFonts w:ascii="Times" w:eastAsia="Calibri" w:hAnsi="Times"/>
          <w:b/>
          <w:bCs/>
          <w:szCs w:val="18"/>
        </w:rPr>
        <w:t>S</w:t>
      </w:r>
      <w:r>
        <w:rPr>
          <w:rFonts w:ascii="Times" w:eastAsia="Calibri" w:hAnsi="Times"/>
          <w:b/>
          <w:bCs/>
          <w:szCs w:val="18"/>
        </w:rPr>
        <w:t>1 – Summary of data sources used in the present study</w:t>
      </w:r>
    </w:p>
    <w:tbl>
      <w:tblPr>
        <w:tblpPr w:leftFromText="180" w:rightFromText="180" w:vertAnchor="text" w:horzAnchor="margin" w:tblpXSpec="center" w:tblpY="126"/>
        <w:tblW w:w="10476" w:type="dxa"/>
        <w:tblLayout w:type="fixed"/>
        <w:tblCellMar>
          <w:top w:w="15" w:type="dxa"/>
        </w:tblCellMar>
        <w:tblLook w:val="04A0" w:firstRow="1" w:lastRow="0" w:firstColumn="1" w:lastColumn="0" w:noHBand="0" w:noVBand="1"/>
      </w:tblPr>
      <w:tblGrid>
        <w:gridCol w:w="1124"/>
        <w:gridCol w:w="1276"/>
        <w:gridCol w:w="1134"/>
        <w:gridCol w:w="1418"/>
        <w:gridCol w:w="4536"/>
        <w:gridCol w:w="988"/>
      </w:tblGrid>
      <w:tr w:rsidR="003A2DFB" w:rsidRPr="005331D6" w14:paraId="66BDEA7A" w14:textId="77777777" w:rsidTr="003A2DFB">
        <w:trPr>
          <w:trHeight w:val="519"/>
        </w:trPr>
        <w:tc>
          <w:tcPr>
            <w:tcW w:w="1124" w:type="dxa"/>
            <w:tcBorders>
              <w:top w:val="single" w:sz="8" w:space="0" w:color="767171"/>
              <w:left w:val="single" w:sz="8" w:space="0" w:color="767171"/>
              <w:bottom w:val="single" w:sz="4" w:space="0" w:color="auto"/>
              <w:right w:val="single" w:sz="8" w:space="0" w:color="BFBFBF"/>
            </w:tcBorders>
            <w:shd w:val="clear" w:color="000000" w:fill="F2F2F2"/>
            <w:vAlign w:val="center"/>
            <w:hideMark/>
          </w:tcPr>
          <w:p w14:paraId="56AD06A4" w14:textId="77777777" w:rsidR="003A2DFB" w:rsidRPr="005331D6" w:rsidRDefault="003A2DFB" w:rsidP="00893185">
            <w:pPr>
              <w:rPr>
                <w:rFonts w:ascii="Times" w:hAnsi="Times" w:cs="Arial"/>
                <w:b/>
                <w:bCs/>
                <w:color w:val="000000"/>
                <w:sz w:val="20"/>
                <w:szCs w:val="20"/>
              </w:rPr>
            </w:pPr>
            <w:r>
              <w:rPr>
                <w:rFonts w:ascii="Times" w:hAnsi="Times" w:cs="Arial"/>
                <w:b/>
                <w:bCs/>
                <w:color w:val="000000"/>
                <w:sz w:val="20"/>
                <w:szCs w:val="20"/>
              </w:rPr>
              <w:t>Variable</w:t>
            </w:r>
          </w:p>
        </w:tc>
        <w:tc>
          <w:tcPr>
            <w:tcW w:w="1276" w:type="dxa"/>
            <w:tcBorders>
              <w:top w:val="single" w:sz="8" w:space="0" w:color="767171"/>
              <w:left w:val="single" w:sz="8" w:space="0" w:color="BFBFBF"/>
              <w:bottom w:val="single" w:sz="4" w:space="0" w:color="auto"/>
              <w:right w:val="single" w:sz="8" w:space="0" w:color="BFBFBF"/>
            </w:tcBorders>
            <w:shd w:val="clear" w:color="000000" w:fill="F2F2F2"/>
            <w:vAlign w:val="center"/>
            <w:hideMark/>
          </w:tcPr>
          <w:p w14:paraId="46E4ABE7" w14:textId="77777777" w:rsidR="003A2DFB" w:rsidRPr="005331D6" w:rsidRDefault="003A2DFB" w:rsidP="00893185">
            <w:pPr>
              <w:rPr>
                <w:rFonts w:ascii="Times" w:hAnsi="Times" w:cs="Arial"/>
                <w:b/>
                <w:bCs/>
                <w:color w:val="000000"/>
                <w:sz w:val="20"/>
                <w:szCs w:val="20"/>
              </w:rPr>
            </w:pPr>
            <w:r w:rsidRPr="005331D6">
              <w:rPr>
                <w:rFonts w:ascii="Times" w:hAnsi="Times" w:cs="Arial"/>
                <w:b/>
                <w:bCs/>
                <w:sz w:val="20"/>
                <w:szCs w:val="20"/>
              </w:rPr>
              <w:t>Study</w:t>
            </w:r>
          </w:p>
        </w:tc>
        <w:tc>
          <w:tcPr>
            <w:tcW w:w="1134" w:type="dxa"/>
            <w:tcBorders>
              <w:top w:val="single" w:sz="8" w:space="0" w:color="767171"/>
              <w:left w:val="single" w:sz="8" w:space="0" w:color="BFBFBF"/>
              <w:bottom w:val="single" w:sz="4" w:space="0" w:color="auto"/>
              <w:right w:val="single" w:sz="8" w:space="0" w:color="BFBFBF"/>
            </w:tcBorders>
            <w:shd w:val="clear" w:color="000000" w:fill="F2F2F2"/>
            <w:vAlign w:val="center"/>
            <w:hideMark/>
          </w:tcPr>
          <w:p w14:paraId="4DA38D17" w14:textId="77777777" w:rsidR="003A2DFB" w:rsidRPr="005331D6" w:rsidRDefault="003A2DFB" w:rsidP="00893185">
            <w:pPr>
              <w:rPr>
                <w:rFonts w:ascii="Times" w:hAnsi="Times" w:cs="Arial"/>
                <w:b/>
                <w:bCs/>
                <w:color w:val="000000"/>
                <w:sz w:val="20"/>
                <w:szCs w:val="20"/>
              </w:rPr>
            </w:pPr>
            <w:r w:rsidRPr="005331D6">
              <w:rPr>
                <w:rFonts w:ascii="Times" w:hAnsi="Times" w:cs="Arial"/>
                <w:b/>
                <w:bCs/>
                <w:sz w:val="20"/>
                <w:szCs w:val="20"/>
              </w:rPr>
              <w:t>Ancestry</w:t>
            </w:r>
          </w:p>
        </w:tc>
        <w:tc>
          <w:tcPr>
            <w:tcW w:w="1418" w:type="dxa"/>
            <w:tcBorders>
              <w:top w:val="single" w:sz="8" w:space="0" w:color="767171"/>
              <w:left w:val="single" w:sz="8" w:space="0" w:color="BFBFBF"/>
              <w:bottom w:val="single" w:sz="4" w:space="0" w:color="auto"/>
              <w:right w:val="single" w:sz="8" w:space="0" w:color="BFBFBF"/>
            </w:tcBorders>
            <w:shd w:val="clear" w:color="000000" w:fill="F2F2F2"/>
            <w:vAlign w:val="center"/>
            <w:hideMark/>
          </w:tcPr>
          <w:p w14:paraId="166892D6" w14:textId="77777777" w:rsidR="003A2DFB" w:rsidRPr="005331D6" w:rsidRDefault="003A2DFB" w:rsidP="00893185">
            <w:pPr>
              <w:spacing w:line="276" w:lineRule="auto"/>
              <w:rPr>
                <w:rFonts w:ascii="Times" w:hAnsi="Times" w:cs="Arial"/>
                <w:b/>
                <w:bCs/>
                <w:color w:val="000000"/>
                <w:sz w:val="20"/>
                <w:szCs w:val="20"/>
              </w:rPr>
            </w:pPr>
            <w:r w:rsidRPr="005331D6">
              <w:rPr>
                <w:rFonts w:ascii="Times" w:hAnsi="Times" w:cs="Arial"/>
                <w:b/>
                <w:bCs/>
                <w:sz w:val="20"/>
                <w:szCs w:val="20"/>
              </w:rPr>
              <w:t xml:space="preserve">N </w:t>
            </w:r>
            <w:r>
              <w:rPr>
                <w:rFonts w:ascii="Times" w:hAnsi="Times" w:cs="Arial"/>
                <w:b/>
                <w:bCs/>
                <w:sz w:val="20"/>
                <w:szCs w:val="20"/>
              </w:rPr>
              <w:t xml:space="preserve">individuals or N </w:t>
            </w:r>
            <w:r w:rsidRPr="005331D6">
              <w:rPr>
                <w:rFonts w:ascii="Times" w:hAnsi="Times" w:cs="Arial"/>
                <w:b/>
                <w:bCs/>
                <w:sz w:val="20"/>
                <w:szCs w:val="20"/>
              </w:rPr>
              <w:t>cases /</w:t>
            </w:r>
            <w:r>
              <w:rPr>
                <w:rFonts w:ascii="Times" w:hAnsi="Times" w:cs="Arial"/>
                <w:b/>
                <w:bCs/>
                <w:sz w:val="20"/>
                <w:szCs w:val="20"/>
              </w:rPr>
              <w:t xml:space="preserve"> </w:t>
            </w:r>
            <w:r w:rsidRPr="005331D6">
              <w:rPr>
                <w:rFonts w:ascii="Times" w:hAnsi="Times" w:cs="Arial"/>
                <w:b/>
                <w:bCs/>
                <w:sz w:val="20"/>
                <w:szCs w:val="20"/>
              </w:rPr>
              <w:t>controls</w:t>
            </w:r>
          </w:p>
        </w:tc>
        <w:tc>
          <w:tcPr>
            <w:tcW w:w="4536" w:type="dxa"/>
            <w:tcBorders>
              <w:top w:val="single" w:sz="8" w:space="0" w:color="767171"/>
              <w:left w:val="nil"/>
              <w:bottom w:val="single" w:sz="4" w:space="0" w:color="auto"/>
              <w:right w:val="single" w:sz="8" w:space="0" w:color="BFBFBF"/>
            </w:tcBorders>
            <w:shd w:val="clear" w:color="000000" w:fill="F2F2F2"/>
            <w:vAlign w:val="center"/>
            <w:hideMark/>
          </w:tcPr>
          <w:p w14:paraId="44D5C94C" w14:textId="77777777" w:rsidR="003A2DFB" w:rsidRPr="005331D6" w:rsidRDefault="003A2DFB" w:rsidP="00893185">
            <w:pPr>
              <w:spacing w:line="276" w:lineRule="auto"/>
              <w:rPr>
                <w:rFonts w:ascii="Times" w:hAnsi="Times" w:cs="Arial"/>
                <w:b/>
                <w:bCs/>
                <w:color w:val="000000"/>
                <w:sz w:val="20"/>
                <w:szCs w:val="20"/>
              </w:rPr>
            </w:pPr>
            <w:r>
              <w:rPr>
                <w:rFonts w:ascii="Times" w:hAnsi="Times" w:cs="Arial"/>
                <w:b/>
                <w:bCs/>
                <w:sz w:val="20"/>
                <w:szCs w:val="20"/>
              </w:rPr>
              <w:t>Case definition and ascertainment</w:t>
            </w:r>
          </w:p>
        </w:tc>
        <w:tc>
          <w:tcPr>
            <w:tcW w:w="988" w:type="dxa"/>
            <w:tcBorders>
              <w:top w:val="single" w:sz="8" w:space="0" w:color="767171"/>
              <w:left w:val="single" w:sz="8" w:space="0" w:color="BFBFBF"/>
              <w:bottom w:val="single" w:sz="4" w:space="0" w:color="auto"/>
              <w:right w:val="single" w:sz="8" w:space="0" w:color="767171"/>
            </w:tcBorders>
            <w:shd w:val="clear" w:color="000000" w:fill="F2F2F2"/>
            <w:vAlign w:val="center"/>
            <w:hideMark/>
          </w:tcPr>
          <w:p w14:paraId="5898533B" w14:textId="77777777" w:rsidR="003A2DFB" w:rsidRPr="005331D6" w:rsidRDefault="003A2DFB" w:rsidP="00893185">
            <w:pPr>
              <w:rPr>
                <w:rFonts w:ascii="Times" w:hAnsi="Times" w:cs="Arial"/>
                <w:b/>
                <w:bCs/>
                <w:color w:val="000000"/>
                <w:sz w:val="20"/>
                <w:szCs w:val="20"/>
              </w:rPr>
            </w:pPr>
            <w:r>
              <w:rPr>
                <w:rFonts w:ascii="Times" w:hAnsi="Times" w:cs="Arial"/>
                <w:b/>
                <w:bCs/>
                <w:sz w:val="20"/>
                <w:szCs w:val="20"/>
              </w:rPr>
              <w:t>PMID</w:t>
            </w:r>
          </w:p>
        </w:tc>
      </w:tr>
      <w:tr w:rsidR="003A2DFB" w:rsidRPr="005331D6" w14:paraId="6039CF29" w14:textId="77777777" w:rsidTr="003A2DFB">
        <w:trPr>
          <w:trHeight w:val="373"/>
        </w:trPr>
        <w:tc>
          <w:tcPr>
            <w:tcW w:w="1124" w:type="dxa"/>
            <w:tcBorders>
              <w:top w:val="single" w:sz="4" w:space="0" w:color="auto"/>
              <w:left w:val="single" w:sz="8" w:space="0" w:color="767171"/>
              <w:bottom w:val="single" w:sz="4" w:space="0" w:color="auto"/>
              <w:right w:val="single" w:sz="8" w:space="0" w:color="BFBFBF"/>
            </w:tcBorders>
            <w:shd w:val="clear" w:color="auto" w:fill="auto"/>
            <w:vAlign w:val="center"/>
            <w:hideMark/>
          </w:tcPr>
          <w:p w14:paraId="1ED947AD" w14:textId="77777777" w:rsidR="003A2DFB" w:rsidRDefault="003A2DFB" w:rsidP="00893185">
            <w:pPr>
              <w:rPr>
                <w:rFonts w:ascii="Times" w:hAnsi="Times" w:cs="Arial"/>
                <w:color w:val="000000"/>
                <w:sz w:val="20"/>
                <w:szCs w:val="20"/>
              </w:rPr>
            </w:pPr>
            <w:bookmarkStart w:id="0" w:name="_GoBack" w:colFirst="4" w:colLast="4"/>
          </w:p>
          <w:p w14:paraId="109F8D45" w14:textId="77777777" w:rsidR="003A2DFB" w:rsidRDefault="003A2DFB" w:rsidP="00893185">
            <w:pPr>
              <w:rPr>
                <w:rFonts w:ascii="Times" w:hAnsi="Times" w:cs="Arial"/>
                <w:color w:val="000000"/>
                <w:sz w:val="20"/>
                <w:szCs w:val="20"/>
              </w:rPr>
            </w:pPr>
            <w:r>
              <w:rPr>
                <w:rFonts w:ascii="Times" w:hAnsi="Times" w:cs="Arial"/>
                <w:color w:val="000000"/>
                <w:sz w:val="20"/>
                <w:szCs w:val="20"/>
              </w:rPr>
              <w:t>TIE1/ TEK signalling</w:t>
            </w:r>
          </w:p>
          <w:p w14:paraId="53FB463D" w14:textId="77777777" w:rsidR="003A2DFB" w:rsidRDefault="003A2DFB" w:rsidP="00893185">
            <w:pPr>
              <w:rPr>
                <w:rFonts w:ascii="Times" w:hAnsi="Times" w:cs="Arial"/>
                <w:color w:val="000000"/>
                <w:sz w:val="20"/>
                <w:szCs w:val="20"/>
              </w:rPr>
            </w:pPr>
          </w:p>
          <w:p w14:paraId="69C27883" w14:textId="77777777" w:rsidR="003A2DFB" w:rsidRPr="005331D6" w:rsidRDefault="003A2DFB" w:rsidP="00893185">
            <w:pPr>
              <w:rPr>
                <w:rFonts w:ascii="Times" w:hAnsi="Times" w:cs="Arial"/>
                <w:color w:val="000000"/>
                <w:sz w:val="20"/>
                <w:szCs w:val="20"/>
              </w:rPr>
            </w:pPr>
          </w:p>
        </w:tc>
        <w:tc>
          <w:tcPr>
            <w:tcW w:w="1276" w:type="dxa"/>
            <w:tcBorders>
              <w:top w:val="single" w:sz="4" w:space="0" w:color="auto"/>
              <w:left w:val="nil"/>
              <w:bottom w:val="single" w:sz="4" w:space="0" w:color="auto"/>
              <w:right w:val="single" w:sz="8" w:space="0" w:color="BFBFBF"/>
            </w:tcBorders>
            <w:shd w:val="clear" w:color="auto" w:fill="auto"/>
            <w:vAlign w:val="center"/>
            <w:hideMark/>
          </w:tcPr>
          <w:p w14:paraId="64961813" w14:textId="77777777" w:rsidR="003A2DFB" w:rsidRDefault="003A2DFB" w:rsidP="00893185">
            <w:pPr>
              <w:rPr>
                <w:rFonts w:ascii="Times" w:hAnsi="Times" w:cs="Arial"/>
                <w:color w:val="000000"/>
                <w:sz w:val="20"/>
                <w:szCs w:val="20"/>
              </w:rPr>
            </w:pPr>
          </w:p>
          <w:p w14:paraId="6D266C9D" w14:textId="4F621AC3" w:rsidR="003A2DFB" w:rsidRDefault="003A2DFB" w:rsidP="00893185">
            <w:pPr>
              <w:rPr>
                <w:rFonts w:ascii="Times" w:hAnsi="Times" w:cs="Arial"/>
                <w:color w:val="000000"/>
                <w:sz w:val="20"/>
                <w:szCs w:val="20"/>
              </w:rPr>
            </w:pPr>
            <w:r>
              <w:rPr>
                <w:rFonts w:ascii="Times" w:hAnsi="Times" w:cs="Arial"/>
                <w:color w:val="000000"/>
                <w:sz w:val="20"/>
                <w:szCs w:val="20"/>
              </w:rPr>
              <w:t xml:space="preserve">Ferkingstad </w:t>
            </w:r>
            <w:r w:rsidRPr="00B179D8">
              <w:rPr>
                <w:rFonts w:ascii="Times" w:hAnsi="Times" w:cs="Arial"/>
                <w:i/>
                <w:iCs/>
                <w:color w:val="000000"/>
                <w:sz w:val="20"/>
                <w:szCs w:val="20"/>
              </w:rPr>
              <w:t>et al.</w:t>
            </w:r>
            <w:r>
              <w:rPr>
                <w:rFonts w:ascii="Times" w:hAnsi="Times" w:cs="Arial"/>
                <w:color w:val="000000"/>
                <w:sz w:val="20"/>
                <w:szCs w:val="20"/>
              </w:rPr>
              <w:t xml:space="preserve"> 2021</w:t>
            </w:r>
            <w:sdt>
              <w:sdtPr>
                <w:rPr>
                  <w:rFonts w:ascii="Times" w:hAnsi="Times" w:cs="Arial"/>
                  <w:color w:val="000000"/>
                  <w:sz w:val="20"/>
                  <w:szCs w:val="20"/>
                </w:rPr>
                <w:id w:val="-40133491"/>
                <w:citation/>
              </w:sdtPr>
              <w:sdtEndPr/>
              <w:sdtContent>
                <w:r>
                  <w:rPr>
                    <w:rFonts w:ascii="Times" w:hAnsi="Times" w:cs="Arial"/>
                    <w:color w:val="000000"/>
                    <w:sz w:val="20"/>
                    <w:szCs w:val="20"/>
                  </w:rPr>
                  <w:fldChar w:fldCharType="begin"/>
                </w:r>
                <w:r>
                  <w:rPr>
                    <w:rFonts w:ascii="Times" w:hAnsi="Times" w:cs="Arial"/>
                    <w:color w:val="000000"/>
                    <w:sz w:val="20"/>
                    <w:szCs w:val="20"/>
                  </w:rPr>
                  <w:instrText xml:space="preserve"> CITATION Fer1 \l 2057 </w:instrText>
                </w:r>
                <w:r>
                  <w:rPr>
                    <w:rFonts w:ascii="Times" w:hAnsi="Times" w:cs="Arial"/>
                    <w:color w:val="000000"/>
                    <w:sz w:val="20"/>
                    <w:szCs w:val="20"/>
                  </w:rPr>
                  <w:fldChar w:fldCharType="separate"/>
                </w:r>
                <w:r w:rsidR="00DD5AF0">
                  <w:rPr>
                    <w:rFonts w:ascii="Times" w:hAnsi="Times" w:cs="Arial"/>
                    <w:noProof/>
                    <w:color w:val="000000"/>
                    <w:sz w:val="20"/>
                    <w:szCs w:val="20"/>
                  </w:rPr>
                  <w:t xml:space="preserve"> </w:t>
                </w:r>
                <w:r w:rsidR="00DD5AF0" w:rsidRPr="00DD5AF0">
                  <w:rPr>
                    <w:rFonts w:ascii="Times" w:hAnsi="Times" w:cs="Arial"/>
                    <w:noProof/>
                    <w:color w:val="000000"/>
                    <w:sz w:val="20"/>
                    <w:szCs w:val="20"/>
                  </w:rPr>
                  <w:t>[1]</w:t>
                </w:r>
                <w:r>
                  <w:rPr>
                    <w:rFonts w:ascii="Times" w:hAnsi="Times" w:cs="Arial"/>
                    <w:color w:val="000000"/>
                    <w:sz w:val="20"/>
                    <w:szCs w:val="20"/>
                  </w:rPr>
                  <w:fldChar w:fldCharType="end"/>
                </w:r>
              </w:sdtContent>
            </w:sdt>
          </w:p>
          <w:p w14:paraId="7621A976" w14:textId="77777777" w:rsidR="003A2DFB" w:rsidRDefault="003A2DFB" w:rsidP="00893185">
            <w:pPr>
              <w:rPr>
                <w:rFonts w:ascii="Times" w:hAnsi="Times" w:cs="Arial"/>
                <w:color w:val="000000"/>
                <w:sz w:val="20"/>
                <w:szCs w:val="20"/>
              </w:rPr>
            </w:pPr>
          </w:p>
          <w:p w14:paraId="046EF966" w14:textId="77777777" w:rsidR="003A2DFB" w:rsidRPr="005331D6" w:rsidRDefault="003A2DFB" w:rsidP="00893185">
            <w:pPr>
              <w:rPr>
                <w:rFonts w:ascii="Times" w:hAnsi="Times" w:cs="Arial"/>
                <w:color w:val="000000"/>
                <w:sz w:val="20"/>
                <w:szCs w:val="20"/>
              </w:rPr>
            </w:pPr>
          </w:p>
        </w:tc>
        <w:tc>
          <w:tcPr>
            <w:tcW w:w="1134" w:type="dxa"/>
            <w:tcBorders>
              <w:top w:val="single" w:sz="4" w:space="0" w:color="auto"/>
              <w:left w:val="nil"/>
              <w:bottom w:val="single" w:sz="4" w:space="0" w:color="auto"/>
              <w:right w:val="single" w:sz="8" w:space="0" w:color="BFBFBF"/>
            </w:tcBorders>
            <w:shd w:val="clear" w:color="auto" w:fill="auto"/>
            <w:vAlign w:val="center"/>
            <w:hideMark/>
          </w:tcPr>
          <w:p w14:paraId="30627654" w14:textId="77777777" w:rsidR="003A2DFB" w:rsidRPr="005331D6" w:rsidRDefault="003A2DFB" w:rsidP="00893185">
            <w:pPr>
              <w:rPr>
                <w:rFonts w:ascii="Times" w:hAnsi="Times" w:cs="Arial"/>
                <w:color w:val="000000"/>
                <w:sz w:val="20"/>
                <w:szCs w:val="20"/>
              </w:rPr>
            </w:pPr>
            <w:r>
              <w:rPr>
                <w:rFonts w:ascii="Times" w:hAnsi="Times" w:cs="Arial"/>
                <w:color w:val="000000"/>
                <w:sz w:val="20"/>
                <w:szCs w:val="20"/>
              </w:rPr>
              <w:t>EUR</w:t>
            </w:r>
          </w:p>
        </w:tc>
        <w:tc>
          <w:tcPr>
            <w:tcW w:w="1418" w:type="dxa"/>
            <w:tcBorders>
              <w:top w:val="single" w:sz="4" w:space="0" w:color="auto"/>
              <w:left w:val="nil"/>
              <w:bottom w:val="single" w:sz="4" w:space="0" w:color="auto"/>
              <w:right w:val="single" w:sz="8" w:space="0" w:color="BFBFBF"/>
            </w:tcBorders>
            <w:shd w:val="clear" w:color="auto" w:fill="auto"/>
            <w:vAlign w:val="center"/>
            <w:hideMark/>
          </w:tcPr>
          <w:p w14:paraId="4C6237CD" w14:textId="77777777" w:rsidR="003A2DFB" w:rsidRPr="005331D6" w:rsidRDefault="003A2DFB" w:rsidP="00893185">
            <w:pPr>
              <w:rPr>
                <w:rFonts w:ascii="Times" w:hAnsi="Times" w:cs="Arial"/>
                <w:color w:val="000000"/>
                <w:sz w:val="20"/>
                <w:szCs w:val="20"/>
              </w:rPr>
            </w:pPr>
            <w:r>
              <w:rPr>
                <w:rFonts w:ascii="Times" w:hAnsi="Times" w:cs="Arial"/>
                <w:color w:val="000000"/>
                <w:sz w:val="20"/>
                <w:szCs w:val="20"/>
              </w:rPr>
              <w:t>35,559</w:t>
            </w:r>
          </w:p>
        </w:tc>
        <w:tc>
          <w:tcPr>
            <w:tcW w:w="4536" w:type="dxa"/>
            <w:tcBorders>
              <w:top w:val="single" w:sz="4" w:space="0" w:color="auto"/>
              <w:left w:val="nil"/>
              <w:bottom w:val="single" w:sz="4" w:space="0" w:color="auto"/>
              <w:right w:val="single" w:sz="8" w:space="0" w:color="BFBFBF"/>
            </w:tcBorders>
            <w:shd w:val="clear" w:color="auto" w:fill="auto"/>
            <w:vAlign w:val="center"/>
            <w:hideMark/>
          </w:tcPr>
          <w:p w14:paraId="6F0391A8" w14:textId="77777777" w:rsidR="003A2DFB" w:rsidRDefault="003A2DFB" w:rsidP="00893185">
            <w:pPr>
              <w:rPr>
                <w:rFonts w:ascii="Times" w:hAnsi="Times" w:cs="Arial"/>
                <w:color w:val="000000"/>
                <w:sz w:val="20"/>
                <w:szCs w:val="20"/>
              </w:rPr>
            </w:pPr>
          </w:p>
          <w:p w14:paraId="76F7C03B" w14:textId="77777777" w:rsidR="003A2DFB" w:rsidRPr="00103FA5" w:rsidRDefault="003A2DFB" w:rsidP="00893185">
            <w:pPr>
              <w:spacing w:line="276" w:lineRule="auto"/>
              <w:rPr>
                <w:rFonts w:ascii="Times" w:hAnsi="Times" w:cs="Arial"/>
                <w:color w:val="000000"/>
                <w:sz w:val="20"/>
                <w:szCs w:val="20"/>
              </w:rPr>
            </w:pPr>
            <w:r>
              <w:rPr>
                <w:rFonts w:ascii="Times" w:hAnsi="Times" w:cs="Arial"/>
                <w:color w:val="000000"/>
                <w:sz w:val="20"/>
                <w:szCs w:val="20"/>
              </w:rPr>
              <w:t>Rank-based inverse</w:t>
            </w:r>
            <w:r w:rsidRPr="00103FA5">
              <w:rPr>
                <w:rFonts w:ascii="Times" w:hAnsi="Times" w:cs="Arial"/>
                <w:color w:val="000000"/>
                <w:sz w:val="20"/>
                <w:szCs w:val="20"/>
              </w:rPr>
              <w:t xml:space="preserve"> normalised serum levels</w:t>
            </w:r>
            <w:r>
              <w:rPr>
                <w:rFonts w:ascii="Times" w:hAnsi="Times" w:cs="Arial"/>
                <w:color w:val="000000"/>
                <w:sz w:val="20"/>
                <w:szCs w:val="20"/>
              </w:rPr>
              <w:t xml:space="preserve"> of circulating sTIE1 and sTEK adjusted for age, sex, and sample age.</w:t>
            </w:r>
          </w:p>
          <w:p w14:paraId="19968E59" w14:textId="77777777" w:rsidR="003A2DFB" w:rsidRDefault="003A2DFB" w:rsidP="00893185">
            <w:pPr>
              <w:spacing w:line="276" w:lineRule="auto"/>
              <w:rPr>
                <w:rFonts w:ascii="Times" w:hAnsi="Times" w:cs="Arial"/>
                <w:color w:val="000000"/>
                <w:sz w:val="20"/>
                <w:szCs w:val="20"/>
              </w:rPr>
            </w:pPr>
          </w:p>
          <w:p w14:paraId="3FDFAA00" w14:textId="77777777" w:rsidR="003A2DFB" w:rsidRPr="0095698F" w:rsidRDefault="003A2DFB" w:rsidP="00893185">
            <w:pPr>
              <w:spacing w:line="276" w:lineRule="auto"/>
              <w:rPr>
                <w:rFonts w:ascii="Times" w:hAnsi="Times"/>
                <w:sz w:val="20"/>
                <w:szCs w:val="20"/>
              </w:rPr>
            </w:pPr>
            <w:r>
              <w:rPr>
                <w:rFonts w:ascii="Times" w:hAnsi="Times"/>
                <w:sz w:val="20"/>
                <w:szCs w:val="20"/>
              </w:rPr>
              <w:t>Plasma protein levels were m</w:t>
            </w:r>
            <w:r w:rsidRPr="00C62CCB">
              <w:rPr>
                <w:rFonts w:ascii="Times" w:hAnsi="Times"/>
                <w:sz w:val="20"/>
                <w:szCs w:val="20"/>
              </w:rPr>
              <w:t xml:space="preserve">easured with the SomaScan version 4 assay (SomaLogic), which contains aptamers providing measurement of relative binding of the plasma sample to each of the aptamers in relative fluorescence units. </w:t>
            </w:r>
          </w:p>
          <w:p w14:paraId="02898849" w14:textId="77777777" w:rsidR="003A2DFB" w:rsidRPr="00103FA5" w:rsidRDefault="003A2DFB" w:rsidP="00893185">
            <w:pPr>
              <w:rPr>
                <w:rFonts w:ascii="Times" w:hAnsi="Times" w:cs="Arial"/>
                <w:color w:val="000000"/>
                <w:sz w:val="20"/>
                <w:szCs w:val="20"/>
              </w:rPr>
            </w:pPr>
          </w:p>
          <w:p w14:paraId="713E1A87" w14:textId="77777777" w:rsidR="003A2DFB" w:rsidRPr="005331D6" w:rsidRDefault="003A2DFB" w:rsidP="00893185">
            <w:pPr>
              <w:rPr>
                <w:rFonts w:ascii="Times" w:hAnsi="Times" w:cs="Arial"/>
                <w:color w:val="000000"/>
                <w:sz w:val="20"/>
                <w:szCs w:val="20"/>
              </w:rPr>
            </w:pPr>
          </w:p>
        </w:tc>
        <w:tc>
          <w:tcPr>
            <w:tcW w:w="988" w:type="dxa"/>
            <w:tcBorders>
              <w:top w:val="single" w:sz="4" w:space="0" w:color="auto"/>
              <w:left w:val="nil"/>
              <w:bottom w:val="single" w:sz="4" w:space="0" w:color="auto"/>
              <w:right w:val="single" w:sz="8" w:space="0" w:color="767171"/>
            </w:tcBorders>
            <w:shd w:val="clear" w:color="auto" w:fill="auto"/>
            <w:vAlign w:val="center"/>
            <w:hideMark/>
          </w:tcPr>
          <w:p w14:paraId="768CAE38" w14:textId="77777777" w:rsidR="003A2DFB" w:rsidRPr="007D5404" w:rsidRDefault="003A2DFB" w:rsidP="00893185">
            <w:pPr>
              <w:shd w:val="clear" w:color="auto" w:fill="FFFFFF"/>
              <w:spacing w:before="100" w:beforeAutospacing="1" w:after="100" w:afterAutospacing="1"/>
              <w:rPr>
                <w:rFonts w:ascii="Times" w:hAnsi="Times" w:cs="Segoe UI"/>
                <w:sz w:val="18"/>
                <w:szCs w:val="18"/>
              </w:rPr>
            </w:pPr>
            <w:r w:rsidRPr="007D5404">
              <w:rPr>
                <w:rStyle w:val="Strong"/>
                <w:rFonts w:ascii="Times" w:hAnsi="Times" w:cs="Segoe UI"/>
                <w:sz w:val="18"/>
                <w:szCs w:val="18"/>
              </w:rPr>
              <w:t>34857953</w:t>
            </w:r>
          </w:p>
          <w:p w14:paraId="0E0490F5" w14:textId="77777777" w:rsidR="003A2DFB" w:rsidRPr="005331D6" w:rsidRDefault="003A2DFB" w:rsidP="00893185">
            <w:pPr>
              <w:rPr>
                <w:rFonts w:ascii="Times" w:hAnsi="Times" w:cs="Arial"/>
                <w:color w:val="000000"/>
                <w:sz w:val="20"/>
                <w:szCs w:val="20"/>
              </w:rPr>
            </w:pPr>
          </w:p>
        </w:tc>
      </w:tr>
      <w:bookmarkEnd w:id="0"/>
      <w:tr w:rsidR="003A2DFB" w:rsidRPr="005331D6" w14:paraId="5C625D80" w14:textId="77777777" w:rsidTr="003A2DFB">
        <w:trPr>
          <w:trHeight w:val="515"/>
        </w:trPr>
        <w:tc>
          <w:tcPr>
            <w:tcW w:w="1124" w:type="dxa"/>
            <w:tcBorders>
              <w:top w:val="single" w:sz="4" w:space="0" w:color="auto"/>
              <w:left w:val="single" w:sz="8" w:space="0" w:color="767171"/>
              <w:bottom w:val="single" w:sz="8" w:space="0" w:color="BFBFBF"/>
              <w:right w:val="single" w:sz="8" w:space="0" w:color="BFBFBF"/>
            </w:tcBorders>
            <w:shd w:val="clear" w:color="auto" w:fill="auto"/>
            <w:vAlign w:val="center"/>
            <w:hideMark/>
          </w:tcPr>
          <w:p w14:paraId="24CD2EAA" w14:textId="77777777" w:rsidR="003A2DFB" w:rsidRPr="005331D6" w:rsidRDefault="003A2DFB" w:rsidP="00893185">
            <w:pPr>
              <w:rPr>
                <w:rFonts w:ascii="Times" w:hAnsi="Times" w:cs="Arial"/>
                <w:color w:val="000000"/>
                <w:sz w:val="20"/>
                <w:szCs w:val="20"/>
              </w:rPr>
            </w:pPr>
            <w:r>
              <w:rPr>
                <w:rFonts w:ascii="Times" w:hAnsi="Times" w:cs="Arial"/>
                <w:color w:val="000000"/>
                <w:sz w:val="20"/>
                <w:szCs w:val="20"/>
              </w:rPr>
              <w:t>Intraocular pressure (IOP)</w:t>
            </w:r>
          </w:p>
        </w:tc>
        <w:tc>
          <w:tcPr>
            <w:tcW w:w="1276" w:type="dxa"/>
            <w:tcBorders>
              <w:top w:val="single" w:sz="4" w:space="0" w:color="auto"/>
              <w:left w:val="single" w:sz="8" w:space="0" w:color="BFBFBF"/>
              <w:bottom w:val="single" w:sz="8" w:space="0" w:color="BFBFBF"/>
              <w:right w:val="single" w:sz="8" w:space="0" w:color="BFBFBF"/>
            </w:tcBorders>
            <w:shd w:val="clear" w:color="auto" w:fill="auto"/>
            <w:vAlign w:val="center"/>
            <w:hideMark/>
          </w:tcPr>
          <w:p w14:paraId="6E83F045" w14:textId="77777777" w:rsidR="003A2DFB" w:rsidRDefault="003A2DFB" w:rsidP="00893185">
            <w:pPr>
              <w:rPr>
                <w:rFonts w:ascii="Times" w:hAnsi="Times" w:cs="Arial"/>
                <w:color w:val="000000"/>
                <w:sz w:val="20"/>
                <w:szCs w:val="20"/>
              </w:rPr>
            </w:pPr>
          </w:p>
          <w:p w14:paraId="56A56FF7" w14:textId="6DC99066" w:rsidR="003A2DFB" w:rsidRDefault="003A2DFB" w:rsidP="00893185">
            <w:pPr>
              <w:rPr>
                <w:rFonts w:ascii="Times" w:hAnsi="Times" w:cs="Arial"/>
                <w:color w:val="000000"/>
                <w:sz w:val="20"/>
                <w:szCs w:val="20"/>
              </w:rPr>
            </w:pPr>
            <w:r>
              <w:rPr>
                <w:rFonts w:ascii="Times" w:hAnsi="Times" w:cs="Arial"/>
                <w:color w:val="000000"/>
                <w:sz w:val="20"/>
                <w:szCs w:val="20"/>
              </w:rPr>
              <w:t xml:space="preserve">Khawaja </w:t>
            </w:r>
            <w:r w:rsidRPr="00BE0F01">
              <w:rPr>
                <w:rFonts w:ascii="Times" w:hAnsi="Times" w:cs="Arial"/>
                <w:i/>
                <w:iCs/>
                <w:color w:val="000000"/>
                <w:sz w:val="20"/>
                <w:szCs w:val="20"/>
              </w:rPr>
              <w:t>et al.</w:t>
            </w:r>
            <w:r>
              <w:rPr>
                <w:rFonts w:ascii="Times" w:hAnsi="Times" w:cs="Arial"/>
                <w:color w:val="000000"/>
                <w:sz w:val="20"/>
                <w:szCs w:val="20"/>
              </w:rPr>
              <w:t xml:space="preserve"> 2018</w:t>
            </w:r>
            <w:sdt>
              <w:sdtPr>
                <w:rPr>
                  <w:rFonts w:ascii="Times" w:hAnsi="Times" w:cs="Arial"/>
                  <w:color w:val="000000"/>
                  <w:sz w:val="20"/>
                  <w:szCs w:val="20"/>
                </w:rPr>
                <w:id w:val="1502854806"/>
                <w:citation/>
              </w:sdtPr>
              <w:sdtEndPr/>
              <w:sdtContent>
                <w:r>
                  <w:rPr>
                    <w:rFonts w:ascii="Times" w:hAnsi="Times" w:cs="Arial"/>
                    <w:color w:val="000000"/>
                    <w:sz w:val="20"/>
                    <w:szCs w:val="20"/>
                  </w:rPr>
                  <w:fldChar w:fldCharType="begin"/>
                </w:r>
                <w:r>
                  <w:rPr>
                    <w:rFonts w:ascii="Times" w:hAnsi="Times" w:cs="Arial"/>
                    <w:color w:val="000000"/>
                    <w:sz w:val="20"/>
                    <w:szCs w:val="20"/>
                  </w:rPr>
                  <w:instrText xml:space="preserve"> CITATION Kha \l 2057 </w:instrText>
                </w:r>
                <w:r>
                  <w:rPr>
                    <w:rFonts w:ascii="Times" w:hAnsi="Times" w:cs="Arial"/>
                    <w:color w:val="000000"/>
                    <w:sz w:val="20"/>
                    <w:szCs w:val="20"/>
                  </w:rPr>
                  <w:fldChar w:fldCharType="separate"/>
                </w:r>
                <w:r w:rsidR="00DD5AF0">
                  <w:rPr>
                    <w:rFonts w:ascii="Times" w:hAnsi="Times" w:cs="Arial"/>
                    <w:noProof/>
                    <w:color w:val="000000"/>
                    <w:sz w:val="20"/>
                    <w:szCs w:val="20"/>
                  </w:rPr>
                  <w:t xml:space="preserve"> </w:t>
                </w:r>
                <w:r w:rsidR="00DD5AF0" w:rsidRPr="00DD5AF0">
                  <w:rPr>
                    <w:rFonts w:ascii="Times" w:hAnsi="Times" w:cs="Arial"/>
                    <w:noProof/>
                    <w:color w:val="000000"/>
                    <w:sz w:val="20"/>
                    <w:szCs w:val="20"/>
                  </w:rPr>
                  <w:t>[2]</w:t>
                </w:r>
                <w:r>
                  <w:rPr>
                    <w:rFonts w:ascii="Times" w:hAnsi="Times" w:cs="Arial"/>
                    <w:color w:val="000000"/>
                    <w:sz w:val="20"/>
                    <w:szCs w:val="20"/>
                  </w:rPr>
                  <w:fldChar w:fldCharType="end"/>
                </w:r>
              </w:sdtContent>
            </w:sdt>
          </w:p>
          <w:p w14:paraId="23C53BF6" w14:textId="77777777" w:rsidR="003A2DFB" w:rsidRDefault="003A2DFB" w:rsidP="00893185">
            <w:pPr>
              <w:rPr>
                <w:rFonts w:ascii="Times" w:hAnsi="Times" w:cs="Arial"/>
                <w:color w:val="000000"/>
                <w:sz w:val="20"/>
                <w:szCs w:val="20"/>
              </w:rPr>
            </w:pPr>
          </w:p>
          <w:p w14:paraId="609A0F0D" w14:textId="77777777" w:rsidR="003A2DFB" w:rsidRPr="005331D6" w:rsidRDefault="003A2DFB" w:rsidP="00893185">
            <w:pPr>
              <w:rPr>
                <w:rFonts w:ascii="Times" w:hAnsi="Times" w:cs="Arial"/>
                <w:color w:val="000000"/>
                <w:sz w:val="20"/>
                <w:szCs w:val="20"/>
              </w:rPr>
            </w:pPr>
          </w:p>
        </w:tc>
        <w:tc>
          <w:tcPr>
            <w:tcW w:w="1134" w:type="dxa"/>
            <w:tcBorders>
              <w:top w:val="single" w:sz="4" w:space="0" w:color="auto"/>
              <w:left w:val="nil"/>
              <w:bottom w:val="single" w:sz="4" w:space="0" w:color="BFBFBF"/>
              <w:right w:val="single" w:sz="4" w:space="0" w:color="BFBFBF"/>
            </w:tcBorders>
            <w:shd w:val="clear" w:color="auto" w:fill="auto"/>
            <w:vAlign w:val="center"/>
            <w:hideMark/>
          </w:tcPr>
          <w:p w14:paraId="114058E4" w14:textId="77777777" w:rsidR="003A2DFB" w:rsidRPr="005331D6" w:rsidRDefault="003A2DFB" w:rsidP="00893185">
            <w:pPr>
              <w:rPr>
                <w:rFonts w:ascii="Times" w:hAnsi="Times" w:cs="Arial"/>
                <w:color w:val="000000"/>
                <w:sz w:val="20"/>
                <w:szCs w:val="20"/>
              </w:rPr>
            </w:pPr>
            <w:r>
              <w:rPr>
                <w:rFonts w:ascii="Times" w:hAnsi="Times" w:cs="Arial"/>
                <w:color w:val="000000"/>
                <w:sz w:val="20"/>
                <w:szCs w:val="20"/>
              </w:rPr>
              <w:t>EUR</w:t>
            </w:r>
          </w:p>
        </w:tc>
        <w:tc>
          <w:tcPr>
            <w:tcW w:w="1418" w:type="dxa"/>
            <w:tcBorders>
              <w:top w:val="single" w:sz="4" w:space="0" w:color="auto"/>
              <w:left w:val="single" w:sz="4" w:space="0" w:color="BFBFBF"/>
              <w:bottom w:val="single" w:sz="8" w:space="0" w:color="BFBFBF"/>
              <w:right w:val="single" w:sz="8" w:space="0" w:color="BFBFBF"/>
            </w:tcBorders>
            <w:shd w:val="clear" w:color="auto" w:fill="auto"/>
            <w:vAlign w:val="center"/>
            <w:hideMark/>
          </w:tcPr>
          <w:p w14:paraId="6C9EDD45" w14:textId="77777777" w:rsidR="003A2DFB" w:rsidRPr="005331D6" w:rsidRDefault="003A2DFB" w:rsidP="00893185">
            <w:pPr>
              <w:rPr>
                <w:rFonts w:ascii="Times" w:hAnsi="Times" w:cs="Arial"/>
                <w:color w:val="212529"/>
                <w:sz w:val="20"/>
                <w:szCs w:val="20"/>
              </w:rPr>
            </w:pPr>
            <w:r>
              <w:rPr>
                <w:rFonts w:ascii="Times" w:hAnsi="Times" w:cs="Arial"/>
                <w:color w:val="000000"/>
                <w:sz w:val="20"/>
                <w:szCs w:val="20"/>
              </w:rPr>
              <w:t>139,555</w:t>
            </w:r>
          </w:p>
        </w:tc>
        <w:tc>
          <w:tcPr>
            <w:tcW w:w="4536" w:type="dxa"/>
            <w:tcBorders>
              <w:top w:val="single" w:sz="4" w:space="0" w:color="auto"/>
              <w:left w:val="single" w:sz="8" w:space="0" w:color="BFBFBF"/>
              <w:bottom w:val="single" w:sz="8" w:space="0" w:color="BFBFBF"/>
              <w:right w:val="single" w:sz="8" w:space="0" w:color="BFBFBF"/>
            </w:tcBorders>
            <w:shd w:val="clear" w:color="auto" w:fill="auto"/>
            <w:vAlign w:val="center"/>
            <w:hideMark/>
          </w:tcPr>
          <w:p w14:paraId="259B93FB" w14:textId="77777777" w:rsidR="003A2DFB" w:rsidRDefault="003A2DFB" w:rsidP="00893185">
            <w:pPr>
              <w:spacing w:line="276" w:lineRule="auto"/>
              <w:rPr>
                <w:rFonts w:ascii="Times" w:hAnsi="Times" w:cs="Arial"/>
                <w:color w:val="212529"/>
                <w:sz w:val="20"/>
                <w:szCs w:val="20"/>
              </w:rPr>
            </w:pPr>
          </w:p>
          <w:p w14:paraId="5C88DE05" w14:textId="77777777" w:rsidR="003A2DFB" w:rsidRDefault="003A2DFB" w:rsidP="00893185">
            <w:pPr>
              <w:spacing w:line="276" w:lineRule="auto"/>
              <w:rPr>
                <w:rFonts w:ascii="Times" w:hAnsi="Times" w:cs="Arial"/>
                <w:color w:val="212529"/>
                <w:sz w:val="20"/>
                <w:szCs w:val="20"/>
              </w:rPr>
            </w:pPr>
            <w:r>
              <w:rPr>
                <w:rFonts w:ascii="Times" w:hAnsi="Times" w:cs="Arial"/>
                <w:color w:val="212529"/>
                <w:sz w:val="20"/>
                <w:szCs w:val="20"/>
              </w:rPr>
              <w:t>UK Biobank: IOP was measured once in each eye using the Ocular Response Analyzer (ORA, Reichert Inc.), a non-contact tonometer that measures the pressure on corneal flattening on both inward and outward motions, in response to a jet of air. These pressures were used to derive a Goldmann-correlated IOP (IOPg) and then corneal-compensated IOP (IOPcc), a measure of IOP least affected by corneal biomechanical properties.</w:t>
            </w:r>
          </w:p>
          <w:p w14:paraId="09BA5DDB" w14:textId="77777777" w:rsidR="003A2DFB" w:rsidRDefault="003A2DFB" w:rsidP="00893185">
            <w:pPr>
              <w:spacing w:line="276" w:lineRule="auto"/>
              <w:rPr>
                <w:rFonts w:ascii="Times" w:hAnsi="Times" w:cs="Arial"/>
                <w:color w:val="212529"/>
                <w:sz w:val="20"/>
                <w:szCs w:val="20"/>
              </w:rPr>
            </w:pPr>
          </w:p>
          <w:p w14:paraId="4DAF4D96" w14:textId="77777777" w:rsidR="003A2DFB" w:rsidRDefault="003A2DFB" w:rsidP="00893185">
            <w:pPr>
              <w:spacing w:line="276" w:lineRule="auto"/>
              <w:rPr>
                <w:rFonts w:ascii="Times" w:hAnsi="Times" w:cs="Arial"/>
                <w:color w:val="212529"/>
                <w:sz w:val="20"/>
                <w:szCs w:val="20"/>
              </w:rPr>
            </w:pPr>
            <w:r>
              <w:rPr>
                <w:rFonts w:ascii="Times" w:hAnsi="Times" w:cs="Arial"/>
                <w:color w:val="212529"/>
                <w:sz w:val="20"/>
                <w:szCs w:val="20"/>
              </w:rPr>
              <w:t>EPIC Norfolk Eye Study: IOPcc was calculated as above for &gt;94% participants.</w:t>
            </w:r>
          </w:p>
          <w:p w14:paraId="594041B7" w14:textId="77777777" w:rsidR="003A2DFB" w:rsidRDefault="003A2DFB" w:rsidP="00893185">
            <w:pPr>
              <w:spacing w:line="276" w:lineRule="auto"/>
              <w:rPr>
                <w:rFonts w:ascii="Times" w:hAnsi="Times" w:cs="Arial"/>
                <w:color w:val="212529"/>
                <w:sz w:val="20"/>
                <w:szCs w:val="20"/>
              </w:rPr>
            </w:pPr>
          </w:p>
          <w:p w14:paraId="1125FB99" w14:textId="77777777" w:rsidR="003A2DFB" w:rsidRDefault="003A2DFB" w:rsidP="00893185">
            <w:pPr>
              <w:spacing w:line="276" w:lineRule="auto"/>
              <w:rPr>
                <w:rFonts w:ascii="Times" w:hAnsi="Times" w:cs="Arial"/>
                <w:color w:val="212529"/>
                <w:sz w:val="20"/>
                <w:szCs w:val="20"/>
              </w:rPr>
            </w:pPr>
            <w:r>
              <w:rPr>
                <w:rFonts w:ascii="Times" w:hAnsi="Times" w:cs="Arial"/>
                <w:color w:val="212529"/>
                <w:sz w:val="20"/>
                <w:szCs w:val="20"/>
              </w:rPr>
              <w:t xml:space="preserve">IGGC: Goldmann applanation tonometry was the most common method of IOP measurement but approaches varied across the different individual studies. IOP was not corneal-corrected in all participating studies. Details can be found in the Supplementary Methods in Springelkamp </w:t>
            </w:r>
            <w:r w:rsidRPr="004E0018">
              <w:rPr>
                <w:rFonts w:ascii="Times" w:hAnsi="Times" w:cs="Arial"/>
                <w:i/>
                <w:iCs/>
                <w:color w:val="212529"/>
                <w:sz w:val="20"/>
                <w:szCs w:val="20"/>
              </w:rPr>
              <w:t xml:space="preserve">et al. </w:t>
            </w:r>
            <w:r w:rsidRPr="007D5404">
              <w:rPr>
                <w:rFonts w:ascii="Times" w:hAnsi="Times" w:cs="Arial"/>
                <w:color w:val="212529"/>
                <w:sz w:val="20"/>
                <w:szCs w:val="20"/>
              </w:rPr>
              <w:t>2017</w:t>
            </w:r>
            <w:r>
              <w:rPr>
                <w:rFonts w:ascii="Times" w:hAnsi="Times" w:cs="Arial"/>
                <w:color w:val="212529"/>
                <w:sz w:val="20"/>
                <w:szCs w:val="20"/>
              </w:rPr>
              <w:t>.</w:t>
            </w:r>
          </w:p>
          <w:p w14:paraId="7931E88E" w14:textId="77777777" w:rsidR="003A2DFB" w:rsidRDefault="003A2DFB" w:rsidP="00893185">
            <w:pPr>
              <w:spacing w:line="276" w:lineRule="auto"/>
              <w:rPr>
                <w:rFonts w:ascii="Times" w:hAnsi="Times" w:cs="Arial"/>
                <w:color w:val="212529"/>
                <w:sz w:val="20"/>
                <w:szCs w:val="20"/>
              </w:rPr>
            </w:pPr>
          </w:p>
          <w:p w14:paraId="0AB396D6" w14:textId="77777777" w:rsidR="003A2DFB" w:rsidRDefault="003A2DFB" w:rsidP="00893185">
            <w:pPr>
              <w:spacing w:line="276" w:lineRule="auto"/>
              <w:rPr>
                <w:rFonts w:ascii="Times" w:hAnsi="Times" w:cs="Arial"/>
                <w:color w:val="212529"/>
                <w:sz w:val="20"/>
                <w:szCs w:val="20"/>
              </w:rPr>
            </w:pPr>
            <w:r>
              <w:rPr>
                <w:rFonts w:ascii="Times" w:hAnsi="Times" w:cs="Arial"/>
                <w:color w:val="212529"/>
                <w:sz w:val="20"/>
                <w:szCs w:val="20"/>
              </w:rPr>
              <w:t>For individuals reporting usage of IOP-lowering medication, measured IOP was divided by 0.7 based on average IOP reduction achieved with medication.</w:t>
            </w:r>
          </w:p>
          <w:p w14:paraId="26AE3DFA" w14:textId="77777777" w:rsidR="003A2DFB" w:rsidRPr="005331D6" w:rsidRDefault="003A2DFB" w:rsidP="00893185">
            <w:pPr>
              <w:rPr>
                <w:rFonts w:ascii="Times" w:hAnsi="Times" w:cs="Arial"/>
                <w:color w:val="212529"/>
                <w:sz w:val="20"/>
                <w:szCs w:val="20"/>
              </w:rPr>
            </w:pPr>
          </w:p>
        </w:tc>
        <w:tc>
          <w:tcPr>
            <w:tcW w:w="988" w:type="dxa"/>
            <w:tcBorders>
              <w:top w:val="single" w:sz="4" w:space="0" w:color="auto"/>
              <w:left w:val="single" w:sz="8" w:space="0" w:color="BFBFBF"/>
              <w:bottom w:val="single" w:sz="8" w:space="0" w:color="BFBFBF"/>
              <w:right w:val="single" w:sz="8" w:space="0" w:color="767171"/>
            </w:tcBorders>
            <w:shd w:val="clear" w:color="auto" w:fill="auto"/>
            <w:vAlign w:val="center"/>
            <w:hideMark/>
          </w:tcPr>
          <w:p w14:paraId="058C5613" w14:textId="77777777" w:rsidR="003A2DFB" w:rsidRPr="007D5404" w:rsidRDefault="003A2DFB" w:rsidP="00893185">
            <w:pPr>
              <w:shd w:val="clear" w:color="auto" w:fill="FFFFFF"/>
              <w:spacing w:before="100" w:beforeAutospacing="1" w:after="100" w:afterAutospacing="1"/>
              <w:rPr>
                <w:rFonts w:ascii="Times" w:hAnsi="Times" w:cs="Segoe UI"/>
                <w:sz w:val="18"/>
                <w:szCs w:val="18"/>
              </w:rPr>
            </w:pPr>
            <w:r w:rsidRPr="007D5404">
              <w:rPr>
                <w:rStyle w:val="Strong"/>
                <w:rFonts w:ascii="Times" w:hAnsi="Times" w:cs="Segoe UI"/>
                <w:sz w:val="18"/>
                <w:szCs w:val="18"/>
              </w:rPr>
              <w:t>29785010</w:t>
            </w:r>
          </w:p>
          <w:p w14:paraId="73CEB77E" w14:textId="77777777" w:rsidR="003A2DFB" w:rsidRPr="00C622FF" w:rsidRDefault="003A2DFB" w:rsidP="00893185">
            <w:pPr>
              <w:rPr>
                <w:rFonts w:ascii="Times" w:hAnsi="Times" w:cs="Arial"/>
                <w:sz w:val="20"/>
                <w:szCs w:val="20"/>
              </w:rPr>
            </w:pPr>
          </w:p>
        </w:tc>
      </w:tr>
      <w:tr w:rsidR="003A2DFB" w:rsidRPr="005331D6" w14:paraId="1B12DCB8" w14:textId="77777777" w:rsidTr="003A2DFB">
        <w:trPr>
          <w:trHeight w:val="772"/>
        </w:trPr>
        <w:tc>
          <w:tcPr>
            <w:tcW w:w="1124" w:type="dxa"/>
            <w:tcBorders>
              <w:top w:val="nil"/>
              <w:left w:val="single" w:sz="8" w:space="0" w:color="767171"/>
              <w:bottom w:val="single" w:sz="8" w:space="0" w:color="BFBFBF"/>
              <w:right w:val="single" w:sz="8" w:space="0" w:color="BFBFBF"/>
            </w:tcBorders>
            <w:shd w:val="clear" w:color="auto" w:fill="auto"/>
            <w:vAlign w:val="center"/>
            <w:hideMark/>
          </w:tcPr>
          <w:p w14:paraId="44A9D3BD" w14:textId="77777777" w:rsidR="003A2DFB" w:rsidRPr="005331D6" w:rsidRDefault="003A2DFB" w:rsidP="00893185">
            <w:pPr>
              <w:rPr>
                <w:rFonts w:ascii="Times" w:hAnsi="Times" w:cs="Arial"/>
                <w:color w:val="000000"/>
                <w:sz w:val="20"/>
                <w:szCs w:val="20"/>
              </w:rPr>
            </w:pPr>
            <w:r>
              <w:rPr>
                <w:rFonts w:ascii="Times" w:hAnsi="Times" w:cs="Arial"/>
                <w:color w:val="000000"/>
                <w:sz w:val="20"/>
                <w:szCs w:val="20"/>
              </w:rPr>
              <w:t>Primary open-angle glaucoma (POAG)</w:t>
            </w:r>
          </w:p>
        </w:tc>
        <w:tc>
          <w:tcPr>
            <w:tcW w:w="1276" w:type="dxa"/>
            <w:tcBorders>
              <w:top w:val="nil"/>
              <w:left w:val="nil"/>
              <w:bottom w:val="single" w:sz="8" w:space="0" w:color="BFBFBF"/>
              <w:right w:val="single" w:sz="8" w:space="0" w:color="BFBFBF"/>
            </w:tcBorders>
            <w:shd w:val="clear" w:color="auto" w:fill="auto"/>
            <w:vAlign w:val="center"/>
            <w:hideMark/>
          </w:tcPr>
          <w:p w14:paraId="422CC424" w14:textId="5A609767" w:rsidR="003A2DFB" w:rsidRPr="005331D6" w:rsidRDefault="003A2DFB" w:rsidP="00893185">
            <w:pPr>
              <w:rPr>
                <w:rFonts w:ascii="Times" w:hAnsi="Times" w:cs="Arial"/>
                <w:color w:val="000000"/>
                <w:sz w:val="20"/>
                <w:szCs w:val="20"/>
              </w:rPr>
            </w:pPr>
            <w:r>
              <w:rPr>
                <w:rFonts w:ascii="Times" w:hAnsi="Times" w:cs="Arial"/>
                <w:color w:val="000000"/>
                <w:sz w:val="20"/>
                <w:szCs w:val="20"/>
              </w:rPr>
              <w:t xml:space="preserve">Gharahkhani </w:t>
            </w:r>
            <w:r w:rsidRPr="00C62CCB">
              <w:rPr>
                <w:rFonts w:ascii="Times" w:hAnsi="Times" w:cs="Arial"/>
                <w:i/>
                <w:iCs/>
                <w:color w:val="000000"/>
                <w:sz w:val="20"/>
                <w:szCs w:val="20"/>
              </w:rPr>
              <w:t>et al.</w:t>
            </w:r>
            <w:r>
              <w:rPr>
                <w:rFonts w:ascii="Times" w:hAnsi="Times" w:cs="Arial"/>
                <w:color w:val="000000"/>
                <w:sz w:val="20"/>
                <w:szCs w:val="20"/>
              </w:rPr>
              <w:t xml:space="preserve"> 2021</w:t>
            </w:r>
            <w:sdt>
              <w:sdtPr>
                <w:rPr>
                  <w:rFonts w:ascii="Times" w:hAnsi="Times" w:cs="Arial"/>
                  <w:color w:val="000000"/>
                  <w:sz w:val="20"/>
                  <w:szCs w:val="20"/>
                </w:rPr>
                <w:id w:val="1711374879"/>
                <w:citation/>
              </w:sdtPr>
              <w:sdtEndPr/>
              <w:sdtContent>
                <w:r>
                  <w:rPr>
                    <w:rFonts w:ascii="Times" w:hAnsi="Times" w:cs="Arial"/>
                    <w:color w:val="000000"/>
                    <w:sz w:val="20"/>
                    <w:szCs w:val="20"/>
                  </w:rPr>
                  <w:fldChar w:fldCharType="begin"/>
                </w:r>
                <w:r>
                  <w:rPr>
                    <w:rFonts w:ascii="Times" w:hAnsi="Times" w:cs="Arial"/>
                    <w:color w:val="000000"/>
                    <w:sz w:val="20"/>
                    <w:szCs w:val="20"/>
                  </w:rPr>
                  <w:instrText xml:space="preserve"> CITATION Gha \l 2057 </w:instrText>
                </w:r>
                <w:r>
                  <w:rPr>
                    <w:rFonts w:ascii="Times" w:hAnsi="Times" w:cs="Arial"/>
                    <w:color w:val="000000"/>
                    <w:sz w:val="20"/>
                    <w:szCs w:val="20"/>
                  </w:rPr>
                  <w:fldChar w:fldCharType="separate"/>
                </w:r>
                <w:r w:rsidR="00DD5AF0">
                  <w:rPr>
                    <w:rFonts w:ascii="Times" w:hAnsi="Times" w:cs="Arial"/>
                    <w:noProof/>
                    <w:color w:val="000000"/>
                    <w:sz w:val="20"/>
                    <w:szCs w:val="20"/>
                  </w:rPr>
                  <w:t xml:space="preserve"> </w:t>
                </w:r>
                <w:r w:rsidR="00DD5AF0" w:rsidRPr="00DD5AF0">
                  <w:rPr>
                    <w:rFonts w:ascii="Times" w:hAnsi="Times" w:cs="Arial"/>
                    <w:noProof/>
                    <w:color w:val="000000"/>
                    <w:sz w:val="20"/>
                    <w:szCs w:val="20"/>
                  </w:rPr>
                  <w:t>[3]</w:t>
                </w:r>
                <w:r>
                  <w:rPr>
                    <w:rFonts w:ascii="Times" w:hAnsi="Times" w:cs="Arial"/>
                    <w:color w:val="000000"/>
                    <w:sz w:val="20"/>
                    <w:szCs w:val="20"/>
                  </w:rPr>
                  <w:fldChar w:fldCharType="end"/>
                </w:r>
              </w:sdtContent>
            </w:sdt>
          </w:p>
        </w:tc>
        <w:tc>
          <w:tcPr>
            <w:tcW w:w="1134" w:type="dxa"/>
            <w:tcBorders>
              <w:top w:val="nil"/>
              <w:left w:val="nil"/>
              <w:bottom w:val="single" w:sz="8" w:space="0" w:color="BFBFBF"/>
              <w:right w:val="single" w:sz="8" w:space="0" w:color="BFBFBF"/>
            </w:tcBorders>
            <w:shd w:val="clear" w:color="auto" w:fill="auto"/>
            <w:vAlign w:val="center"/>
            <w:hideMark/>
          </w:tcPr>
          <w:p w14:paraId="4A6D61AF" w14:textId="77777777" w:rsidR="003A2DFB" w:rsidRPr="005331D6" w:rsidRDefault="003A2DFB" w:rsidP="00893185">
            <w:pPr>
              <w:rPr>
                <w:rFonts w:ascii="Times" w:hAnsi="Times" w:cs="Arial"/>
                <w:color w:val="000000"/>
                <w:sz w:val="20"/>
                <w:szCs w:val="20"/>
              </w:rPr>
            </w:pPr>
            <w:r>
              <w:rPr>
                <w:rFonts w:ascii="Times" w:hAnsi="Times" w:cs="Arial"/>
                <w:color w:val="000000"/>
                <w:sz w:val="20"/>
                <w:szCs w:val="20"/>
              </w:rPr>
              <w:t>EUR</w:t>
            </w:r>
          </w:p>
        </w:tc>
        <w:tc>
          <w:tcPr>
            <w:tcW w:w="1418" w:type="dxa"/>
            <w:tcBorders>
              <w:top w:val="nil"/>
              <w:left w:val="nil"/>
              <w:bottom w:val="single" w:sz="8" w:space="0" w:color="BFBFBF"/>
              <w:right w:val="single" w:sz="8" w:space="0" w:color="BFBFBF"/>
            </w:tcBorders>
            <w:shd w:val="clear" w:color="auto" w:fill="auto"/>
            <w:vAlign w:val="center"/>
            <w:hideMark/>
          </w:tcPr>
          <w:p w14:paraId="614950C9" w14:textId="77777777" w:rsidR="003A2DFB" w:rsidRPr="005331D6" w:rsidRDefault="003A2DFB" w:rsidP="00893185">
            <w:pPr>
              <w:rPr>
                <w:rFonts w:ascii="Times" w:hAnsi="Times" w:cs="Arial"/>
                <w:color w:val="212529"/>
                <w:sz w:val="20"/>
                <w:szCs w:val="20"/>
              </w:rPr>
            </w:pPr>
            <w:r>
              <w:rPr>
                <w:rFonts w:ascii="Times" w:hAnsi="Times" w:cs="Arial"/>
                <w:color w:val="212529"/>
                <w:sz w:val="20"/>
                <w:szCs w:val="20"/>
              </w:rPr>
              <w:t>16,677/ 199,580</w:t>
            </w:r>
          </w:p>
        </w:tc>
        <w:tc>
          <w:tcPr>
            <w:tcW w:w="4536" w:type="dxa"/>
            <w:tcBorders>
              <w:top w:val="nil"/>
              <w:left w:val="nil"/>
              <w:bottom w:val="single" w:sz="8" w:space="0" w:color="BFBFBF"/>
              <w:right w:val="single" w:sz="8" w:space="0" w:color="BFBFBF"/>
            </w:tcBorders>
            <w:shd w:val="clear" w:color="auto" w:fill="auto"/>
            <w:vAlign w:val="center"/>
            <w:hideMark/>
          </w:tcPr>
          <w:p w14:paraId="54AD2388" w14:textId="77777777" w:rsidR="003A2DFB" w:rsidRDefault="003A2DFB" w:rsidP="00893185">
            <w:pPr>
              <w:spacing w:line="276" w:lineRule="auto"/>
              <w:rPr>
                <w:rFonts w:ascii="Times" w:hAnsi="Times" w:cs="Arial"/>
                <w:color w:val="212529"/>
                <w:sz w:val="20"/>
                <w:szCs w:val="20"/>
              </w:rPr>
            </w:pPr>
          </w:p>
          <w:p w14:paraId="1139038F" w14:textId="77777777" w:rsidR="003A2DFB" w:rsidRDefault="003A2DFB" w:rsidP="00893185">
            <w:pPr>
              <w:spacing w:line="276" w:lineRule="auto"/>
              <w:rPr>
                <w:rFonts w:ascii="Times" w:hAnsi="Times" w:cs="Arial"/>
                <w:color w:val="212529"/>
                <w:sz w:val="20"/>
                <w:szCs w:val="20"/>
              </w:rPr>
            </w:pPr>
            <w:r>
              <w:rPr>
                <w:rFonts w:ascii="Times" w:hAnsi="Times" w:cs="Arial"/>
                <w:color w:val="212529"/>
                <w:sz w:val="20"/>
                <w:szCs w:val="20"/>
              </w:rPr>
              <w:t xml:space="preserve">For most studies, POAG was defined according to International Classification of Diseases (ICD)-9 and ICD-10 criteria. Full details of case definitions can be found in the Supplementary Information of Gharahkhani </w:t>
            </w:r>
            <w:r w:rsidRPr="007D5404">
              <w:rPr>
                <w:rFonts w:ascii="Times" w:hAnsi="Times" w:cs="Arial"/>
                <w:i/>
                <w:iCs/>
                <w:color w:val="212529"/>
                <w:sz w:val="20"/>
                <w:szCs w:val="20"/>
              </w:rPr>
              <w:t>et al.</w:t>
            </w:r>
            <w:r>
              <w:rPr>
                <w:rFonts w:ascii="Times" w:hAnsi="Times" w:cs="Arial"/>
                <w:color w:val="212529"/>
                <w:sz w:val="20"/>
                <w:szCs w:val="20"/>
              </w:rPr>
              <w:t xml:space="preserve"> 2021. This study is the European subset of the cross-ancestry POAG meta-analysis.</w:t>
            </w:r>
          </w:p>
          <w:p w14:paraId="534A2EAF" w14:textId="77777777" w:rsidR="003A2DFB" w:rsidRPr="005331D6" w:rsidRDefault="003A2DFB" w:rsidP="00893185">
            <w:pPr>
              <w:rPr>
                <w:rFonts w:ascii="Times" w:hAnsi="Times" w:cs="Arial"/>
                <w:color w:val="212529"/>
                <w:sz w:val="20"/>
                <w:szCs w:val="20"/>
              </w:rPr>
            </w:pPr>
          </w:p>
        </w:tc>
        <w:tc>
          <w:tcPr>
            <w:tcW w:w="988" w:type="dxa"/>
            <w:tcBorders>
              <w:top w:val="nil"/>
              <w:left w:val="nil"/>
              <w:bottom w:val="single" w:sz="8" w:space="0" w:color="BFBFBF"/>
              <w:right w:val="single" w:sz="8" w:space="0" w:color="767171"/>
            </w:tcBorders>
            <w:shd w:val="clear" w:color="auto" w:fill="auto"/>
            <w:vAlign w:val="center"/>
            <w:hideMark/>
          </w:tcPr>
          <w:p w14:paraId="5FEDD015" w14:textId="77777777" w:rsidR="003A2DFB" w:rsidRPr="007D5404" w:rsidRDefault="003A2DFB" w:rsidP="00893185">
            <w:pPr>
              <w:shd w:val="clear" w:color="auto" w:fill="FFFFFF"/>
              <w:spacing w:before="100" w:beforeAutospacing="1" w:after="100" w:afterAutospacing="1"/>
              <w:rPr>
                <w:rFonts w:ascii="Times" w:hAnsi="Times" w:cs="Segoe UI"/>
                <w:sz w:val="18"/>
                <w:szCs w:val="18"/>
              </w:rPr>
            </w:pPr>
            <w:r w:rsidRPr="007D5404">
              <w:rPr>
                <w:rStyle w:val="Strong"/>
                <w:rFonts w:ascii="Times" w:hAnsi="Times" w:cs="Segoe UI"/>
                <w:sz w:val="18"/>
                <w:szCs w:val="18"/>
              </w:rPr>
              <w:t>33627673</w:t>
            </w:r>
          </w:p>
          <w:p w14:paraId="41548DAB" w14:textId="77777777" w:rsidR="003A2DFB" w:rsidRPr="007D5404" w:rsidRDefault="003A2DFB" w:rsidP="00893185">
            <w:pPr>
              <w:rPr>
                <w:rFonts w:ascii="Times" w:hAnsi="Times" w:cs="Arial"/>
                <w:sz w:val="18"/>
                <w:szCs w:val="18"/>
              </w:rPr>
            </w:pPr>
          </w:p>
          <w:p w14:paraId="63CBC35E" w14:textId="77777777" w:rsidR="003A2DFB" w:rsidRPr="004F51CC" w:rsidRDefault="003A2DFB" w:rsidP="00893185">
            <w:pPr>
              <w:rPr>
                <w:rFonts w:ascii="Times" w:hAnsi="Times" w:cs="Arial"/>
                <w:sz w:val="20"/>
                <w:szCs w:val="20"/>
              </w:rPr>
            </w:pPr>
          </w:p>
        </w:tc>
      </w:tr>
    </w:tbl>
    <w:p w14:paraId="3DAA4414" w14:textId="77777777" w:rsidR="003A2DFB" w:rsidRDefault="003A2DFB" w:rsidP="003A2DFB">
      <w:pPr>
        <w:spacing w:line="480" w:lineRule="auto"/>
        <w:rPr>
          <w:rFonts w:ascii="Times" w:hAnsi="Times"/>
          <w:b/>
          <w:bCs/>
        </w:rPr>
      </w:pPr>
    </w:p>
    <w:p w14:paraId="2C35358A" w14:textId="35DDF118" w:rsidR="00156545" w:rsidRDefault="003A2DFB" w:rsidP="00F57E87">
      <w:pPr>
        <w:spacing w:line="480" w:lineRule="auto"/>
        <w:jc w:val="both"/>
      </w:pPr>
      <w:r>
        <w:rPr>
          <w:rFonts w:ascii="Times" w:eastAsiaTheme="minorHAnsi" w:hAnsi="Times" w:cs="AppleSystemUIFont"/>
          <w:sz w:val="20"/>
          <w:szCs w:val="20"/>
        </w:rPr>
        <w:t xml:space="preserve">Table </w:t>
      </w:r>
      <w:r w:rsidR="00024469">
        <w:rPr>
          <w:rFonts w:ascii="Times" w:eastAsiaTheme="minorHAnsi" w:hAnsi="Times" w:cs="AppleSystemUIFont"/>
          <w:sz w:val="20"/>
          <w:szCs w:val="20"/>
        </w:rPr>
        <w:t>S</w:t>
      </w:r>
      <w:r>
        <w:rPr>
          <w:rFonts w:ascii="Times" w:eastAsiaTheme="minorHAnsi" w:hAnsi="Times" w:cs="AppleSystemUIFont"/>
          <w:sz w:val="20"/>
          <w:szCs w:val="20"/>
        </w:rPr>
        <w:t>1 – EUR = European. IGCC = International Glaucoma Genetics Consortium. PMID = PubMed Identificatio</w:t>
      </w:r>
      <w:r w:rsidR="00F57E87">
        <w:rPr>
          <w:rFonts w:ascii="Times" w:eastAsiaTheme="minorHAnsi" w:hAnsi="Times" w:cs="AppleSystemUIFont"/>
          <w:sz w:val="20"/>
          <w:szCs w:val="20"/>
        </w:rPr>
        <w:t>n</w:t>
      </w:r>
    </w:p>
    <w:sectPr w:rsidR="00156545" w:rsidSect="00C64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libri"/>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64BE9"/>
    <w:rsid w:val="00C80570"/>
    <w:rsid w:val="00C96833"/>
    <w:rsid w:val="00D00F70"/>
    <w:rsid w:val="00D46B52"/>
    <w:rsid w:val="00D61A50"/>
    <w:rsid w:val="00D64186"/>
    <w:rsid w:val="00DA3BD7"/>
    <w:rsid w:val="00DD5AF0"/>
    <w:rsid w:val="00E109DB"/>
    <w:rsid w:val="00E535C0"/>
    <w:rsid w:val="00E62347"/>
    <w:rsid w:val="00E96F1E"/>
    <w:rsid w:val="00ED5798"/>
    <w:rsid w:val="00F37FD5"/>
    <w:rsid w:val="00F57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A0A4846C-CC45-43D6-B425-7AFD2F388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3</cp:revision>
  <dcterms:created xsi:type="dcterms:W3CDTF">2023-05-13T11:00:00Z</dcterms:created>
  <dcterms:modified xsi:type="dcterms:W3CDTF">2023-11-18T01:56:00Z</dcterms:modified>
</cp:coreProperties>
</file>