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D89964" w14:textId="5D61CFA4" w:rsidR="006B5022" w:rsidRPr="003A2DFB" w:rsidRDefault="00234572" w:rsidP="006B5022">
      <w:pPr>
        <w:spacing w:line="480" w:lineRule="auto"/>
        <w:jc w:val="both"/>
        <w:rPr>
          <w:b/>
          <w:bCs/>
          <w:sz w:val="28"/>
          <w:szCs w:val="28"/>
        </w:rPr>
      </w:pPr>
      <w:r>
        <w:rPr>
          <w:b/>
          <w:bCs/>
          <w:sz w:val="28"/>
          <w:szCs w:val="28"/>
        </w:rPr>
        <w:t>Additional</w:t>
      </w:r>
      <w:bookmarkStart w:id="0" w:name="_GoBack"/>
      <w:bookmarkEnd w:id="0"/>
      <w:r w:rsidR="006B5022" w:rsidRPr="00CC7A56">
        <w:rPr>
          <w:b/>
          <w:bCs/>
          <w:sz w:val="28"/>
          <w:szCs w:val="28"/>
        </w:rPr>
        <w:t xml:space="preserve"> Methods</w:t>
      </w:r>
    </w:p>
    <w:p w14:paraId="0CBDD12D" w14:textId="77777777" w:rsidR="006E3DAC" w:rsidRDefault="006E3DAC" w:rsidP="006B5022">
      <w:pPr>
        <w:spacing w:line="480" w:lineRule="auto"/>
        <w:jc w:val="both"/>
        <w:rPr>
          <w:rFonts w:ascii="Times" w:hAnsi="Times"/>
          <w:b/>
          <w:bCs/>
        </w:rPr>
      </w:pPr>
    </w:p>
    <w:p w14:paraId="25815597" w14:textId="09D35DB0" w:rsidR="006B5022" w:rsidRPr="008836ED" w:rsidRDefault="006B5022" w:rsidP="006B5022">
      <w:pPr>
        <w:spacing w:line="480" w:lineRule="auto"/>
        <w:jc w:val="both"/>
        <w:rPr>
          <w:b/>
          <w:bCs/>
        </w:rPr>
      </w:pPr>
      <w:r>
        <w:rPr>
          <w:b/>
          <w:bCs/>
        </w:rPr>
        <w:t>Pleiotropy-robust Sensitivity</w:t>
      </w:r>
      <w:r w:rsidRPr="008836ED">
        <w:rPr>
          <w:b/>
          <w:bCs/>
        </w:rPr>
        <w:t xml:space="preserve"> Analyses </w:t>
      </w:r>
    </w:p>
    <w:p w14:paraId="6DBD4789" w14:textId="57511A6D" w:rsidR="006B5022" w:rsidRDefault="006B5022" w:rsidP="006B5022">
      <w:pPr>
        <w:spacing w:line="480" w:lineRule="auto"/>
        <w:jc w:val="both"/>
      </w:pPr>
      <w:r>
        <w:t xml:space="preserve"> </w:t>
      </w:r>
      <w:r w:rsidR="002C6498">
        <w:t>Horizontal pleiotropy is where the</w:t>
      </w:r>
      <w:r>
        <w:t xml:space="preserve"> genetic instrument influences the outcome not </w:t>
      </w:r>
      <w:r w:rsidR="002C6498">
        <w:t>exclusively</w:t>
      </w:r>
      <w:r>
        <w:t xml:space="preserve"> via the exposure</w:t>
      </w:r>
      <w:r w:rsidR="002C6498">
        <w:t xml:space="preserve"> and its presence violates</w:t>
      </w:r>
      <w:r>
        <w:t xml:space="preserve"> the third MR assumption</w:t>
      </w:r>
      <w:r w:rsidR="002C6498">
        <w:t xml:space="preserve"> (exclusion-restriction)</w:t>
      </w:r>
      <w:r>
        <w:t>. The IVW approach provides a valid causal estimate under the assumption that all variants are valid instrume</w:t>
      </w:r>
      <w:r w:rsidR="002C6498">
        <w:t>nts</w:t>
      </w:r>
      <w:sdt>
        <w:sdtPr>
          <w:id w:val="-1322958545"/>
          <w:citation/>
        </w:sdtPr>
        <w:sdtEndPr/>
        <w:sdtContent>
          <w:r>
            <w:fldChar w:fldCharType="begin"/>
          </w:r>
          <w:r>
            <w:instrText xml:space="preserve"> CITATION Bur12 \l 2057  \m Bur14</w:instrText>
          </w:r>
          <w:r>
            <w:fldChar w:fldCharType="separate"/>
          </w:r>
          <w:r w:rsidR="006E3DAC">
            <w:rPr>
              <w:noProof/>
            </w:rPr>
            <w:t xml:space="preserve"> [1, 2]</w:t>
          </w:r>
          <w:r>
            <w:fldChar w:fldCharType="end"/>
          </w:r>
        </w:sdtContent>
      </w:sdt>
      <w:r w:rsidR="000467A2">
        <w:t xml:space="preserve">, i.e., that no variants are pleiotropic or </w:t>
      </w:r>
      <w:r>
        <w:t>that pleiotropy is balanced</w:t>
      </w:r>
      <w:r w:rsidR="000467A2">
        <w:t xml:space="preserve">. </w:t>
      </w:r>
    </w:p>
    <w:p w14:paraId="116E5021" w14:textId="76535C29" w:rsidR="006B5022" w:rsidRDefault="006B5022" w:rsidP="006B5022">
      <w:pPr>
        <w:spacing w:line="480" w:lineRule="auto"/>
        <w:jc w:val="both"/>
      </w:pPr>
      <w:r>
        <w:t xml:space="preserve">  In median-based methods, a median rather than mean of the Wald estimates is calculated. Provided that over 50% of variants are valid instruments, median-based estimates will produce valid causal estimates. In the simple-median approach</w:t>
      </w:r>
      <w:sdt>
        <w:sdtPr>
          <w:id w:val="8109416"/>
          <w:citation/>
        </w:sdtPr>
        <w:sdtEndPr/>
        <w:sdtContent>
          <w:r>
            <w:fldChar w:fldCharType="begin"/>
          </w:r>
          <w:r>
            <w:instrText xml:space="preserve">CITATION Bow3 \l 2057 </w:instrText>
          </w:r>
          <w:r>
            <w:fldChar w:fldCharType="separate"/>
          </w:r>
          <w:r w:rsidR="006E3DAC">
            <w:rPr>
              <w:noProof/>
            </w:rPr>
            <w:t xml:space="preserve"> [3]</w:t>
          </w:r>
          <w:r>
            <w:fldChar w:fldCharType="end"/>
          </w:r>
        </w:sdtContent>
      </w:sdt>
      <w:r>
        <w:t>, all variant-specific estimates are weighted equally, whereas in the weighted-median approach</w:t>
      </w:r>
      <w:sdt>
        <w:sdtPr>
          <w:id w:val="384756343"/>
          <w:citation/>
        </w:sdtPr>
        <w:sdtEndPr/>
        <w:sdtContent>
          <w:r>
            <w:fldChar w:fldCharType="begin"/>
          </w:r>
          <w:r>
            <w:instrText xml:space="preserve">CITATION Bow3 \l 2057 </w:instrText>
          </w:r>
          <w:r>
            <w:fldChar w:fldCharType="separate"/>
          </w:r>
          <w:r w:rsidR="006E3DAC">
            <w:rPr>
              <w:noProof/>
            </w:rPr>
            <w:t xml:space="preserve"> [3]</w:t>
          </w:r>
          <w:r>
            <w:fldChar w:fldCharType="end"/>
          </w:r>
        </w:sdtContent>
      </w:sdt>
      <w:r>
        <w:t xml:space="preserve">, variants are weighted inversely to their standard errors. </w:t>
      </w:r>
    </w:p>
    <w:p w14:paraId="487F465B" w14:textId="03204FB6" w:rsidR="00C80570" w:rsidRDefault="00C80570" w:rsidP="006B5022">
      <w:pPr>
        <w:spacing w:line="480" w:lineRule="auto"/>
        <w:jc w:val="both"/>
      </w:pPr>
      <w:r>
        <w:t>The contamination mixture method provides consistent causal estimates where a plurality of the genetic variants are valid instruments</w:t>
      </w:r>
      <w:sdt>
        <w:sdtPr>
          <w:id w:val="732591770"/>
          <w:citation/>
        </w:sdtPr>
        <w:sdtEndPr/>
        <w:sdtContent>
          <w:r w:rsidR="00F37FD5">
            <w:fldChar w:fldCharType="begin"/>
          </w:r>
          <w:r w:rsidR="00F37FD5">
            <w:instrText xml:space="preserve"> CITATION Bur20 \l 2057 </w:instrText>
          </w:r>
          <w:r w:rsidR="00F37FD5">
            <w:fldChar w:fldCharType="separate"/>
          </w:r>
          <w:r w:rsidR="006E3DAC">
            <w:rPr>
              <w:noProof/>
            </w:rPr>
            <w:t xml:space="preserve"> [4]</w:t>
          </w:r>
          <w:r w:rsidR="00F37FD5">
            <w:fldChar w:fldCharType="end"/>
          </w:r>
        </w:sdtContent>
      </w:sdt>
      <w:r w:rsidR="00F37FD5">
        <w:t xml:space="preserve">. </w:t>
      </w:r>
      <w:r>
        <w:t>A likelihood function is constructed from the variant-specific ratio estimates. If a variant is a valid instrument, then its ratio estimate is assumed to be normally distributed about the true causal effect. If a variant is an invalid instrument, then its ratio estimate is assumed to be distributed about 0 with a large standard deviation. The likelihood is then maximised over different values of the causal effect and different configurations of valid and invalid instruments. Confidence intervals are usually not symmetric. Default parameters were used.</w:t>
      </w:r>
    </w:p>
    <w:p w14:paraId="5004B11E" w14:textId="267F9253" w:rsidR="006B5022" w:rsidRDefault="006B5022" w:rsidP="006B5022">
      <w:pPr>
        <w:spacing w:line="480" w:lineRule="auto"/>
        <w:jc w:val="both"/>
      </w:pPr>
      <w:r>
        <w:t xml:space="preserve">  Rather than </w:t>
      </w:r>
      <w:r w:rsidR="00F37FD5">
        <w:t>fixing</w:t>
      </w:r>
      <w:r>
        <w:t xml:space="preserve"> the intercept at the origin, as done in the IVW approach, MR-Egger</w:t>
      </w:r>
      <w:sdt>
        <w:sdtPr>
          <w:id w:val="-1604567751"/>
          <w:citation/>
        </w:sdtPr>
        <w:sdtEndPr/>
        <w:sdtContent>
          <w:r>
            <w:fldChar w:fldCharType="begin"/>
          </w:r>
          <w:r>
            <w:instrText xml:space="preserve">CITATION Bow4 \l 2057 </w:instrText>
          </w:r>
          <w:r>
            <w:fldChar w:fldCharType="separate"/>
          </w:r>
          <w:r w:rsidR="006E3DAC">
            <w:rPr>
              <w:noProof/>
            </w:rPr>
            <w:t xml:space="preserve"> [5]</w:t>
          </w:r>
          <w:r>
            <w:fldChar w:fldCharType="end"/>
          </w:r>
        </w:sdtContent>
      </w:sdt>
      <w:r>
        <w:t xml:space="preserve"> allows the intercept to float and provides a valid causal estimate in the presence of directional pleiotropy. </w:t>
      </w:r>
      <w:r w:rsidR="002C6498">
        <w:t xml:space="preserve">MR-Egger requires the instrument strength independent of the direct effects (INSIDE) assumption, i.e., it requires that pleiotropic effects of </w:t>
      </w:r>
      <w:r w:rsidR="00F37FD5">
        <w:t xml:space="preserve">the </w:t>
      </w:r>
      <w:r w:rsidR="002C6498">
        <w:t xml:space="preserve">instrumental variants are independent of the association between the variants and the exposure. The precision of MR-Egger depends on the variance between genetic associations with the exposure and so if the different instrumental variants are similarly associated with the exposure, MR-Egger will be imprecise and have wide confidence intervals. Accordingly, of the different sensitivity analyses used, MR-Egger can be expected to have the widest confidence intervals. </w:t>
      </w:r>
      <w:r w:rsidR="007C1B3C">
        <w:t>Via the Egger intercept significance test, t</w:t>
      </w:r>
      <w:r w:rsidR="002C6498">
        <w:t xml:space="preserve">he deviation of the intercept term from the origin </w:t>
      </w:r>
      <w:r w:rsidR="007C1B3C">
        <w:t xml:space="preserve">indicates </w:t>
      </w:r>
      <w:r w:rsidR="002C6498">
        <w:t>whether</w:t>
      </w:r>
      <w:r w:rsidR="00F37FD5">
        <w:t xml:space="preserve"> </w:t>
      </w:r>
      <w:r w:rsidR="002C6498">
        <w:t>significant directional pleiotropy is present.</w:t>
      </w:r>
    </w:p>
    <w:p w14:paraId="5F0BAF67" w14:textId="3408D6ED" w:rsidR="006B5022" w:rsidRDefault="006B5022" w:rsidP="006B5022">
      <w:pPr>
        <w:spacing w:line="480" w:lineRule="auto"/>
        <w:jc w:val="both"/>
      </w:pPr>
      <w:r>
        <w:t xml:space="preserve">  The MR-Pleiotropy Residual Sum and Outlier (MR-PRESSO) method</w:t>
      </w:r>
      <w:sdt>
        <w:sdtPr>
          <w:id w:val="-636107196"/>
          <w:citation/>
        </w:sdtPr>
        <w:sdtEndPr/>
        <w:sdtContent>
          <w:r>
            <w:fldChar w:fldCharType="begin"/>
          </w:r>
          <w:r>
            <w:instrText xml:space="preserve"> CITATION Ver1 \l 2057 </w:instrText>
          </w:r>
          <w:r>
            <w:fldChar w:fldCharType="separate"/>
          </w:r>
          <w:r w:rsidR="006E3DAC">
            <w:rPr>
              <w:noProof/>
            </w:rPr>
            <w:t xml:space="preserve"> [6]</w:t>
          </w:r>
          <w:r>
            <w:fldChar w:fldCharType="end"/>
          </w:r>
        </w:sdtContent>
      </w:sdt>
      <w:r>
        <w:t xml:space="preserve"> takes the residual sum of squares from the IVW linear regression as a measure of heterogeneity. The IVW method is performed iteratively, removing each instrumental variant in turn and the RSS calculated for each omission. Significantly heterogenous variants are removed and the IVW method used to calculate the MR estimate using the remaining variants. </w:t>
      </w:r>
    </w:p>
    <w:p w14:paraId="517888D9" w14:textId="77777777" w:rsidR="0038617B" w:rsidRDefault="0038617B" w:rsidP="006B5022">
      <w:pPr>
        <w:spacing w:line="480" w:lineRule="auto"/>
        <w:jc w:val="both"/>
      </w:pPr>
    </w:p>
    <w:p w14:paraId="5F30B10A" w14:textId="4F65D615" w:rsidR="00B02C22" w:rsidRPr="00B02C22" w:rsidRDefault="00B02C22" w:rsidP="006B5022">
      <w:pPr>
        <w:spacing w:line="480" w:lineRule="auto"/>
        <w:jc w:val="both"/>
        <w:rPr>
          <w:b/>
          <w:bCs/>
        </w:rPr>
      </w:pPr>
      <w:r>
        <w:rPr>
          <w:b/>
          <w:bCs/>
        </w:rPr>
        <w:t>Colocalization</w:t>
      </w:r>
    </w:p>
    <w:p w14:paraId="65E45E42" w14:textId="07135D12" w:rsidR="00B02C22" w:rsidRDefault="00B02C22" w:rsidP="00B02C22">
      <w:pPr>
        <w:spacing w:line="480" w:lineRule="auto"/>
        <w:jc w:val="both"/>
        <w:rPr>
          <w:rFonts w:ascii="Times" w:hAnsi="Times"/>
          <w:lang w:val="en-US"/>
        </w:rPr>
      </w:pPr>
      <w:r>
        <w:rPr>
          <w:rFonts w:ascii="Times" w:hAnsi="Times"/>
          <w:lang w:val="en-US"/>
        </w:rPr>
        <w:t xml:space="preserve">  Genetic colocalization assesses the likelihood that two (or more) phenotypic traits, such as an exposure and outcome, share the same causal variant as opposed to distinct causal variants</w:t>
      </w:r>
      <w:sdt>
        <w:sdtPr>
          <w:rPr>
            <w:rFonts w:ascii="Times" w:hAnsi="Times"/>
            <w:lang w:val="en-US"/>
          </w:rPr>
          <w:id w:val="-1085228538"/>
          <w:citation/>
        </w:sdtPr>
        <w:sdtEndPr/>
        <w:sdtContent>
          <w:r>
            <w:rPr>
              <w:rFonts w:ascii="Times" w:hAnsi="Times"/>
              <w:lang w:val="en-US"/>
            </w:rPr>
            <w:fldChar w:fldCharType="begin"/>
          </w:r>
          <w:r>
            <w:rPr>
              <w:rFonts w:ascii="Times" w:hAnsi="Times"/>
            </w:rPr>
            <w:instrText xml:space="preserve">CITATION Cla14 \l 2057 </w:instrText>
          </w:r>
          <w:r>
            <w:rPr>
              <w:rFonts w:ascii="Times" w:hAnsi="Times"/>
              <w:lang w:val="en-US"/>
            </w:rPr>
            <w:fldChar w:fldCharType="separate"/>
          </w:r>
          <w:r w:rsidR="006E3DAC">
            <w:rPr>
              <w:rFonts w:ascii="Times" w:hAnsi="Times"/>
              <w:noProof/>
            </w:rPr>
            <w:t xml:space="preserve"> </w:t>
          </w:r>
          <w:r w:rsidR="006E3DAC" w:rsidRPr="006E3DAC">
            <w:rPr>
              <w:rFonts w:ascii="Times" w:hAnsi="Times"/>
              <w:noProof/>
            </w:rPr>
            <w:t>[7]</w:t>
          </w:r>
          <w:r>
            <w:rPr>
              <w:rFonts w:ascii="Times" w:hAnsi="Times"/>
              <w:lang w:val="en-US"/>
            </w:rPr>
            <w:fldChar w:fldCharType="end"/>
          </w:r>
        </w:sdtContent>
      </w:sdt>
      <w:sdt>
        <w:sdtPr>
          <w:rPr>
            <w:rFonts w:ascii="Times" w:hAnsi="Times"/>
            <w:lang w:val="en-US"/>
          </w:rPr>
          <w:id w:val="1804965720"/>
          <w:citation/>
        </w:sdtPr>
        <w:sdtEndPr/>
        <w:sdtContent>
          <w:r>
            <w:rPr>
              <w:rFonts w:ascii="Times" w:hAnsi="Times"/>
              <w:lang w:val="en-US"/>
            </w:rPr>
            <w:fldChar w:fldCharType="begin"/>
          </w:r>
          <w:r>
            <w:rPr>
              <w:rFonts w:ascii="Times" w:hAnsi="Times"/>
            </w:rPr>
            <w:instrText xml:space="preserve">CITATION Chr21 \l 2057 </w:instrText>
          </w:r>
          <w:r>
            <w:rPr>
              <w:rFonts w:ascii="Times" w:hAnsi="Times"/>
              <w:lang w:val="en-US"/>
            </w:rPr>
            <w:fldChar w:fldCharType="separate"/>
          </w:r>
          <w:r w:rsidR="006E3DAC">
            <w:rPr>
              <w:rFonts w:ascii="Times" w:hAnsi="Times"/>
              <w:noProof/>
            </w:rPr>
            <w:t xml:space="preserve"> </w:t>
          </w:r>
          <w:r w:rsidR="006E3DAC" w:rsidRPr="006E3DAC">
            <w:rPr>
              <w:rFonts w:ascii="Times" w:hAnsi="Times"/>
              <w:noProof/>
            </w:rPr>
            <w:t>[8]</w:t>
          </w:r>
          <w:r>
            <w:rPr>
              <w:rFonts w:ascii="Times" w:hAnsi="Times"/>
              <w:lang w:val="en-US"/>
            </w:rPr>
            <w:fldChar w:fldCharType="end"/>
          </w:r>
        </w:sdtContent>
      </w:sdt>
      <w:sdt>
        <w:sdtPr>
          <w:rPr>
            <w:rFonts w:ascii="Times" w:hAnsi="Times"/>
            <w:lang w:val="en-US"/>
          </w:rPr>
          <w:id w:val="-2012756819"/>
          <w:citation/>
        </w:sdtPr>
        <w:sdtEndPr/>
        <w:sdtContent>
          <w:r>
            <w:rPr>
              <w:rFonts w:ascii="Times" w:hAnsi="Times"/>
              <w:lang w:val="en-US"/>
            </w:rPr>
            <w:fldChar w:fldCharType="begin"/>
          </w:r>
          <w:r>
            <w:rPr>
              <w:rFonts w:ascii="Times" w:hAnsi="Times"/>
            </w:rPr>
            <w:instrText xml:space="preserve">CITATION Ver22 \l 2057 </w:instrText>
          </w:r>
          <w:r>
            <w:rPr>
              <w:rFonts w:ascii="Times" w:hAnsi="Times"/>
              <w:lang w:val="en-US"/>
            </w:rPr>
            <w:fldChar w:fldCharType="separate"/>
          </w:r>
          <w:r w:rsidR="006E3DAC">
            <w:rPr>
              <w:rFonts w:ascii="Times" w:hAnsi="Times"/>
              <w:noProof/>
            </w:rPr>
            <w:t xml:space="preserve"> </w:t>
          </w:r>
          <w:r w:rsidR="006E3DAC" w:rsidRPr="006E3DAC">
            <w:rPr>
              <w:rFonts w:ascii="Times" w:hAnsi="Times"/>
              <w:noProof/>
            </w:rPr>
            <w:t>[9]</w:t>
          </w:r>
          <w:r>
            <w:rPr>
              <w:rFonts w:ascii="Times" w:hAnsi="Times"/>
              <w:lang w:val="en-US"/>
            </w:rPr>
            <w:fldChar w:fldCharType="end"/>
          </w:r>
        </w:sdtContent>
      </w:sdt>
      <w:r>
        <w:rPr>
          <w:rFonts w:ascii="Times" w:hAnsi="Times"/>
          <w:lang w:val="en-US"/>
        </w:rPr>
        <w:t xml:space="preserve">. </w:t>
      </w:r>
    </w:p>
    <w:p w14:paraId="0500ED8F" w14:textId="3C926AF0" w:rsidR="00B02C22" w:rsidRDefault="00B02C22" w:rsidP="00B02C22">
      <w:pPr>
        <w:spacing w:line="480" w:lineRule="auto"/>
        <w:jc w:val="both"/>
        <w:rPr>
          <w:rFonts w:ascii="Times" w:hAnsi="Times"/>
          <w:lang w:val="en-US"/>
        </w:rPr>
      </w:pPr>
      <w:r>
        <w:rPr>
          <w:rFonts w:ascii="Times" w:hAnsi="Times"/>
          <w:lang w:val="en-US"/>
        </w:rPr>
        <w:t xml:space="preserve">  In recent years, colocalization has increasingly been employed as a supplementary analysis to MR, especially in drug-target MR studies</w:t>
      </w:r>
      <w:sdt>
        <w:sdtPr>
          <w:rPr>
            <w:rFonts w:ascii="Times" w:hAnsi="Times"/>
            <w:lang w:val="en-US"/>
          </w:rPr>
          <w:id w:val="829410779"/>
          <w:citation/>
        </w:sdtPr>
        <w:sdtEndPr/>
        <w:sdtContent>
          <w:r>
            <w:rPr>
              <w:rFonts w:ascii="Times" w:hAnsi="Times"/>
              <w:lang w:val="en-US"/>
            </w:rPr>
            <w:fldChar w:fldCharType="begin"/>
          </w:r>
          <w:r>
            <w:rPr>
              <w:rFonts w:ascii="Times" w:hAnsi="Times"/>
            </w:rPr>
            <w:instrText xml:space="preserve">CITATION Dip211 \l 2057 </w:instrText>
          </w:r>
          <w:r>
            <w:rPr>
              <w:rFonts w:ascii="Times" w:hAnsi="Times"/>
              <w:lang w:val="en-US"/>
            </w:rPr>
            <w:fldChar w:fldCharType="separate"/>
          </w:r>
          <w:r w:rsidR="006E3DAC">
            <w:rPr>
              <w:rFonts w:ascii="Times" w:hAnsi="Times"/>
              <w:noProof/>
            </w:rPr>
            <w:t xml:space="preserve"> </w:t>
          </w:r>
          <w:r w:rsidR="006E3DAC" w:rsidRPr="006E3DAC">
            <w:rPr>
              <w:rFonts w:ascii="Times" w:hAnsi="Times"/>
              <w:noProof/>
            </w:rPr>
            <w:t>[10]</w:t>
          </w:r>
          <w:r>
            <w:rPr>
              <w:rFonts w:ascii="Times" w:hAnsi="Times"/>
              <w:lang w:val="en-US"/>
            </w:rPr>
            <w:fldChar w:fldCharType="end"/>
          </w:r>
        </w:sdtContent>
      </w:sdt>
      <w:sdt>
        <w:sdtPr>
          <w:rPr>
            <w:rFonts w:ascii="Times" w:hAnsi="Times"/>
            <w:lang w:val="en-US"/>
          </w:rPr>
          <w:id w:val="83881580"/>
          <w:citation/>
        </w:sdtPr>
        <w:sdtEndPr/>
        <w:sdtContent>
          <w:r>
            <w:rPr>
              <w:rFonts w:ascii="Times" w:hAnsi="Times"/>
              <w:lang w:val="en-US"/>
            </w:rPr>
            <w:fldChar w:fldCharType="begin"/>
          </w:r>
          <w:r>
            <w:rPr>
              <w:rFonts w:ascii="Times" w:hAnsi="Times"/>
            </w:rPr>
            <w:instrText xml:space="preserve"> CITATION Wal \l 2057 </w:instrText>
          </w:r>
          <w:r>
            <w:rPr>
              <w:rFonts w:ascii="Times" w:hAnsi="Times"/>
              <w:lang w:val="en-US"/>
            </w:rPr>
            <w:fldChar w:fldCharType="separate"/>
          </w:r>
          <w:r w:rsidR="006E3DAC">
            <w:rPr>
              <w:rFonts w:ascii="Times" w:hAnsi="Times"/>
              <w:noProof/>
            </w:rPr>
            <w:t xml:space="preserve"> </w:t>
          </w:r>
          <w:r w:rsidR="006E3DAC" w:rsidRPr="006E3DAC">
            <w:rPr>
              <w:rFonts w:ascii="Times" w:hAnsi="Times"/>
              <w:noProof/>
            </w:rPr>
            <w:t>[11]</w:t>
          </w:r>
          <w:r>
            <w:rPr>
              <w:rFonts w:ascii="Times" w:hAnsi="Times"/>
              <w:lang w:val="en-US"/>
            </w:rPr>
            <w:fldChar w:fldCharType="end"/>
          </w:r>
        </w:sdtContent>
      </w:sdt>
      <w:r>
        <w:rPr>
          <w:rFonts w:ascii="Times" w:hAnsi="Times"/>
          <w:lang w:val="en-US"/>
        </w:rPr>
        <w:t xml:space="preserve">. Performed where MR yields an apparently significant effect of a putative drug target and outcome of interest, colocalization can interrogate the risk that this MR result is confounded by linkage disequilibrium (LD). </w:t>
      </w:r>
      <w:r w:rsidR="0038617B">
        <w:rPr>
          <w:rFonts w:ascii="Times" w:hAnsi="Times"/>
          <w:lang w:val="en-US"/>
        </w:rPr>
        <w:t>Here</w:t>
      </w:r>
      <w:r>
        <w:rPr>
          <w:rFonts w:ascii="Times" w:hAnsi="Times"/>
          <w:lang w:val="en-US"/>
        </w:rPr>
        <w:t xml:space="preserve"> two SNPs in the drug target gene region of interest are correlated with one another, with one SNP associating with the exposure and the other SNP associating with outcome. On performing MR in this situation, the genetic instrument may appear to associate with both exposure and outcome and produce a significant MR result when in fact two distinct causal variants in LD with one another independently explain the two associations with exposure and outcome. By formally assessing the likelihood that a single variant or distinct variants explain the association with exposure and outcome, colocalization can identify confounding by LD and thus identify spurious MR results. </w:t>
      </w:r>
    </w:p>
    <w:p w14:paraId="72E383CD" w14:textId="243D6029" w:rsidR="00B02C22" w:rsidRDefault="00523877" w:rsidP="00B02C22">
      <w:pPr>
        <w:spacing w:before="120" w:after="240" w:line="480" w:lineRule="auto"/>
        <w:jc w:val="both"/>
        <w:rPr>
          <w:rFonts w:ascii="Times" w:hAnsi="Times"/>
        </w:rPr>
      </w:pPr>
      <w:r>
        <w:rPr>
          <w:rFonts w:ascii="Times" w:hAnsi="Times"/>
          <w:lang w:val="en-US"/>
        </w:rPr>
        <w:t xml:space="preserve">  </w:t>
      </w:r>
      <w:r w:rsidR="00B02C22">
        <w:rPr>
          <w:rFonts w:ascii="Times" w:hAnsi="Times"/>
          <w:lang w:val="en-US"/>
        </w:rPr>
        <w:t>Two main theoretical approaches to colocalization have been developed: a frequentist, proportional approach and a Bayesian, enumeration approach</w:t>
      </w:r>
      <w:sdt>
        <w:sdtPr>
          <w:rPr>
            <w:rFonts w:ascii="Times" w:hAnsi="Times"/>
            <w:lang w:val="en-US"/>
          </w:rPr>
          <w:id w:val="1584720426"/>
          <w:citation/>
        </w:sdtPr>
        <w:sdtEndPr/>
        <w:sdtContent>
          <w:r w:rsidR="00B02C22">
            <w:rPr>
              <w:rFonts w:ascii="Times" w:hAnsi="Times"/>
              <w:lang w:val="en-US"/>
            </w:rPr>
            <w:fldChar w:fldCharType="begin"/>
          </w:r>
          <w:r w:rsidR="00B02C22">
            <w:rPr>
              <w:rFonts w:ascii="Times" w:hAnsi="Times"/>
            </w:rPr>
            <w:instrText xml:space="preserve">CITATION Cla14 \l 2057 </w:instrText>
          </w:r>
          <w:r w:rsidR="00B02C22">
            <w:rPr>
              <w:rFonts w:ascii="Times" w:hAnsi="Times"/>
              <w:lang w:val="en-US"/>
            </w:rPr>
            <w:fldChar w:fldCharType="separate"/>
          </w:r>
          <w:r w:rsidR="006E3DAC">
            <w:rPr>
              <w:rFonts w:ascii="Times" w:hAnsi="Times"/>
              <w:noProof/>
            </w:rPr>
            <w:t xml:space="preserve"> </w:t>
          </w:r>
          <w:r w:rsidR="006E3DAC" w:rsidRPr="006E3DAC">
            <w:rPr>
              <w:rFonts w:ascii="Times" w:hAnsi="Times"/>
              <w:noProof/>
            </w:rPr>
            <w:t>[7]</w:t>
          </w:r>
          <w:r w:rsidR="00B02C22">
            <w:rPr>
              <w:rFonts w:ascii="Times" w:hAnsi="Times"/>
              <w:lang w:val="en-US"/>
            </w:rPr>
            <w:fldChar w:fldCharType="end"/>
          </w:r>
        </w:sdtContent>
      </w:sdt>
      <w:sdt>
        <w:sdtPr>
          <w:rPr>
            <w:rFonts w:ascii="Times" w:hAnsi="Times"/>
            <w:lang w:val="en-US"/>
          </w:rPr>
          <w:id w:val="273217277"/>
          <w:citation/>
        </w:sdtPr>
        <w:sdtEndPr/>
        <w:sdtContent>
          <w:r w:rsidR="00B02C22">
            <w:rPr>
              <w:rFonts w:ascii="Times" w:hAnsi="Times"/>
              <w:lang w:val="en-US"/>
            </w:rPr>
            <w:fldChar w:fldCharType="begin"/>
          </w:r>
          <w:r w:rsidR="00B02C22">
            <w:rPr>
              <w:rFonts w:ascii="Times" w:hAnsi="Times"/>
            </w:rPr>
            <w:instrText xml:space="preserve">CITATION Chr21 \l 2057 </w:instrText>
          </w:r>
          <w:r w:rsidR="00B02C22">
            <w:rPr>
              <w:rFonts w:ascii="Times" w:hAnsi="Times"/>
              <w:lang w:val="en-US"/>
            </w:rPr>
            <w:fldChar w:fldCharType="separate"/>
          </w:r>
          <w:r w:rsidR="006E3DAC">
            <w:rPr>
              <w:rFonts w:ascii="Times" w:hAnsi="Times"/>
              <w:noProof/>
            </w:rPr>
            <w:t xml:space="preserve"> </w:t>
          </w:r>
          <w:r w:rsidR="006E3DAC" w:rsidRPr="006E3DAC">
            <w:rPr>
              <w:rFonts w:ascii="Times" w:hAnsi="Times"/>
              <w:noProof/>
            </w:rPr>
            <w:t>[8]</w:t>
          </w:r>
          <w:r w:rsidR="00B02C22">
            <w:rPr>
              <w:rFonts w:ascii="Times" w:hAnsi="Times"/>
              <w:lang w:val="en-US"/>
            </w:rPr>
            <w:fldChar w:fldCharType="end"/>
          </w:r>
        </w:sdtContent>
      </w:sdt>
      <w:sdt>
        <w:sdtPr>
          <w:rPr>
            <w:rFonts w:ascii="Times" w:hAnsi="Times"/>
            <w:lang w:val="en-US"/>
          </w:rPr>
          <w:id w:val="-234013511"/>
          <w:citation/>
        </w:sdtPr>
        <w:sdtEndPr/>
        <w:sdtContent>
          <w:r w:rsidR="00B02C22">
            <w:rPr>
              <w:rFonts w:ascii="Times" w:hAnsi="Times"/>
              <w:lang w:val="en-US"/>
            </w:rPr>
            <w:fldChar w:fldCharType="begin"/>
          </w:r>
          <w:r w:rsidR="00B02C22">
            <w:rPr>
              <w:rFonts w:ascii="Times" w:hAnsi="Times"/>
            </w:rPr>
            <w:instrText xml:space="preserve">CITATION Ver22 \l 2057 </w:instrText>
          </w:r>
          <w:r w:rsidR="00B02C22">
            <w:rPr>
              <w:rFonts w:ascii="Times" w:hAnsi="Times"/>
              <w:lang w:val="en-US"/>
            </w:rPr>
            <w:fldChar w:fldCharType="separate"/>
          </w:r>
          <w:r w:rsidR="006E3DAC">
            <w:rPr>
              <w:rFonts w:ascii="Times" w:hAnsi="Times"/>
              <w:noProof/>
            </w:rPr>
            <w:t xml:space="preserve"> </w:t>
          </w:r>
          <w:r w:rsidR="006E3DAC" w:rsidRPr="006E3DAC">
            <w:rPr>
              <w:rFonts w:ascii="Times" w:hAnsi="Times"/>
              <w:noProof/>
            </w:rPr>
            <w:t>[9]</w:t>
          </w:r>
          <w:r w:rsidR="00B02C22">
            <w:rPr>
              <w:rFonts w:ascii="Times" w:hAnsi="Times"/>
              <w:lang w:val="en-US"/>
            </w:rPr>
            <w:fldChar w:fldCharType="end"/>
          </w:r>
        </w:sdtContent>
      </w:sdt>
      <w:r w:rsidR="00B02C22">
        <w:rPr>
          <w:rFonts w:ascii="Times" w:hAnsi="Times"/>
          <w:lang w:val="en-US"/>
        </w:rPr>
        <w:t xml:space="preserve">. </w:t>
      </w:r>
      <w:r w:rsidR="00B02C22">
        <w:rPr>
          <w:rFonts w:ascii="Times" w:hAnsi="Times"/>
        </w:rPr>
        <w:t>A limitation of proportional, frequentist approach is that colocalization is concluded to be present when the null holds. However, failure to reject the null may be due to true colocalization or a lack of statistical power and proportional approaches are incapable of distinguishing between the two</w:t>
      </w:r>
      <w:r w:rsidR="00B02C22" w:rsidRPr="00E44186">
        <w:rPr>
          <w:rFonts w:ascii="Times" w:hAnsi="Times"/>
          <w:lang w:val="en-US"/>
        </w:rPr>
        <w:t xml:space="preserve"> </w:t>
      </w:r>
      <w:sdt>
        <w:sdtPr>
          <w:rPr>
            <w:rFonts w:ascii="Times" w:hAnsi="Times"/>
            <w:lang w:val="en-US"/>
          </w:rPr>
          <w:id w:val="-1195375757"/>
          <w:citation/>
        </w:sdtPr>
        <w:sdtEndPr/>
        <w:sdtContent>
          <w:r w:rsidR="00B02C22">
            <w:rPr>
              <w:rFonts w:ascii="Times" w:hAnsi="Times"/>
              <w:lang w:val="en-US"/>
            </w:rPr>
            <w:fldChar w:fldCharType="begin"/>
          </w:r>
          <w:r w:rsidR="00B02C22">
            <w:rPr>
              <w:rFonts w:ascii="Times" w:hAnsi="Times"/>
            </w:rPr>
            <w:instrText xml:space="preserve">CITATION Ver22 \l 2057 </w:instrText>
          </w:r>
          <w:r w:rsidR="00B02C22">
            <w:rPr>
              <w:rFonts w:ascii="Times" w:hAnsi="Times"/>
              <w:lang w:val="en-US"/>
            </w:rPr>
            <w:fldChar w:fldCharType="separate"/>
          </w:r>
          <w:r w:rsidR="006E3DAC" w:rsidRPr="006E3DAC">
            <w:rPr>
              <w:rFonts w:ascii="Times" w:hAnsi="Times"/>
              <w:noProof/>
            </w:rPr>
            <w:t>[9]</w:t>
          </w:r>
          <w:r w:rsidR="00B02C22">
            <w:rPr>
              <w:rFonts w:ascii="Times" w:hAnsi="Times"/>
              <w:lang w:val="en-US"/>
            </w:rPr>
            <w:fldChar w:fldCharType="end"/>
          </w:r>
        </w:sdtContent>
      </w:sdt>
      <w:r w:rsidR="00B02C22">
        <w:rPr>
          <w:rFonts w:ascii="Times" w:hAnsi="Times"/>
        </w:rPr>
        <w:t>. A key</w:t>
      </w:r>
      <w:r w:rsidR="00B02C22" w:rsidRPr="004645B3">
        <w:rPr>
          <w:rFonts w:ascii="Times" w:hAnsi="Times"/>
        </w:rPr>
        <w:t xml:space="preserve"> advantage of enumeration methods </w:t>
      </w:r>
      <w:r w:rsidR="00B02C22">
        <w:rPr>
          <w:rFonts w:ascii="Times" w:hAnsi="Times"/>
        </w:rPr>
        <w:t>is</w:t>
      </w:r>
      <w:r w:rsidR="00B02C22" w:rsidRPr="004645B3">
        <w:rPr>
          <w:rFonts w:ascii="Times" w:hAnsi="Times"/>
        </w:rPr>
        <w:t xml:space="preserve"> that </w:t>
      </w:r>
      <w:r w:rsidR="00B02C22">
        <w:rPr>
          <w:rFonts w:ascii="Times" w:hAnsi="Times"/>
        </w:rPr>
        <w:t>colocalization</w:t>
      </w:r>
      <w:r w:rsidR="00B02C22" w:rsidRPr="004645B3">
        <w:rPr>
          <w:rFonts w:ascii="Times" w:hAnsi="Times"/>
        </w:rPr>
        <w:t xml:space="preserve"> is only concluded </w:t>
      </w:r>
      <w:r w:rsidR="00B02C22">
        <w:rPr>
          <w:rFonts w:ascii="Times" w:hAnsi="Times"/>
        </w:rPr>
        <w:t>in</w:t>
      </w:r>
      <w:r w:rsidR="00B02C22" w:rsidRPr="004645B3">
        <w:rPr>
          <w:rFonts w:ascii="Times" w:hAnsi="Times"/>
        </w:rPr>
        <w:t xml:space="preserve"> </w:t>
      </w:r>
      <w:r w:rsidR="00B02C22">
        <w:rPr>
          <w:rFonts w:ascii="Times" w:hAnsi="Times"/>
        </w:rPr>
        <w:t>the</w:t>
      </w:r>
      <w:r w:rsidR="00B02C22" w:rsidRPr="004645B3">
        <w:rPr>
          <w:rFonts w:ascii="Times" w:hAnsi="Times"/>
        </w:rPr>
        <w:t xml:space="preserve"> prese</w:t>
      </w:r>
      <w:r w:rsidR="00B02C22">
        <w:rPr>
          <w:rFonts w:ascii="Times" w:hAnsi="Times"/>
        </w:rPr>
        <w:t xml:space="preserve">nce of </w:t>
      </w:r>
      <w:r w:rsidR="00B02C22" w:rsidRPr="004645B3">
        <w:rPr>
          <w:rFonts w:ascii="Times" w:hAnsi="Times"/>
        </w:rPr>
        <w:t xml:space="preserve">positive evidence supporting </w:t>
      </w:r>
      <w:r w:rsidR="00B02C22">
        <w:rPr>
          <w:rFonts w:ascii="Times" w:hAnsi="Times"/>
        </w:rPr>
        <w:t>colocalization</w:t>
      </w:r>
      <w:r w:rsidR="00B02C22" w:rsidRPr="004645B3">
        <w:rPr>
          <w:rFonts w:ascii="Times" w:hAnsi="Times"/>
        </w:rPr>
        <w:t xml:space="preserve">. In the absence of evidence of </w:t>
      </w:r>
      <w:r w:rsidR="00B02C22">
        <w:rPr>
          <w:rFonts w:ascii="Times" w:hAnsi="Times"/>
        </w:rPr>
        <w:t>colocalization</w:t>
      </w:r>
      <w:r w:rsidR="00B02C22" w:rsidRPr="004645B3">
        <w:rPr>
          <w:rFonts w:ascii="Times" w:hAnsi="Times"/>
        </w:rPr>
        <w:t xml:space="preserve">, the posterior probabilities will approximate the prior probabilities, which are </w:t>
      </w:r>
      <w:r w:rsidR="00B02C22">
        <w:rPr>
          <w:rFonts w:ascii="Times" w:hAnsi="Times"/>
        </w:rPr>
        <w:t xml:space="preserve">intentionally set at </w:t>
      </w:r>
      <w:r w:rsidR="00B02C22" w:rsidRPr="004645B3">
        <w:rPr>
          <w:rFonts w:ascii="Times" w:hAnsi="Times"/>
        </w:rPr>
        <w:t>sceptical</w:t>
      </w:r>
      <w:r w:rsidR="00B02C22">
        <w:rPr>
          <w:rFonts w:ascii="Times" w:hAnsi="Times"/>
        </w:rPr>
        <w:t xml:space="preserve"> values</w:t>
      </w:r>
      <w:r w:rsidR="00B02C22" w:rsidRPr="004645B3">
        <w:rPr>
          <w:rFonts w:ascii="Times" w:hAnsi="Times"/>
        </w:rPr>
        <w:t xml:space="preserve"> </w:t>
      </w:r>
      <w:r w:rsidR="00B02C22">
        <w:rPr>
          <w:rFonts w:ascii="Times" w:hAnsi="Times"/>
        </w:rPr>
        <w:t>to</w:t>
      </w:r>
      <w:r w:rsidR="00B02C22" w:rsidRPr="004645B3">
        <w:rPr>
          <w:rFonts w:ascii="Times" w:hAnsi="Times"/>
        </w:rPr>
        <w:t xml:space="preserve"> avoid spurious false positives. </w:t>
      </w:r>
      <w:r w:rsidR="00B02C22">
        <w:rPr>
          <w:rFonts w:ascii="Times" w:hAnsi="Times"/>
        </w:rPr>
        <w:t>Coloc, the most widely used e</w:t>
      </w:r>
      <w:r w:rsidR="00B02C22" w:rsidRPr="00907C80">
        <w:rPr>
          <w:rFonts w:ascii="Times" w:hAnsi="Times"/>
        </w:rPr>
        <w:t xml:space="preserve">numeration </w:t>
      </w:r>
      <w:r w:rsidR="00B02C22">
        <w:rPr>
          <w:rFonts w:ascii="Times" w:hAnsi="Times"/>
        </w:rPr>
        <w:t>method, was used in this study</w:t>
      </w:r>
      <w:sdt>
        <w:sdtPr>
          <w:rPr>
            <w:rFonts w:ascii="Times" w:hAnsi="Times"/>
            <w:lang w:val="en-US"/>
          </w:rPr>
          <w:id w:val="40723249"/>
          <w:citation/>
        </w:sdtPr>
        <w:sdtEndPr/>
        <w:sdtContent>
          <w:r w:rsidR="00B02C22">
            <w:rPr>
              <w:rFonts w:ascii="Times" w:hAnsi="Times"/>
              <w:lang w:val="en-US"/>
            </w:rPr>
            <w:fldChar w:fldCharType="begin"/>
          </w:r>
          <w:r w:rsidR="00B02C22">
            <w:rPr>
              <w:rFonts w:ascii="Times" w:hAnsi="Times"/>
            </w:rPr>
            <w:instrText xml:space="preserve">CITATION Cla14 \l 2057 </w:instrText>
          </w:r>
          <w:r w:rsidR="00B02C22">
            <w:rPr>
              <w:rFonts w:ascii="Times" w:hAnsi="Times"/>
              <w:lang w:val="en-US"/>
            </w:rPr>
            <w:fldChar w:fldCharType="separate"/>
          </w:r>
          <w:r w:rsidR="006E3DAC">
            <w:rPr>
              <w:rFonts w:ascii="Times" w:hAnsi="Times"/>
              <w:noProof/>
            </w:rPr>
            <w:t xml:space="preserve"> </w:t>
          </w:r>
          <w:r w:rsidR="006E3DAC" w:rsidRPr="006E3DAC">
            <w:rPr>
              <w:rFonts w:ascii="Times" w:hAnsi="Times"/>
              <w:noProof/>
            </w:rPr>
            <w:t>[7]</w:t>
          </w:r>
          <w:r w:rsidR="00B02C22">
            <w:rPr>
              <w:rFonts w:ascii="Times" w:hAnsi="Times"/>
              <w:lang w:val="en-US"/>
            </w:rPr>
            <w:fldChar w:fldCharType="end"/>
          </w:r>
        </w:sdtContent>
      </w:sdt>
      <w:r w:rsidR="00B02C22">
        <w:rPr>
          <w:rFonts w:ascii="Times" w:hAnsi="Times"/>
        </w:rPr>
        <w:t xml:space="preserve">. </w:t>
      </w:r>
    </w:p>
    <w:p w14:paraId="40D2882D" w14:textId="60443B7E" w:rsidR="00B02C22" w:rsidRDefault="00B66B00" w:rsidP="00B02C22">
      <w:pPr>
        <w:spacing w:line="480" w:lineRule="auto"/>
        <w:jc w:val="both"/>
        <w:rPr>
          <w:rFonts w:ascii="Times" w:hAnsi="Times"/>
          <w:lang w:val="en-US"/>
        </w:rPr>
      </w:pPr>
      <w:r>
        <w:rPr>
          <w:rFonts w:ascii="Times" w:hAnsi="Times"/>
        </w:rPr>
        <w:t>Using the prior probabilities and the genetic association</w:t>
      </w:r>
      <w:r w:rsidR="00865484">
        <w:rPr>
          <w:rFonts w:ascii="Times" w:hAnsi="Times"/>
        </w:rPr>
        <w:t xml:space="preserve"> data</w:t>
      </w:r>
      <w:r>
        <w:rPr>
          <w:rFonts w:ascii="Times" w:hAnsi="Times"/>
        </w:rPr>
        <w:t xml:space="preserve"> for the two traits within the drug target gene </w:t>
      </w:r>
      <w:r w:rsidR="005F712A">
        <w:rPr>
          <w:rFonts w:ascii="Times" w:hAnsi="Times"/>
        </w:rPr>
        <w:t>body</w:t>
      </w:r>
      <w:r>
        <w:rPr>
          <w:rFonts w:ascii="Times" w:hAnsi="Times"/>
        </w:rPr>
        <w:t>,</w:t>
      </w:r>
      <w:r w:rsidRPr="00355526">
        <w:rPr>
          <w:rFonts w:ascii="Times" w:hAnsi="Times"/>
        </w:rPr>
        <w:t xml:space="preserve"> </w:t>
      </w:r>
      <w:r>
        <w:rPr>
          <w:rFonts w:ascii="Times" w:hAnsi="Times"/>
        </w:rPr>
        <w:t xml:space="preserve">coloc </w:t>
      </w:r>
      <w:r w:rsidR="005F712A">
        <w:rPr>
          <w:rFonts w:ascii="Times" w:hAnsi="Times"/>
        </w:rPr>
        <w:t xml:space="preserve">was used to </w:t>
      </w:r>
      <w:r>
        <w:rPr>
          <w:rFonts w:ascii="Times" w:hAnsi="Times"/>
        </w:rPr>
        <w:t xml:space="preserve">compute </w:t>
      </w:r>
      <w:r w:rsidRPr="00355526">
        <w:rPr>
          <w:rFonts w:ascii="Times" w:hAnsi="Times"/>
        </w:rPr>
        <w:t xml:space="preserve">posterior probabilities for five </w:t>
      </w:r>
      <w:r>
        <w:rPr>
          <w:rFonts w:ascii="Times" w:hAnsi="Times"/>
        </w:rPr>
        <w:t>hypotheses</w:t>
      </w:r>
      <w:r w:rsidRPr="00355526">
        <w:rPr>
          <w:rFonts w:ascii="Times" w:hAnsi="Times"/>
        </w:rPr>
        <w:t>:</w:t>
      </w:r>
      <w:r>
        <w:rPr>
          <w:rFonts w:ascii="Times" w:hAnsi="Times"/>
        </w:rPr>
        <w:t xml:space="preserve"> </w:t>
      </w:r>
      <w:r w:rsidRPr="00A62AFF">
        <w:rPr>
          <w:rFonts w:ascii="Times" w:hAnsi="Times"/>
        </w:rPr>
        <w:t>H0: no association with either trait</w:t>
      </w:r>
      <w:r>
        <w:rPr>
          <w:rFonts w:ascii="Times" w:hAnsi="Times"/>
        </w:rPr>
        <w:t xml:space="preserve">; </w:t>
      </w:r>
      <w:r w:rsidRPr="00A62AFF">
        <w:rPr>
          <w:rFonts w:ascii="Times" w:hAnsi="Times"/>
        </w:rPr>
        <w:t>H1: association with trait 1</w:t>
      </w:r>
      <w:r>
        <w:rPr>
          <w:rFonts w:ascii="Times" w:hAnsi="Times"/>
        </w:rPr>
        <w:t>,</w:t>
      </w:r>
      <w:r w:rsidRPr="00A62AFF">
        <w:rPr>
          <w:rFonts w:ascii="Times" w:hAnsi="Times"/>
        </w:rPr>
        <w:t xml:space="preserve"> but not trait 2</w:t>
      </w:r>
      <w:r>
        <w:rPr>
          <w:rFonts w:ascii="Times" w:hAnsi="Times"/>
        </w:rPr>
        <w:t xml:space="preserve">; </w:t>
      </w:r>
      <w:r w:rsidRPr="00A62AFF">
        <w:rPr>
          <w:rFonts w:ascii="Times" w:hAnsi="Times"/>
        </w:rPr>
        <w:t>H2: association with trait 2</w:t>
      </w:r>
      <w:r>
        <w:rPr>
          <w:rFonts w:ascii="Times" w:hAnsi="Times"/>
        </w:rPr>
        <w:t>,</w:t>
      </w:r>
      <w:r w:rsidRPr="00A62AFF">
        <w:rPr>
          <w:rFonts w:ascii="Times" w:hAnsi="Times"/>
        </w:rPr>
        <w:t xml:space="preserve"> but not trait 1</w:t>
      </w:r>
      <w:r>
        <w:rPr>
          <w:rFonts w:ascii="Times" w:hAnsi="Times"/>
        </w:rPr>
        <w:t xml:space="preserve">; </w:t>
      </w:r>
      <w:r w:rsidRPr="00A62AFF">
        <w:rPr>
          <w:rFonts w:ascii="Times" w:hAnsi="Times"/>
        </w:rPr>
        <w:t>H3: association with both traits</w:t>
      </w:r>
      <w:r>
        <w:rPr>
          <w:rFonts w:ascii="Times" w:hAnsi="Times"/>
        </w:rPr>
        <w:t>,</w:t>
      </w:r>
      <w:r w:rsidRPr="00A62AFF">
        <w:rPr>
          <w:rFonts w:ascii="Times" w:hAnsi="Times"/>
        </w:rPr>
        <w:t xml:space="preserve"> but at separate causal variants</w:t>
      </w:r>
      <w:r>
        <w:rPr>
          <w:rFonts w:ascii="Times" w:hAnsi="Times"/>
        </w:rPr>
        <w:t xml:space="preserve">; </w:t>
      </w:r>
      <w:r w:rsidRPr="00A62AFF">
        <w:rPr>
          <w:rFonts w:ascii="Times" w:hAnsi="Times"/>
        </w:rPr>
        <w:t>H4: association with both traits at a shared</w:t>
      </w:r>
      <w:r>
        <w:rPr>
          <w:rFonts w:ascii="Times" w:hAnsi="Times"/>
        </w:rPr>
        <w:t xml:space="preserve"> </w:t>
      </w:r>
      <w:r w:rsidRPr="00A62AFF">
        <w:rPr>
          <w:rFonts w:ascii="Times" w:hAnsi="Times"/>
        </w:rPr>
        <w:t>causal variant.</w:t>
      </w:r>
    </w:p>
    <w:p w14:paraId="129DC38B" w14:textId="77777777" w:rsidR="0038617B" w:rsidRDefault="0038617B" w:rsidP="006B5022">
      <w:pPr>
        <w:spacing w:line="480" w:lineRule="auto"/>
        <w:jc w:val="both"/>
      </w:pPr>
    </w:p>
    <w:p w14:paraId="61AC6E79" w14:textId="77777777" w:rsidR="0038617B" w:rsidRPr="007A6F9E" w:rsidRDefault="0038617B" w:rsidP="0038617B">
      <w:pPr>
        <w:spacing w:line="480" w:lineRule="auto"/>
        <w:rPr>
          <w:rFonts w:ascii="Times" w:hAnsi="Times"/>
          <w:b/>
          <w:bCs/>
        </w:rPr>
      </w:pPr>
      <w:r>
        <w:rPr>
          <w:rFonts w:ascii="Times" w:hAnsi="Times"/>
          <w:b/>
          <w:bCs/>
        </w:rPr>
        <w:t>Replication</w:t>
      </w:r>
    </w:p>
    <w:p w14:paraId="5ABE22B6" w14:textId="6A74D280" w:rsidR="0038617B" w:rsidRPr="006E3DAC" w:rsidRDefault="0038617B" w:rsidP="006E3DAC">
      <w:pPr>
        <w:spacing w:before="120" w:after="240" w:line="480" w:lineRule="auto"/>
        <w:jc w:val="both"/>
        <w:rPr>
          <w:rFonts w:ascii="Times" w:hAnsi="Times"/>
        </w:rPr>
      </w:pPr>
      <w:r>
        <w:rPr>
          <w:rFonts w:ascii="Times" w:hAnsi="Times"/>
        </w:rPr>
        <w:t xml:space="preserve">  For replication, the parameters for </w:t>
      </w:r>
      <w:r w:rsidRPr="00DE0BF8">
        <w:rPr>
          <w:rFonts w:ascii="Times" w:hAnsi="Times"/>
          <w:i/>
          <w:iCs/>
        </w:rPr>
        <w:t>cis-</w:t>
      </w:r>
      <w:r>
        <w:rPr>
          <w:rFonts w:ascii="Times" w:hAnsi="Times"/>
        </w:rPr>
        <w:t xml:space="preserve">MR and coloc analyses were unchanged, i.e., the same </w:t>
      </w:r>
      <w:r w:rsidRPr="00DE0BF8">
        <w:rPr>
          <w:rFonts w:ascii="Times" w:hAnsi="Times"/>
          <w:i/>
          <w:iCs/>
        </w:rPr>
        <w:t>P</w:t>
      </w:r>
      <w:r>
        <w:rPr>
          <w:rFonts w:ascii="Times" w:hAnsi="Times"/>
        </w:rPr>
        <w:t xml:space="preserve">-value, LD clumping threshold and 100kB window were used in the </w:t>
      </w:r>
      <w:r w:rsidRPr="00DE0BF8">
        <w:rPr>
          <w:rFonts w:ascii="Times" w:hAnsi="Times"/>
          <w:i/>
          <w:iCs/>
        </w:rPr>
        <w:t>cis-</w:t>
      </w:r>
      <w:r>
        <w:rPr>
          <w:rFonts w:ascii="Times" w:hAnsi="Times"/>
        </w:rPr>
        <w:t>MR analysis, and the same priors (</w:t>
      </w:r>
      <w:r w:rsidRPr="00DE0BF8">
        <w:rPr>
          <w:rFonts w:ascii="Times" w:hAnsi="Times"/>
          <w:i/>
          <w:iCs/>
        </w:rPr>
        <w:t>p</w:t>
      </w:r>
      <w:r>
        <w:rPr>
          <w:rFonts w:ascii="Times" w:hAnsi="Times"/>
        </w:rPr>
        <w:t xml:space="preserve">1, </w:t>
      </w:r>
      <w:r w:rsidRPr="00DE0BF8">
        <w:rPr>
          <w:rFonts w:ascii="Times" w:hAnsi="Times"/>
          <w:i/>
          <w:iCs/>
        </w:rPr>
        <w:t>p</w:t>
      </w:r>
      <w:r>
        <w:rPr>
          <w:rFonts w:ascii="Times" w:hAnsi="Times"/>
        </w:rPr>
        <w:t xml:space="preserve">2 and </w:t>
      </w:r>
      <w:r w:rsidRPr="00DE0BF8">
        <w:rPr>
          <w:rFonts w:ascii="Times" w:hAnsi="Times"/>
          <w:i/>
          <w:iCs/>
        </w:rPr>
        <w:t>p</w:t>
      </w:r>
      <w:r>
        <w:rPr>
          <w:rFonts w:ascii="Times" w:hAnsi="Times"/>
        </w:rPr>
        <w:t xml:space="preserve">12) in the coloc analysis. </w:t>
      </w:r>
    </w:p>
    <w:sdt>
      <w:sdtPr>
        <w:rPr>
          <w:rFonts w:ascii="Times New Roman" w:eastAsia="Times New Roman" w:hAnsi="Times New Roman" w:cs="Times New Roman"/>
          <w:b w:val="0"/>
          <w:bCs w:val="0"/>
          <w:color w:val="auto"/>
          <w:sz w:val="24"/>
          <w:szCs w:val="24"/>
          <w:lang w:val="en-GB" w:eastAsia="en-GB" w:bidi="ar-SA"/>
        </w:rPr>
        <w:id w:val="-177118748"/>
        <w:docPartObj>
          <w:docPartGallery w:val="Bibliographies"/>
          <w:docPartUnique/>
        </w:docPartObj>
      </w:sdtPr>
      <w:sdtEndPr/>
      <w:sdtContent>
        <w:p w14:paraId="1B705EC1" w14:textId="77777777" w:rsidR="005222AE" w:rsidRDefault="005222AE" w:rsidP="00156545">
          <w:pPr>
            <w:pStyle w:val="Heading1"/>
            <w:spacing w:line="360" w:lineRule="auto"/>
            <w:rPr>
              <w:rFonts w:ascii="Times New Roman" w:eastAsia="Times New Roman" w:hAnsi="Times New Roman" w:cs="Times New Roman"/>
              <w:b w:val="0"/>
              <w:bCs w:val="0"/>
              <w:color w:val="auto"/>
              <w:sz w:val="24"/>
              <w:szCs w:val="24"/>
              <w:lang w:val="en-GB" w:eastAsia="en-GB" w:bidi="ar-SA"/>
            </w:rPr>
            <w:sectPr w:rsidR="005222AE" w:rsidSect="00234572">
              <w:pgSz w:w="11906" w:h="16838"/>
              <w:pgMar w:top="1440" w:right="1440" w:bottom="1440" w:left="1440" w:header="708" w:footer="708" w:gutter="0"/>
              <w:cols w:space="708"/>
              <w:docGrid w:linePitch="360"/>
            </w:sectPr>
          </w:pPr>
        </w:p>
        <w:p w14:paraId="1053AAC8" w14:textId="5D8874D5" w:rsidR="00156545" w:rsidRPr="006E3DAC" w:rsidRDefault="00156545" w:rsidP="006E3DAC">
          <w:pPr>
            <w:pStyle w:val="Heading1"/>
            <w:spacing w:line="360" w:lineRule="auto"/>
            <w:rPr>
              <w:rFonts w:ascii="Times" w:hAnsi="Times"/>
              <w:color w:val="000000" w:themeColor="text1"/>
              <w:sz w:val="24"/>
              <w:szCs w:val="24"/>
            </w:rPr>
          </w:pPr>
          <w:r w:rsidRPr="006E3DAC">
            <w:rPr>
              <w:rFonts w:ascii="Times" w:hAnsi="Times"/>
              <w:color w:val="000000" w:themeColor="text1"/>
              <w:sz w:val="24"/>
              <w:szCs w:val="24"/>
            </w:rPr>
            <w:t>References</w:t>
          </w:r>
        </w:p>
        <w:sdt>
          <w:sdtPr>
            <w:rPr>
              <w:rFonts w:ascii="Times" w:hAnsi="Times"/>
            </w:rPr>
            <w:id w:val="111145805"/>
            <w:bibliography/>
          </w:sdtPr>
          <w:sdtEndPr>
            <w:rPr>
              <w:rFonts w:ascii="Times New Roman" w:hAnsi="Times New Roman"/>
            </w:rPr>
          </w:sdtEndPr>
          <w:sdtContent>
            <w:p w14:paraId="52C16F0A" w14:textId="77777777" w:rsidR="006E3DAC" w:rsidRPr="006E3DAC" w:rsidRDefault="00156545" w:rsidP="006E3DAC">
              <w:pPr>
                <w:spacing w:line="360" w:lineRule="auto"/>
                <w:rPr>
                  <w:rFonts w:ascii="Times" w:eastAsiaTheme="minorHAnsi" w:hAnsi="Times" w:cstheme="minorBidi"/>
                  <w:noProof/>
                  <w:lang w:eastAsia="en-US"/>
                </w:rPr>
              </w:pPr>
              <w:r w:rsidRPr="006E3DAC">
                <w:rPr>
                  <w:rFonts w:ascii="Times" w:hAnsi="Times"/>
                </w:rPr>
                <w:fldChar w:fldCharType="begin"/>
              </w:r>
              <w:r w:rsidRPr="006E3DAC">
                <w:rPr>
                  <w:rFonts w:ascii="Times" w:hAnsi="Times"/>
                </w:rPr>
                <w:instrText xml:space="preserve"> BIBLIOGRAPHY </w:instrText>
              </w:r>
              <w:r w:rsidRPr="006E3DAC">
                <w:rPr>
                  <w:rFonts w:ascii="Times" w:hAnsi="Times"/>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5"/>
                <w:gridCol w:w="8551"/>
              </w:tblGrid>
              <w:tr w:rsidR="006E3DAC" w:rsidRPr="006E3DAC" w14:paraId="53A77D46" w14:textId="77777777" w:rsidTr="006E3DAC">
                <w:trPr>
                  <w:divId w:val="1852185400"/>
                  <w:tblCellSpacing w:w="15" w:type="dxa"/>
                </w:trPr>
                <w:tc>
                  <w:tcPr>
                    <w:tcW w:w="238" w:type="pct"/>
                    <w:hideMark/>
                  </w:tcPr>
                  <w:p w14:paraId="3C3B7091" w14:textId="0D8C19AB"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[1] </w:t>
                    </w:r>
                  </w:p>
                </w:tc>
                <w:tc>
                  <w:tcPr>
                    <w:tcW w:w="0" w:type="auto"/>
                    <w:hideMark/>
                  </w:tcPr>
                  <w:p w14:paraId="4F5A3B73" w14:textId="6C27296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Burgess S, Small DS, Thompson SG. A review of instrumental variable estimators for Mendelian randomization. Stat Methods Med Res. 2017;26(5):2333-2355.</w:t>
                    </w:r>
                  </w:p>
                </w:tc>
              </w:tr>
              <w:tr w:rsidR="006E3DAC" w:rsidRPr="006E3DAC" w14:paraId="4B118ED1" w14:textId="77777777" w:rsidTr="006E3DAC">
                <w:trPr>
                  <w:divId w:val="1852185400"/>
                  <w:tblCellSpacing w:w="15" w:type="dxa"/>
                </w:trPr>
                <w:tc>
                  <w:tcPr>
                    <w:tcW w:w="238" w:type="pct"/>
                    <w:hideMark/>
                  </w:tcPr>
                  <w:p w14:paraId="5B7DBFBE" w14:textId="7777777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[2] </w:t>
                    </w:r>
                  </w:p>
                </w:tc>
                <w:tc>
                  <w:tcPr>
                    <w:tcW w:w="0" w:type="auto"/>
                    <w:hideMark/>
                  </w:tcPr>
                  <w:p w14:paraId="0231C9A6" w14:textId="681C7121"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Burgess S, Butterworth A, Thompson SG. Mendelian randomization analysis with multiple genetic variants using summarized data. Genet Epidemiol. 2013;37(7):658-665.</w:t>
                    </w:r>
                  </w:p>
                </w:tc>
              </w:tr>
              <w:tr w:rsidR="006E3DAC" w:rsidRPr="006E3DAC" w14:paraId="268644EA" w14:textId="77777777" w:rsidTr="006E3DAC">
                <w:trPr>
                  <w:divId w:val="1852185400"/>
                  <w:tblCellSpacing w:w="15" w:type="dxa"/>
                </w:trPr>
                <w:tc>
                  <w:tcPr>
                    <w:tcW w:w="238" w:type="pct"/>
                    <w:hideMark/>
                  </w:tcPr>
                  <w:p w14:paraId="7BA0B387" w14:textId="7777777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[3] </w:t>
                    </w:r>
                  </w:p>
                </w:tc>
                <w:tc>
                  <w:tcPr>
                    <w:tcW w:w="0" w:type="auto"/>
                    <w:hideMark/>
                  </w:tcPr>
                  <w:p w14:paraId="5F143D73" w14:textId="45A416FC"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Bowden J, Davey Smith G, Haycock PC, Burgess S. Consistent Estimation in Mendelian Randomization with Some Invalid Instruments Using a Weighted Median Estimator. Genet Epidemiol. 2016;40(4):304-314.</w:t>
                    </w:r>
                  </w:p>
                </w:tc>
              </w:tr>
              <w:tr w:rsidR="006E3DAC" w:rsidRPr="006E3DAC" w14:paraId="10FC35B9" w14:textId="77777777" w:rsidTr="006E3DAC">
                <w:trPr>
                  <w:divId w:val="1852185400"/>
                  <w:tblCellSpacing w:w="15" w:type="dxa"/>
                </w:trPr>
                <w:tc>
                  <w:tcPr>
                    <w:tcW w:w="238" w:type="pct"/>
                    <w:hideMark/>
                  </w:tcPr>
                  <w:p w14:paraId="080E7A36" w14:textId="7777777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[4] </w:t>
                    </w:r>
                  </w:p>
                </w:tc>
                <w:tc>
                  <w:tcPr>
                    <w:tcW w:w="0" w:type="auto"/>
                    <w:hideMark/>
                  </w:tcPr>
                  <w:p w14:paraId="2E731BBF" w14:textId="01CBC5E2"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Burgess S, Foley CN, Allara E, Staley JR, Howson JMM. A robust and efficient method for Mendelian randomization with hundreds of genetic variants. Nat Commun. 2020;11(1):376.</w:t>
                    </w:r>
                  </w:p>
                </w:tc>
              </w:tr>
              <w:tr w:rsidR="006E3DAC" w:rsidRPr="006E3DAC" w14:paraId="54B492A6" w14:textId="77777777" w:rsidTr="006E3DAC">
                <w:trPr>
                  <w:divId w:val="1852185400"/>
                  <w:tblCellSpacing w:w="15" w:type="dxa"/>
                </w:trPr>
                <w:tc>
                  <w:tcPr>
                    <w:tcW w:w="238" w:type="pct"/>
                    <w:hideMark/>
                  </w:tcPr>
                  <w:p w14:paraId="36A5AAB0" w14:textId="7777777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[5] </w:t>
                    </w:r>
                  </w:p>
                </w:tc>
                <w:tc>
                  <w:tcPr>
                    <w:tcW w:w="0" w:type="auto"/>
                    <w:hideMark/>
                  </w:tcPr>
                  <w:p w14:paraId="0C91E96C" w14:textId="525077F2"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Bowden J, Davey Smith G, Burgess S. Mendelian randomization with invalid instruments: effect estimation and bias detection through Egger regression. Int J Epidemiol. 2015;44(2):512-525.</w:t>
                    </w:r>
                  </w:p>
                </w:tc>
              </w:tr>
              <w:tr w:rsidR="006E3DAC" w:rsidRPr="006E3DAC" w14:paraId="4C41CFC2" w14:textId="77777777" w:rsidTr="006E3DAC">
                <w:trPr>
                  <w:divId w:val="1852185400"/>
                  <w:tblCellSpacing w:w="15" w:type="dxa"/>
                </w:trPr>
                <w:tc>
                  <w:tcPr>
                    <w:tcW w:w="238" w:type="pct"/>
                    <w:hideMark/>
                  </w:tcPr>
                  <w:p w14:paraId="2E6ACFE9" w14:textId="7777777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[6] </w:t>
                    </w:r>
                  </w:p>
                </w:tc>
                <w:tc>
                  <w:tcPr>
                    <w:tcW w:w="0" w:type="auto"/>
                    <w:hideMark/>
                  </w:tcPr>
                  <w:p w14:paraId="52B6DCCF" w14:textId="066E6BA6"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Verbanck M, Chen CY, Neale B, Do R. Detection of widespread horizontal pleiotropy in causal relationships inferred from Mendelian randomization between complex traits and diseases. Nat Genet. 2018;50(5):693-698.</w:t>
                    </w:r>
                  </w:p>
                </w:tc>
              </w:tr>
              <w:tr w:rsidR="006E3DAC" w:rsidRPr="006E3DAC" w14:paraId="5B1BBF92" w14:textId="77777777" w:rsidTr="006E3DAC">
                <w:trPr>
                  <w:divId w:val="1852185400"/>
                  <w:tblCellSpacing w:w="15" w:type="dxa"/>
                </w:trPr>
                <w:tc>
                  <w:tcPr>
                    <w:tcW w:w="238" w:type="pct"/>
                    <w:hideMark/>
                  </w:tcPr>
                  <w:p w14:paraId="13CC2829" w14:textId="7777777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[7] </w:t>
                    </w:r>
                  </w:p>
                </w:tc>
                <w:tc>
                  <w:tcPr>
                    <w:tcW w:w="0" w:type="auto"/>
                    <w:hideMark/>
                  </w:tcPr>
                  <w:p w14:paraId="1A2D68D7" w14:textId="7994B181"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Giambartolomei C, Vukcevic D, Schadt EE, et al. Bayesian test for colocalisation between pairs of genetic association studies using summary statistics. PLoS Genet. 2014;10(5):e1004383.</w:t>
                    </w:r>
                  </w:p>
                </w:tc>
              </w:tr>
              <w:tr w:rsidR="006E3DAC" w:rsidRPr="006E3DAC" w14:paraId="518545F4" w14:textId="77777777" w:rsidTr="006E3DAC">
                <w:trPr>
                  <w:divId w:val="1852185400"/>
                  <w:tblCellSpacing w:w="15" w:type="dxa"/>
                </w:trPr>
                <w:tc>
                  <w:tcPr>
                    <w:tcW w:w="238" w:type="pct"/>
                    <w:hideMark/>
                  </w:tcPr>
                  <w:p w14:paraId="5291181C" w14:textId="7777777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[8] </w:t>
                    </w:r>
                  </w:p>
                </w:tc>
                <w:tc>
                  <w:tcPr>
                    <w:tcW w:w="0" w:type="auto"/>
                    <w:hideMark/>
                  </w:tcPr>
                  <w:p w14:paraId="2356BC5F" w14:textId="12C69634"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Wallace C. A more accurate method for colocalisation analysis allowing for multiple causal variants. PLoS Genet. 2021;17(9):e1009440.</w:t>
                    </w:r>
                  </w:p>
                </w:tc>
              </w:tr>
              <w:tr w:rsidR="006E3DAC" w:rsidRPr="006E3DAC" w14:paraId="08D1BA84" w14:textId="77777777" w:rsidTr="006E3DAC">
                <w:trPr>
                  <w:divId w:val="1852185400"/>
                  <w:tblCellSpacing w:w="15" w:type="dxa"/>
                </w:trPr>
                <w:tc>
                  <w:tcPr>
                    <w:tcW w:w="238" w:type="pct"/>
                    <w:hideMark/>
                  </w:tcPr>
                  <w:p w14:paraId="00D97963" w14:textId="7777777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[9] </w:t>
                    </w:r>
                  </w:p>
                </w:tc>
                <w:tc>
                  <w:tcPr>
                    <w:tcW w:w="0" w:type="auto"/>
                    <w:hideMark/>
                  </w:tcPr>
                  <w:p w14:paraId="321272FA" w14:textId="66CA1091"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Zuber V, Grinberg NF, Gill D, et al. Combining evidence from Mendelian randomization and colocalization: Review and comparison of approaches. Am J Hum Genet. 2022;109(5):767-782.</w:t>
                    </w:r>
                  </w:p>
                </w:tc>
              </w:tr>
              <w:tr w:rsidR="006E3DAC" w:rsidRPr="006E3DAC" w14:paraId="3A04C6D3" w14:textId="77777777" w:rsidTr="006E3DAC">
                <w:trPr>
                  <w:divId w:val="1852185400"/>
                  <w:tblCellSpacing w:w="15" w:type="dxa"/>
                </w:trPr>
                <w:tc>
                  <w:tcPr>
                    <w:tcW w:w="238" w:type="pct"/>
                    <w:hideMark/>
                  </w:tcPr>
                  <w:p w14:paraId="70ED02D3" w14:textId="7777777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[10] </w:t>
                    </w:r>
                  </w:p>
                </w:tc>
                <w:tc>
                  <w:tcPr>
                    <w:tcW w:w="0" w:type="auto"/>
                    <w:hideMark/>
                  </w:tcPr>
                  <w:p w14:paraId="4F9248EF" w14:textId="3CE62139"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Gill D, Georgakis MK, Walker VM, et al. Mendelian randomization for studying the effects of perturbing drug targets. Wellcome Open Res. 2021;6:16.</w:t>
                    </w:r>
                  </w:p>
                </w:tc>
              </w:tr>
              <w:tr w:rsidR="006E3DAC" w:rsidRPr="006E3DAC" w14:paraId="4DDEA8E2" w14:textId="77777777" w:rsidTr="006E3DAC">
                <w:trPr>
                  <w:divId w:val="1852185400"/>
                  <w:tblCellSpacing w:w="15" w:type="dxa"/>
                </w:trPr>
                <w:tc>
                  <w:tcPr>
                    <w:tcW w:w="238" w:type="pct"/>
                    <w:hideMark/>
                  </w:tcPr>
                  <w:p w14:paraId="644C69DC" w14:textId="77777777"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 xml:space="preserve">[11] </w:t>
                    </w:r>
                  </w:p>
                </w:tc>
                <w:tc>
                  <w:tcPr>
                    <w:tcW w:w="0" w:type="auto"/>
                    <w:hideMark/>
                  </w:tcPr>
                  <w:p w14:paraId="62861BA0" w14:textId="2AEE0F72" w:rsidR="006E3DAC" w:rsidRPr="006E3DAC" w:rsidRDefault="006E3DAC" w:rsidP="006E3DAC">
                    <w:pPr>
                      <w:pStyle w:val="Bibliography"/>
                      <w:spacing w:line="360" w:lineRule="auto"/>
                      <w:rPr>
                        <w:rFonts w:ascii="Times" w:hAnsi="Times"/>
                        <w:noProof/>
                        <w:lang w:val="en-US"/>
                      </w:rPr>
                    </w:pPr>
                    <w:r w:rsidRPr="006E3DAC">
                      <w:rPr>
                        <w:rFonts w:ascii="Times" w:hAnsi="Times"/>
                        <w:noProof/>
                        <w:lang w:val="en-US"/>
                      </w:rPr>
                      <w:t>Wallace C. Eliciting priors and relaxing the single causal variant assumption in colocalisation analyses. PLoS Genet. 2020;16(4):e1008720.</w:t>
                    </w:r>
                  </w:p>
                </w:tc>
              </w:tr>
            </w:tbl>
            <w:p w14:paraId="53C7EFC9" w14:textId="77777777" w:rsidR="006E3DAC" w:rsidRPr="006E3DAC" w:rsidRDefault="006E3DAC" w:rsidP="006E3DAC">
              <w:pPr>
                <w:spacing w:line="360" w:lineRule="auto"/>
                <w:divId w:val="1852185400"/>
                <w:rPr>
                  <w:rFonts w:ascii="Times" w:hAnsi="Times"/>
                  <w:noProof/>
                </w:rPr>
              </w:pPr>
            </w:p>
            <w:p w14:paraId="74CB753F" w14:textId="537C2351" w:rsidR="00156545" w:rsidRDefault="00156545" w:rsidP="006E3DAC">
              <w:pPr>
                <w:spacing w:line="360" w:lineRule="auto"/>
              </w:pPr>
              <w:r w:rsidRPr="006E3DAC">
                <w:rPr>
                  <w:rFonts w:ascii="Times" w:hAnsi="Times"/>
                  <w:b/>
                  <w:bCs/>
                  <w:noProof/>
                </w:rPr>
                <w:fldChar w:fldCharType="end"/>
              </w:r>
            </w:p>
          </w:sdtContent>
        </w:sdt>
      </w:sdtContent>
    </w:sdt>
    <w:p w14:paraId="2C35358A" w14:textId="77777777" w:rsidR="00156545" w:rsidRDefault="00156545" w:rsidP="00ED5798">
      <w:pPr>
        <w:spacing w:line="360" w:lineRule="auto"/>
      </w:pPr>
    </w:p>
    <w:sectPr w:rsidR="00156545" w:rsidSect="002345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24469"/>
    <w:rsid w:val="00035959"/>
    <w:rsid w:val="000461DA"/>
    <w:rsid w:val="000467A2"/>
    <w:rsid w:val="000C42A5"/>
    <w:rsid w:val="000C6779"/>
    <w:rsid w:val="000E0515"/>
    <w:rsid w:val="00106C41"/>
    <w:rsid w:val="00122C3B"/>
    <w:rsid w:val="00126337"/>
    <w:rsid w:val="00156545"/>
    <w:rsid w:val="001A2FC8"/>
    <w:rsid w:val="001D0DB2"/>
    <w:rsid w:val="0023266B"/>
    <w:rsid w:val="00234572"/>
    <w:rsid w:val="00290361"/>
    <w:rsid w:val="002A5B60"/>
    <w:rsid w:val="002C6498"/>
    <w:rsid w:val="002E3229"/>
    <w:rsid w:val="002E7F75"/>
    <w:rsid w:val="002F1E96"/>
    <w:rsid w:val="002F265B"/>
    <w:rsid w:val="00303F4C"/>
    <w:rsid w:val="003376E5"/>
    <w:rsid w:val="003762FB"/>
    <w:rsid w:val="0038617B"/>
    <w:rsid w:val="003A2DFB"/>
    <w:rsid w:val="003E668A"/>
    <w:rsid w:val="00410F8E"/>
    <w:rsid w:val="00435E9A"/>
    <w:rsid w:val="00470B1F"/>
    <w:rsid w:val="004C6058"/>
    <w:rsid w:val="004E0602"/>
    <w:rsid w:val="005222AE"/>
    <w:rsid w:val="00523877"/>
    <w:rsid w:val="005A0206"/>
    <w:rsid w:val="005A09C4"/>
    <w:rsid w:val="005C7170"/>
    <w:rsid w:val="005D3CF5"/>
    <w:rsid w:val="005F712A"/>
    <w:rsid w:val="00606620"/>
    <w:rsid w:val="00612172"/>
    <w:rsid w:val="00656C1B"/>
    <w:rsid w:val="006B0700"/>
    <w:rsid w:val="006B5022"/>
    <w:rsid w:val="006E3DAC"/>
    <w:rsid w:val="006E4EA3"/>
    <w:rsid w:val="0071681B"/>
    <w:rsid w:val="0073586D"/>
    <w:rsid w:val="00797BC8"/>
    <w:rsid w:val="007C1B3C"/>
    <w:rsid w:val="00810CAF"/>
    <w:rsid w:val="00822309"/>
    <w:rsid w:val="00823B97"/>
    <w:rsid w:val="00865484"/>
    <w:rsid w:val="008A1039"/>
    <w:rsid w:val="008B2551"/>
    <w:rsid w:val="008E0D07"/>
    <w:rsid w:val="008E46DE"/>
    <w:rsid w:val="00914101"/>
    <w:rsid w:val="0092516E"/>
    <w:rsid w:val="0097663D"/>
    <w:rsid w:val="009851A4"/>
    <w:rsid w:val="00992793"/>
    <w:rsid w:val="00997C75"/>
    <w:rsid w:val="009E1E28"/>
    <w:rsid w:val="00A21D98"/>
    <w:rsid w:val="00A52152"/>
    <w:rsid w:val="00A65E7E"/>
    <w:rsid w:val="00AD722D"/>
    <w:rsid w:val="00B02C22"/>
    <w:rsid w:val="00B16DD5"/>
    <w:rsid w:val="00B66B00"/>
    <w:rsid w:val="00BB73A9"/>
    <w:rsid w:val="00C04960"/>
    <w:rsid w:val="00C34A1B"/>
    <w:rsid w:val="00C80570"/>
    <w:rsid w:val="00C96833"/>
    <w:rsid w:val="00D00F70"/>
    <w:rsid w:val="00D46B52"/>
    <w:rsid w:val="00D61A50"/>
    <w:rsid w:val="00D64186"/>
    <w:rsid w:val="00DA3BD7"/>
    <w:rsid w:val="00DD5AF0"/>
    <w:rsid w:val="00E109DB"/>
    <w:rsid w:val="00E535C0"/>
    <w:rsid w:val="00E62347"/>
    <w:rsid w:val="00E96F1E"/>
    <w:rsid w:val="00ED5798"/>
    <w:rsid w:val="00F3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36198361">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279844512">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19526853">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45492186">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37696766">
      <w:bodyDiv w:val="1"/>
      <w:marLeft w:val="0"/>
      <w:marRight w:val="0"/>
      <w:marTop w:val="0"/>
      <w:marBottom w:val="0"/>
      <w:divBdr>
        <w:top w:val="none" w:sz="0" w:space="0" w:color="auto"/>
        <w:left w:val="none" w:sz="0" w:space="0" w:color="auto"/>
        <w:bottom w:val="none" w:sz="0" w:space="0" w:color="auto"/>
        <w:right w:val="none" w:sz="0" w:space="0" w:color="auto"/>
      </w:divBdr>
    </w:div>
    <w:div w:id="851453736">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06647200">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39670766">
      <w:bodyDiv w:val="1"/>
      <w:marLeft w:val="0"/>
      <w:marRight w:val="0"/>
      <w:marTop w:val="0"/>
      <w:marBottom w:val="0"/>
      <w:divBdr>
        <w:top w:val="none" w:sz="0" w:space="0" w:color="auto"/>
        <w:left w:val="none" w:sz="0" w:space="0" w:color="auto"/>
        <w:bottom w:val="none" w:sz="0" w:space="0" w:color="auto"/>
        <w:right w:val="none" w:sz="0" w:space="0" w:color="auto"/>
      </w:divBdr>
    </w:div>
    <w:div w:id="1066339049">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87074851">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8958128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022542">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688213264">
      <w:bodyDiv w:val="1"/>
      <w:marLeft w:val="0"/>
      <w:marRight w:val="0"/>
      <w:marTop w:val="0"/>
      <w:marBottom w:val="0"/>
      <w:divBdr>
        <w:top w:val="none" w:sz="0" w:space="0" w:color="auto"/>
        <w:left w:val="none" w:sz="0" w:space="0" w:color="auto"/>
        <w:bottom w:val="none" w:sz="0" w:space="0" w:color="auto"/>
        <w:right w:val="none" w:sz="0" w:space="0" w:color="auto"/>
      </w:divBdr>
    </w:div>
    <w:div w:id="1702440358">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37067065">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2185400">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3514059">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09728169">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1</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2</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3</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5</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6</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7</b:RefOrder>
  </b:Source>
  <b:Source>
    <b:Tag>Chr21</b:Tag>
    <b:SourceType>JournalArticle</b:SourceType>
    <b:Guid>{163B8197-06B6-8444-9665-F7E7DFFEFB0C}</b:Guid>
    <b:Title>Wallace C. A more accurate method for colocalisation analysis allowing for multiple causal variants. PLoS Genet. 2021;17(9):e1009440. </b:Title>
    <b:RefOrder>8</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9</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10</b:RefOrder>
  </b:Source>
  <b:Source>
    <b:Tag>Wal</b:Tag>
    <b:SourceType>JournalArticle</b:SourceType>
    <b:Guid>{DD7B5682-F9C5-C746-8765-F930E6FD095C}</b:Guid>
    <b:Title>Wallace C. Eliciting priors and relaxing the single causal variant assumption in colocalisation analyses. PLoS Genet. 2020;16(4):e1008720. </b:Title>
    <b:RefOrder>11</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12</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4</b:RefOrder>
  </b:Source>
  <b:Source>
    <b:Tag>Fer1</b:Tag>
    <b:SourceType>Book</b:SourceType>
    <b:Guid>{1FE55543-CE6A-1B41-8423-D451E35AA903}</b:Guid>
    <b:Title>Ferkingstad E, Sulem P, Atlason BA, et al. Large-scale integration of the plasma proteome with genetics and disease. Nat Genet. 2021;53(12):1712-1721.</b:Title>
    <b:RefOrder>13</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14</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15</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01E4B42B-5106-4336-8595-4DCE14E90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3</cp:revision>
  <dcterms:created xsi:type="dcterms:W3CDTF">2023-05-13T11:14:00Z</dcterms:created>
  <dcterms:modified xsi:type="dcterms:W3CDTF">2023-11-18T02:00:00Z</dcterms:modified>
</cp:coreProperties>
</file>