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4A28A" w14:textId="575C3BAF" w:rsidR="001D7A06" w:rsidRDefault="001D7A06" w:rsidP="009B206C">
      <w:pPr>
        <w:spacing w:line="360" w:lineRule="auto"/>
        <w:rPr>
          <w:sz w:val="20"/>
          <w:szCs w:val="20"/>
        </w:rPr>
      </w:pPr>
      <w:bookmarkStart w:id="0" w:name="_GoBack"/>
    </w:p>
    <w:p w14:paraId="78EBF03F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  <w:r>
        <w:rPr>
          <w:rFonts w:ascii="Times Roman" w:hAnsi="Times Roman" w:cs="Calibri"/>
          <w:b/>
          <w:bCs/>
          <w:color w:val="000000"/>
        </w:rPr>
        <w:t>Table S5 – Table of genomic location of instrumental variants for TIE1 pQTLs</w:t>
      </w:r>
    </w:p>
    <w:p w14:paraId="0E6C95DA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tbl>
      <w:tblPr>
        <w:tblStyle w:val="PlainTable1"/>
        <w:tblpPr w:leftFromText="180" w:rightFromText="180" w:vertAnchor="page" w:horzAnchor="margin" w:tblpY="2637"/>
        <w:tblW w:w="9493" w:type="dxa"/>
        <w:tblLook w:val="04A0" w:firstRow="1" w:lastRow="0" w:firstColumn="1" w:lastColumn="0" w:noHBand="0" w:noVBand="1"/>
      </w:tblPr>
      <w:tblGrid>
        <w:gridCol w:w="1461"/>
        <w:gridCol w:w="1116"/>
        <w:gridCol w:w="1261"/>
        <w:gridCol w:w="1366"/>
        <w:gridCol w:w="1366"/>
        <w:gridCol w:w="2923"/>
      </w:tblGrid>
      <w:tr w:rsidR="001D7A06" w:rsidRPr="005F712A" w14:paraId="48F4EAFB" w14:textId="77777777" w:rsidTr="006468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76BD9480" w14:textId="77777777" w:rsidR="001D7A06" w:rsidRPr="005F712A" w:rsidRDefault="001D7A06" w:rsidP="006468BD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Chromosome</w:t>
            </w:r>
          </w:p>
        </w:tc>
        <w:tc>
          <w:tcPr>
            <w:tcW w:w="1116" w:type="dxa"/>
            <w:hideMark/>
          </w:tcPr>
          <w:p w14:paraId="61F6D734" w14:textId="77777777" w:rsidR="001D7A06" w:rsidRPr="005F712A" w:rsidRDefault="001D7A06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Position</w:t>
            </w:r>
          </w:p>
        </w:tc>
        <w:tc>
          <w:tcPr>
            <w:tcW w:w="1261" w:type="dxa"/>
            <w:hideMark/>
          </w:tcPr>
          <w:p w14:paraId="55AAC486" w14:textId="77777777" w:rsidR="001D7A06" w:rsidRPr="005F712A" w:rsidRDefault="001D7A06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SNP</w:t>
            </w:r>
          </w:p>
        </w:tc>
        <w:tc>
          <w:tcPr>
            <w:tcW w:w="1366" w:type="dxa"/>
            <w:hideMark/>
          </w:tcPr>
          <w:p w14:paraId="13423255" w14:textId="77777777" w:rsidR="001D7A06" w:rsidRPr="005F712A" w:rsidRDefault="001D7A06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Effect Allele</w:t>
            </w:r>
          </w:p>
        </w:tc>
        <w:tc>
          <w:tcPr>
            <w:tcW w:w="1366" w:type="dxa"/>
            <w:hideMark/>
          </w:tcPr>
          <w:p w14:paraId="6D919EB3" w14:textId="77777777" w:rsidR="001D7A06" w:rsidRPr="005F712A" w:rsidRDefault="001D7A06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Other Allele</w:t>
            </w:r>
          </w:p>
        </w:tc>
        <w:tc>
          <w:tcPr>
            <w:tcW w:w="2923" w:type="dxa"/>
          </w:tcPr>
          <w:p w14:paraId="06821F3C" w14:textId="7241FD53" w:rsidR="001D7A06" w:rsidRPr="005F712A" w:rsidRDefault="00EF6728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Genomic Location</w:t>
            </w:r>
          </w:p>
        </w:tc>
      </w:tr>
      <w:tr w:rsidR="001D7A06" w:rsidRPr="005F712A" w14:paraId="7172E633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76E78323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2A9EBB65" w14:textId="77777777" w:rsidR="001D7A06" w:rsidRPr="005F712A" w:rsidRDefault="001D7A06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43332563</w:t>
            </w:r>
          </w:p>
        </w:tc>
        <w:tc>
          <w:tcPr>
            <w:tcW w:w="1261" w:type="dxa"/>
            <w:hideMark/>
          </w:tcPr>
          <w:p w14:paraId="2687D7E7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rs11576614</w:t>
            </w:r>
          </w:p>
        </w:tc>
        <w:tc>
          <w:tcPr>
            <w:tcW w:w="1366" w:type="dxa"/>
            <w:hideMark/>
          </w:tcPr>
          <w:p w14:paraId="447273F6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75D7834C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923" w:type="dxa"/>
          </w:tcPr>
          <w:p w14:paraId="67D50021" w14:textId="6BD4DB45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Intergenic</w:t>
            </w:r>
          </w:p>
        </w:tc>
      </w:tr>
      <w:tr w:rsidR="001D7A06" w:rsidRPr="005F712A" w14:paraId="58D41AC2" w14:textId="77777777" w:rsidTr="006468BD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FF6282A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016FB3FF" w14:textId="77777777" w:rsidR="001D7A06" w:rsidRPr="005F712A" w:rsidRDefault="001D7A06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43223072</w:t>
            </w:r>
          </w:p>
        </w:tc>
        <w:tc>
          <w:tcPr>
            <w:tcW w:w="1261" w:type="dxa"/>
            <w:hideMark/>
          </w:tcPr>
          <w:p w14:paraId="3558DDDB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rs11585059</w:t>
            </w:r>
          </w:p>
        </w:tc>
        <w:tc>
          <w:tcPr>
            <w:tcW w:w="1366" w:type="dxa"/>
            <w:hideMark/>
          </w:tcPr>
          <w:p w14:paraId="2D43F872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239F033F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923" w:type="dxa"/>
          </w:tcPr>
          <w:p w14:paraId="264C5135" w14:textId="36DFF735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1D7A06" w:rsidRPr="005F712A" w14:paraId="0FF7F766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C136505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6F175F8F" w14:textId="77777777" w:rsidR="001D7A06" w:rsidRPr="005F712A" w:rsidRDefault="001D7A06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43302076</w:t>
            </w:r>
          </w:p>
        </w:tc>
        <w:tc>
          <w:tcPr>
            <w:tcW w:w="1261" w:type="dxa"/>
            <w:hideMark/>
          </w:tcPr>
          <w:p w14:paraId="6EB9DC9E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rs1198979</w:t>
            </w:r>
          </w:p>
        </w:tc>
        <w:tc>
          <w:tcPr>
            <w:tcW w:w="1366" w:type="dxa"/>
            <w:hideMark/>
          </w:tcPr>
          <w:p w14:paraId="6B519A59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349B3966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923" w:type="dxa"/>
          </w:tcPr>
          <w:p w14:paraId="41F5DBA4" w14:textId="61FF983B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1D7A06" w:rsidRPr="005F712A" w14:paraId="22096183" w14:textId="77777777" w:rsidTr="006468BD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36DACF35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034C0537" w14:textId="77777777" w:rsidR="001D7A06" w:rsidRPr="005F712A" w:rsidRDefault="001D7A06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43230037</w:t>
            </w:r>
          </w:p>
        </w:tc>
        <w:tc>
          <w:tcPr>
            <w:tcW w:w="1261" w:type="dxa"/>
            <w:hideMark/>
          </w:tcPr>
          <w:p w14:paraId="1670C41C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rs607949</w:t>
            </w:r>
          </w:p>
        </w:tc>
        <w:tc>
          <w:tcPr>
            <w:tcW w:w="1366" w:type="dxa"/>
            <w:hideMark/>
          </w:tcPr>
          <w:p w14:paraId="7F201154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0C45CC57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923" w:type="dxa"/>
          </w:tcPr>
          <w:p w14:paraId="6CBCCCCA" w14:textId="6576A60F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1D7A06" w:rsidRPr="005F712A" w14:paraId="05EC4C40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CEEA971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4AE73F7F" w14:textId="77777777" w:rsidR="001D7A06" w:rsidRPr="005F712A" w:rsidRDefault="001D7A06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43399295</w:t>
            </w:r>
          </w:p>
        </w:tc>
        <w:tc>
          <w:tcPr>
            <w:tcW w:w="1261" w:type="dxa"/>
            <w:hideMark/>
          </w:tcPr>
          <w:p w14:paraId="247BD71C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rs72671118</w:t>
            </w:r>
          </w:p>
        </w:tc>
        <w:tc>
          <w:tcPr>
            <w:tcW w:w="1366" w:type="dxa"/>
            <w:hideMark/>
          </w:tcPr>
          <w:p w14:paraId="3DF81D32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7284E0B3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923" w:type="dxa"/>
          </w:tcPr>
          <w:p w14:paraId="6EAD358D" w14:textId="4DFFA584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1D7A06" w:rsidRPr="005F712A" w14:paraId="2528B244" w14:textId="77777777" w:rsidTr="006468BD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535E7A0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1003BDB2" w14:textId="77777777" w:rsidR="001D7A06" w:rsidRPr="005F712A" w:rsidRDefault="001D7A06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43294565</w:t>
            </w:r>
          </w:p>
        </w:tc>
        <w:tc>
          <w:tcPr>
            <w:tcW w:w="1261" w:type="dxa"/>
            <w:hideMark/>
          </w:tcPr>
          <w:p w14:paraId="7A90FD99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rs7549876</w:t>
            </w:r>
          </w:p>
        </w:tc>
        <w:tc>
          <w:tcPr>
            <w:tcW w:w="1366" w:type="dxa"/>
            <w:hideMark/>
          </w:tcPr>
          <w:p w14:paraId="275DCFAB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54F49AFA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923" w:type="dxa"/>
          </w:tcPr>
          <w:p w14:paraId="46EA4A14" w14:textId="03606B21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Regulatory region variant</w:t>
            </w:r>
          </w:p>
        </w:tc>
      </w:tr>
      <w:tr w:rsidR="001D7A06" w:rsidRPr="005F712A" w14:paraId="3F4B26B2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254B9BBE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60A294F9" w14:textId="77777777" w:rsidR="001D7A06" w:rsidRPr="005F712A" w:rsidRDefault="001D7A06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43378597</w:t>
            </w:r>
          </w:p>
        </w:tc>
        <w:tc>
          <w:tcPr>
            <w:tcW w:w="1261" w:type="dxa"/>
            <w:hideMark/>
          </w:tcPr>
          <w:p w14:paraId="583A0333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rs75575769</w:t>
            </w:r>
          </w:p>
        </w:tc>
        <w:tc>
          <w:tcPr>
            <w:tcW w:w="1366" w:type="dxa"/>
            <w:hideMark/>
          </w:tcPr>
          <w:p w14:paraId="4499A733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55B02A0A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923" w:type="dxa"/>
          </w:tcPr>
          <w:p w14:paraId="6249ABA8" w14:textId="2E794870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Intergenic</w:t>
            </w:r>
          </w:p>
        </w:tc>
      </w:tr>
      <w:tr w:rsidR="001D7A06" w:rsidRPr="005F712A" w14:paraId="1BF687DB" w14:textId="77777777" w:rsidTr="006468BD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41184C43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5C3278C2" w14:textId="77777777" w:rsidR="001D7A06" w:rsidRPr="005F712A" w:rsidRDefault="001D7A06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43303811</w:t>
            </w:r>
          </w:p>
        </w:tc>
        <w:tc>
          <w:tcPr>
            <w:tcW w:w="1261" w:type="dxa"/>
            <w:hideMark/>
          </w:tcPr>
          <w:p w14:paraId="174FA330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rs76148363</w:t>
            </w:r>
          </w:p>
        </w:tc>
        <w:tc>
          <w:tcPr>
            <w:tcW w:w="1366" w:type="dxa"/>
            <w:hideMark/>
          </w:tcPr>
          <w:p w14:paraId="653433D0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1EB4A86D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923" w:type="dxa"/>
          </w:tcPr>
          <w:p w14:paraId="13AE2CBA" w14:textId="77777777" w:rsidR="001D7A06" w:rsidRPr="005F712A" w:rsidRDefault="001D7A0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1D7A06" w:rsidRPr="005F712A" w14:paraId="076DC4DA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BC69D72" w14:textId="77777777" w:rsidR="001D7A06" w:rsidRPr="005F712A" w:rsidRDefault="001D7A06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hideMark/>
          </w:tcPr>
          <w:p w14:paraId="6D9303CA" w14:textId="77777777" w:rsidR="001D7A06" w:rsidRPr="005F712A" w:rsidRDefault="001D7A06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43271271</w:t>
            </w:r>
          </w:p>
        </w:tc>
        <w:tc>
          <w:tcPr>
            <w:tcW w:w="1261" w:type="dxa"/>
            <w:hideMark/>
          </w:tcPr>
          <w:p w14:paraId="3C05535F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rs79825075</w:t>
            </w:r>
          </w:p>
        </w:tc>
        <w:tc>
          <w:tcPr>
            <w:tcW w:w="1366" w:type="dxa"/>
            <w:hideMark/>
          </w:tcPr>
          <w:p w14:paraId="335C2812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717A1C18" w14:textId="77777777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923" w:type="dxa"/>
          </w:tcPr>
          <w:p w14:paraId="7494B196" w14:textId="1488C124" w:rsidR="001D7A06" w:rsidRPr="005F712A" w:rsidRDefault="001D7A0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</w:tbl>
    <w:p w14:paraId="19258E54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50D1E9A8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1FFDB444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62F94D32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111375B9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3297E5AB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62BB1BF9" w14:textId="77777777" w:rsidR="001D7A06" w:rsidRDefault="001D7A06" w:rsidP="001D7A06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3F2D1253" w14:textId="7668F82D" w:rsidR="001D7A06" w:rsidRPr="009B206C" w:rsidRDefault="00EF6728" w:rsidP="001D7A06">
      <w:pPr>
        <w:spacing w:line="360" w:lineRule="auto"/>
        <w:jc w:val="both"/>
        <w:rPr>
          <w:rFonts w:ascii="Times" w:hAnsi="Times"/>
          <w:color w:val="000000" w:themeColor="text1"/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>Genomic locations were identified</w:t>
      </w:r>
      <w:r w:rsidR="001D7A06">
        <w:rPr>
          <w:rFonts w:ascii="Times" w:hAnsi="Times"/>
          <w:color w:val="000000" w:themeColor="text1"/>
          <w:sz w:val="22"/>
          <w:szCs w:val="22"/>
        </w:rPr>
        <w:t xml:space="preserve"> using Ensemble’s variant effect predictor (VEP) (</w:t>
      </w:r>
      <w:hyperlink r:id="rId4" w:history="1">
        <w:r w:rsidR="001D7A06" w:rsidRPr="007D180A">
          <w:rPr>
            <w:rStyle w:val="Hyperlink"/>
            <w:rFonts w:ascii="Times" w:hAnsi="Times"/>
            <w:sz w:val="22"/>
            <w:szCs w:val="22"/>
          </w:rPr>
          <w:t>https://genetics.opentargets.org/</w:t>
        </w:r>
      </w:hyperlink>
      <w:r w:rsidR="001D7A06">
        <w:rPr>
          <w:rFonts w:ascii="Times" w:hAnsi="Times"/>
          <w:color w:val="000000" w:themeColor="text1"/>
          <w:sz w:val="22"/>
          <w:szCs w:val="22"/>
        </w:rPr>
        <w:t xml:space="preserve">). </w:t>
      </w:r>
      <w:r w:rsidR="001D7A06" w:rsidRPr="009B206C">
        <w:rPr>
          <w:rFonts w:ascii="Times" w:hAnsi="Times"/>
          <w:color w:val="000000" w:themeColor="text1"/>
          <w:sz w:val="22"/>
          <w:szCs w:val="22"/>
        </w:rPr>
        <w:t>Intronic</w:t>
      </w:r>
      <w:r w:rsidR="00375104">
        <w:rPr>
          <w:rFonts w:ascii="Times" w:hAnsi="Times"/>
          <w:color w:val="000000" w:themeColor="text1"/>
          <w:sz w:val="22"/>
          <w:szCs w:val="22"/>
        </w:rPr>
        <w:t xml:space="preserve">, </w:t>
      </w:r>
      <w:r w:rsidR="001D7A06" w:rsidRPr="009B206C">
        <w:rPr>
          <w:rFonts w:ascii="Times" w:hAnsi="Times"/>
          <w:color w:val="000000" w:themeColor="text1"/>
          <w:sz w:val="22"/>
          <w:szCs w:val="22"/>
        </w:rPr>
        <w:t xml:space="preserve">intergenic </w:t>
      </w:r>
      <w:r w:rsidR="00375104">
        <w:rPr>
          <w:rFonts w:ascii="Times" w:hAnsi="Times"/>
          <w:color w:val="000000" w:themeColor="text1"/>
          <w:sz w:val="22"/>
          <w:szCs w:val="22"/>
        </w:rPr>
        <w:t xml:space="preserve">and regulatory region </w:t>
      </w:r>
      <w:r w:rsidR="001D7A06" w:rsidRPr="009B206C">
        <w:rPr>
          <w:rFonts w:ascii="Times" w:hAnsi="Times"/>
          <w:color w:val="000000" w:themeColor="text1"/>
          <w:sz w:val="22"/>
          <w:szCs w:val="22"/>
        </w:rPr>
        <w:t xml:space="preserve">variants likely affect protein expression levels through </w:t>
      </w:r>
      <w:r w:rsidR="00A654CE">
        <w:rPr>
          <w:rFonts w:ascii="Times" w:hAnsi="Times"/>
          <w:color w:val="000000" w:themeColor="text1"/>
          <w:sz w:val="22"/>
          <w:szCs w:val="22"/>
        </w:rPr>
        <w:t xml:space="preserve">transcriptional and post-transcriptional </w:t>
      </w:r>
      <w:r w:rsidR="001D7A06" w:rsidRPr="009B206C">
        <w:rPr>
          <w:rFonts w:ascii="Times" w:hAnsi="Times"/>
          <w:color w:val="000000" w:themeColor="text1"/>
          <w:sz w:val="22"/>
          <w:szCs w:val="22"/>
        </w:rPr>
        <w:t xml:space="preserve">gene regulation. </w:t>
      </w:r>
      <w:r w:rsidR="001D7A06">
        <w:rPr>
          <w:rFonts w:ascii="Times" w:hAnsi="Times"/>
          <w:color w:val="000000" w:themeColor="text1"/>
          <w:sz w:val="22"/>
          <w:szCs w:val="22"/>
        </w:rPr>
        <w:t>H</w:t>
      </w:r>
      <w:r w:rsidR="001D7A06" w:rsidRPr="009B206C">
        <w:rPr>
          <w:rFonts w:ascii="Times" w:hAnsi="Times"/>
          <w:color w:val="000000" w:themeColor="text1"/>
          <w:sz w:val="22"/>
          <w:szCs w:val="22"/>
        </w:rPr>
        <w:t>owever, the precise mechanisms through which many of the pQTLs affect sTIE1 protein levels are currently unknown.</w:t>
      </w:r>
    </w:p>
    <w:bookmarkEnd w:id="0"/>
    <w:p w14:paraId="086A8138" w14:textId="77777777" w:rsidR="001D7A06" w:rsidRPr="009B206C" w:rsidRDefault="001D7A06" w:rsidP="009B206C">
      <w:pPr>
        <w:spacing w:line="360" w:lineRule="auto"/>
        <w:rPr>
          <w:sz w:val="20"/>
          <w:szCs w:val="20"/>
        </w:rPr>
      </w:pPr>
    </w:p>
    <w:sectPr w:rsidR="001D7A06" w:rsidRPr="009B206C" w:rsidSect="009250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2B"/>
    <w:rsid w:val="000772C3"/>
    <w:rsid w:val="000C0F69"/>
    <w:rsid w:val="001D7A06"/>
    <w:rsid w:val="001E2AA2"/>
    <w:rsid w:val="002261DE"/>
    <w:rsid w:val="002609F5"/>
    <w:rsid w:val="00375104"/>
    <w:rsid w:val="00483454"/>
    <w:rsid w:val="00592F5D"/>
    <w:rsid w:val="008678C7"/>
    <w:rsid w:val="0092508E"/>
    <w:rsid w:val="0099583C"/>
    <w:rsid w:val="009B206C"/>
    <w:rsid w:val="00A654CE"/>
    <w:rsid w:val="00C0262B"/>
    <w:rsid w:val="00D10A46"/>
    <w:rsid w:val="00D35B57"/>
    <w:rsid w:val="00E5127E"/>
    <w:rsid w:val="00E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C88B"/>
  <w15:chartTrackingRefBased/>
  <w15:docId w15:val="{B63239BD-D90E-5448-9E0C-56422E40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62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C0262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99583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enetics.opentarget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Skanda Rajasundaram</dc:creator>
  <cp:keywords/>
  <dc:description/>
  <cp:lastModifiedBy>Rajalakshmi Thangaraj</cp:lastModifiedBy>
  <cp:revision>15</cp:revision>
  <dcterms:created xsi:type="dcterms:W3CDTF">2023-08-01T03:12:00Z</dcterms:created>
  <dcterms:modified xsi:type="dcterms:W3CDTF">2023-11-18T01:56:00Z</dcterms:modified>
</cp:coreProperties>
</file>